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ED" w:rsidRPr="003D3F80" w:rsidRDefault="009F6210" w:rsidP="00A90205">
      <w:pPr>
        <w:spacing w:after="200" w:line="276" w:lineRule="auto"/>
        <w:rPr>
          <w:rFonts w:cs="Times New Roman"/>
          <w:smallCaps/>
          <w:lang w:val="fr-FR"/>
        </w:rPr>
      </w:pPr>
      <w:bookmarkStart w:id="0" w:name="_GoBack"/>
      <w:bookmarkEnd w:id="0"/>
      <w:r>
        <w:rPr>
          <w:rFonts w:cs="Times New Roman"/>
          <w:smallCaps/>
          <w:noProof/>
        </w:rPr>
        <w:pict>
          <v:shapetype id="_x0000_t202" coordsize="21600,21600" o:spt="202" path="m,l,21600r21600,l21600,xe">
            <v:stroke joinstyle="miter"/>
            <v:path gradientshapeok="t" o:connecttype="rect"/>
          </v:shapetype>
          <v:shape id="Text Box 2" o:spid="_x0000_s1026" type="#_x0000_t202" style="position:absolute;margin-left:11.25pt;margin-top:-3.35pt;width:440.25pt;height:651.6pt;z-index:251660288;visibility:visible" wrapcoords="-37 -25 -37 21575 21637 21575 21637 -25 -37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">
            <v:textbox>
              <w:txbxContent>
                <w:p w:rsidR="008E25B1" w:rsidRPr="001051C0" w:rsidRDefault="008E25B1" w:rsidP="003B754F">
                  <w:pPr>
                    <w:rPr>
                      <w:rFonts w:cs="Times New Roman"/>
                      <w:smallCaps/>
                      <w:lang w:val="fr-FR"/>
                    </w:rPr>
                  </w:pPr>
                </w:p>
                <w:p w:rsidR="008E25B1" w:rsidRPr="001051C0" w:rsidRDefault="008E25B1" w:rsidP="002508ED">
                  <w:pPr>
                    <w:jc w:val="center"/>
                    <w:rPr>
                      <w:rFonts w:cs="Times New Roman"/>
                      <w:b/>
                      <w:smallCaps/>
                      <w:lang w:val="fr-FR"/>
                    </w:rPr>
                  </w:pPr>
                </w:p>
                <w:p w:rsidR="008E25B1" w:rsidRPr="001051C0" w:rsidRDefault="008E25B1" w:rsidP="003B754F">
                  <w:pPr>
                    <w:rPr>
                      <w:rFonts w:cs="Times New Roman"/>
                      <w:smallCaps/>
                      <w:lang w:val="fr-FR"/>
                    </w:rPr>
                  </w:pPr>
                </w:p>
                <w:p w:rsidR="008E25B1" w:rsidRPr="001051C0" w:rsidRDefault="008E25B1" w:rsidP="003B754F">
                  <w:pPr>
                    <w:rPr>
                      <w:rFonts w:cs="Times New Roman"/>
                      <w:smallCaps/>
                      <w:lang w:val="fr-FR"/>
                    </w:rPr>
                  </w:pPr>
                </w:p>
                <w:p w:rsidR="008E25B1" w:rsidRPr="001051C0" w:rsidRDefault="008E25B1" w:rsidP="003B754F">
                  <w:pPr>
                    <w:rPr>
                      <w:rFonts w:cs="Times New Roman"/>
                      <w:smallCaps/>
                      <w:lang w:val="fr-FR"/>
                    </w:rPr>
                  </w:pPr>
                </w:p>
                <w:p w:rsidR="008E25B1" w:rsidRPr="001051C0" w:rsidRDefault="008E25B1" w:rsidP="003B754F">
                  <w:pPr>
                    <w:rPr>
                      <w:rFonts w:cs="Times New Roman"/>
                      <w:smallCaps/>
                      <w:lang w:val="fr-FR"/>
                    </w:rPr>
                  </w:pPr>
                </w:p>
                <w:p w:rsidR="008E25B1" w:rsidRPr="001051C0" w:rsidRDefault="008E25B1" w:rsidP="003B754F">
                  <w:pPr>
                    <w:rPr>
                      <w:rFonts w:cs="Times New Roman"/>
                      <w:smallCaps/>
                      <w:lang w:val="fr-FR"/>
                    </w:rPr>
                  </w:pPr>
                </w:p>
                <w:p w:rsidR="008E25B1" w:rsidRPr="001051C0" w:rsidRDefault="008E25B1" w:rsidP="003B754F">
                  <w:pPr>
                    <w:rPr>
                      <w:rFonts w:cs="Times New Roman"/>
                      <w:smallCaps/>
                      <w:lang w:val="fr-FR"/>
                    </w:rPr>
                  </w:pPr>
                </w:p>
                <w:p w:rsidR="008E25B1" w:rsidRPr="001051C0" w:rsidRDefault="008E25B1" w:rsidP="003B754F">
                  <w:pPr>
                    <w:rPr>
                      <w:rFonts w:cs="Times New Roman"/>
                      <w:smallCaps/>
                      <w:lang w:val="fr-FR"/>
                    </w:rPr>
                  </w:pPr>
                </w:p>
                <w:p w:rsidR="008E25B1" w:rsidRPr="001051C0" w:rsidRDefault="008E25B1" w:rsidP="003B754F">
                  <w:pPr>
                    <w:rPr>
                      <w:rFonts w:cs="Times New Roman"/>
                      <w:smallCaps/>
                      <w:lang w:val="fr-FR"/>
                    </w:rPr>
                  </w:pPr>
                </w:p>
                <w:p w:rsidR="008E25B1" w:rsidRPr="001051C0" w:rsidRDefault="008E25B1" w:rsidP="003B754F">
                  <w:pPr>
                    <w:rPr>
                      <w:rFonts w:cs="Times New Roman"/>
                      <w:smallCaps/>
                      <w:lang w:val="fr-FR"/>
                    </w:rPr>
                  </w:pPr>
                </w:p>
                <w:p w:rsidR="008E25B1" w:rsidRPr="001051C0" w:rsidRDefault="008E25B1" w:rsidP="003B754F">
                  <w:pPr>
                    <w:rPr>
                      <w:rFonts w:cs="Times New Roman"/>
                      <w:smallCaps/>
                      <w:lang w:val="fr-FR"/>
                    </w:rPr>
                  </w:pPr>
                </w:p>
                <w:p w:rsidR="008E25B1" w:rsidRPr="001051C0" w:rsidRDefault="008E25B1" w:rsidP="003B754F">
                  <w:pPr>
                    <w:rPr>
                      <w:rFonts w:cs="Times New Roman"/>
                      <w:smallCaps/>
                      <w:lang w:val="fr-FR"/>
                    </w:rPr>
                  </w:pPr>
                </w:p>
                <w:p w:rsidR="008E25B1" w:rsidRPr="001051C0" w:rsidRDefault="008E25B1" w:rsidP="003B754F">
                  <w:pPr>
                    <w:jc w:val="center"/>
                    <w:rPr>
                      <w:rFonts w:cs="Times New Roman"/>
                      <w:b/>
                      <w:bCs/>
                      <w:smallCaps/>
                      <w:sz w:val="36"/>
                      <w:szCs w:val="36"/>
                      <w:lang w:val="fr-FR"/>
                    </w:rPr>
                  </w:pPr>
                  <w:r w:rsidRPr="001051C0">
                    <w:rPr>
                      <w:rFonts w:cs="Times New Roman"/>
                      <w:b/>
                      <w:bCs/>
                      <w:smallCaps/>
                      <w:sz w:val="36"/>
                      <w:szCs w:val="36"/>
                      <w:lang w:val="fr-FR"/>
                    </w:rPr>
                    <w:t>Politiques de sauvegarde de la Banque mondiale</w:t>
                  </w:r>
                </w:p>
                <w:p w:rsidR="008E25B1" w:rsidRPr="001051C0" w:rsidRDefault="008E25B1" w:rsidP="003B754F">
                  <w:pPr>
                    <w:jc w:val="center"/>
                    <w:rPr>
                      <w:rFonts w:cs="Times New Roman"/>
                      <w:b/>
                      <w:bCs/>
                      <w:smallCaps/>
                      <w:sz w:val="36"/>
                      <w:szCs w:val="36"/>
                      <w:lang w:val="fr-FR"/>
                    </w:rPr>
                  </w:pPr>
                </w:p>
                <w:p w:rsidR="008E25B1" w:rsidRPr="001051C0" w:rsidRDefault="008E25B1" w:rsidP="003B754F">
                  <w:pPr>
                    <w:jc w:val="center"/>
                    <w:rPr>
                      <w:rFonts w:cs="Times New Roman"/>
                      <w:b/>
                      <w:bCs/>
                      <w:smallCaps/>
                      <w:sz w:val="36"/>
                      <w:szCs w:val="36"/>
                      <w:lang w:val="fr-FR"/>
                    </w:rPr>
                  </w:pPr>
                  <w:r w:rsidRPr="001051C0">
                    <w:rPr>
                      <w:rFonts w:cs="Times New Roman"/>
                      <w:b/>
                      <w:bCs/>
                      <w:smallCaps/>
                      <w:sz w:val="36"/>
                      <w:szCs w:val="36"/>
                      <w:lang w:val="fr-FR"/>
                    </w:rPr>
                    <w:t>Projet d'examen et de mise à jour</w:t>
                  </w:r>
                </w:p>
                <w:p w:rsidR="008E25B1" w:rsidRPr="001051C0" w:rsidRDefault="008E25B1" w:rsidP="003B754F">
                  <w:pPr>
                    <w:jc w:val="center"/>
                    <w:rPr>
                      <w:rFonts w:cs="Times New Roman"/>
                      <w:b/>
                      <w:bCs/>
                      <w:smallCaps/>
                      <w:sz w:val="36"/>
                      <w:szCs w:val="36"/>
                      <w:lang w:val="fr-FR"/>
                    </w:rPr>
                  </w:pPr>
                </w:p>
                <w:p w:rsidR="008E25B1" w:rsidRPr="001051C0" w:rsidRDefault="008E25B1" w:rsidP="003B754F">
                  <w:pPr>
                    <w:jc w:val="center"/>
                    <w:rPr>
                      <w:rFonts w:cs="Times New Roman"/>
                      <w:b/>
                      <w:bCs/>
                      <w:smallCaps/>
                      <w:sz w:val="36"/>
                      <w:szCs w:val="36"/>
                      <w:lang w:val="fr-FR"/>
                    </w:rPr>
                  </w:pPr>
                </w:p>
                <w:p w:rsidR="008E25B1" w:rsidRPr="001051C0" w:rsidRDefault="008E25B1" w:rsidP="003B754F">
                  <w:pPr>
                    <w:jc w:val="center"/>
                    <w:rPr>
                      <w:rFonts w:cs="Times New Roman"/>
                      <w:b/>
                      <w:bCs/>
                      <w:smallCaps/>
                      <w:sz w:val="36"/>
                      <w:szCs w:val="36"/>
                      <w:lang w:val="fr-FR"/>
                    </w:rPr>
                  </w:pPr>
                </w:p>
                <w:p w:rsidR="008E25B1" w:rsidRPr="001051C0" w:rsidRDefault="008E25B1" w:rsidP="003B754F">
                  <w:pPr>
                    <w:jc w:val="center"/>
                    <w:rPr>
                      <w:rFonts w:cs="Times New Roman"/>
                      <w:b/>
                      <w:bCs/>
                      <w:smallCaps/>
                      <w:sz w:val="36"/>
                      <w:szCs w:val="36"/>
                      <w:lang w:val="fr-FR"/>
                    </w:rPr>
                  </w:pPr>
                  <w:r w:rsidRPr="001051C0">
                    <w:rPr>
                      <w:rFonts w:cs="Times New Roman"/>
                      <w:b/>
                      <w:bCs/>
                      <w:smallCaps/>
                      <w:sz w:val="36"/>
                      <w:szCs w:val="36"/>
                      <w:lang w:val="fr-FR"/>
                    </w:rPr>
                    <w:t>Document de cadrage</w:t>
                  </w:r>
                </w:p>
                <w:p w:rsidR="008E25B1" w:rsidRPr="001051C0" w:rsidRDefault="008E25B1" w:rsidP="003B754F">
                  <w:pPr>
                    <w:pStyle w:val="Heading2notoc"/>
                    <w:rPr>
                      <w:lang w:val="fr-FR"/>
                    </w:rPr>
                  </w:pPr>
                </w:p>
                <w:p w:rsidR="008E25B1" w:rsidRPr="001051C0" w:rsidRDefault="008E25B1" w:rsidP="003B754F">
                  <w:pPr>
                    <w:pStyle w:val="Heading2notoc"/>
                    <w:rPr>
                      <w:lang w:val="fr-FR"/>
                    </w:rPr>
                  </w:pPr>
                </w:p>
                <w:p w:rsidR="008E25B1" w:rsidRPr="001051C0" w:rsidRDefault="008E25B1" w:rsidP="00497361">
                  <w:pPr>
                    <w:pStyle w:val="Heading2notoc"/>
                    <w:ind w:left="0" w:firstLine="0"/>
                    <w:jc w:val="left"/>
                    <w:rPr>
                      <w:lang w:val="fr-FR"/>
                    </w:rPr>
                  </w:pPr>
                </w:p>
                <w:p w:rsidR="008E25B1" w:rsidRPr="001051C0" w:rsidRDefault="008E25B1" w:rsidP="003B754F">
                  <w:pPr>
                    <w:pStyle w:val="Heading2notoc"/>
                    <w:rPr>
                      <w:lang w:val="fr-FR"/>
                    </w:rPr>
                  </w:pPr>
                </w:p>
                <w:p w:rsidR="008E25B1" w:rsidRDefault="008E25B1" w:rsidP="00EB4127">
                  <w:pPr>
                    <w:jc w:val="center"/>
                    <w:rPr>
                      <w:rFonts w:cs="Times New Roman"/>
                      <w:b/>
                      <w:bCs/>
                      <w:sz w:val="28"/>
                      <w:szCs w:val="28"/>
                      <w:lang w:val="fr-FR"/>
                    </w:rPr>
                  </w:pPr>
                  <w:r>
                    <w:rPr>
                      <w:rFonts w:cs="Times New Roman"/>
                      <w:b/>
                      <w:bCs/>
                      <w:sz w:val="28"/>
                      <w:szCs w:val="28"/>
                      <w:lang w:val="fr-FR"/>
                    </w:rPr>
                    <w:t>10</w:t>
                  </w:r>
                  <w:r w:rsidRPr="001051C0">
                    <w:rPr>
                      <w:rFonts w:cs="Times New Roman"/>
                      <w:b/>
                      <w:bCs/>
                      <w:sz w:val="28"/>
                      <w:szCs w:val="28"/>
                      <w:lang w:val="fr-FR"/>
                    </w:rPr>
                    <w:t xml:space="preserve"> octobre 2012</w:t>
                  </w:r>
                </w:p>
                <w:p w:rsidR="008E25B1" w:rsidRDefault="008E25B1" w:rsidP="00EB4127">
                  <w:pPr>
                    <w:jc w:val="center"/>
                    <w:rPr>
                      <w:rFonts w:cs="Times New Roman"/>
                      <w:b/>
                      <w:bCs/>
                      <w:sz w:val="20"/>
                      <w:szCs w:val="28"/>
                      <w:lang w:val="fr-FR"/>
                    </w:rPr>
                  </w:pPr>
                </w:p>
                <w:p w:rsidR="008E25B1" w:rsidRPr="008C647D" w:rsidRDefault="008E25B1" w:rsidP="00EB4127">
                  <w:pPr>
                    <w:jc w:val="center"/>
                    <w:rPr>
                      <w:rFonts w:cs="Times New Roman"/>
                      <w:b/>
                      <w:bCs/>
                      <w:sz w:val="20"/>
                      <w:szCs w:val="28"/>
                      <w:lang w:val="fr-FR"/>
                    </w:rPr>
                  </w:pPr>
                </w:p>
                <w:p w:rsidR="008E25B1" w:rsidRDefault="008E25B1" w:rsidP="00497361">
                  <w:pPr>
                    <w:jc w:val="center"/>
                    <w:rPr>
                      <w:rFonts w:cs="Verdana"/>
                      <w:sz w:val="20"/>
                      <w:szCs w:val="26"/>
                    </w:rPr>
                  </w:pPr>
                </w:p>
                <w:p w:rsidR="008E25B1" w:rsidRDefault="008E25B1" w:rsidP="00497361">
                  <w:pPr>
                    <w:jc w:val="center"/>
                    <w:rPr>
                      <w:rFonts w:cs="Verdana"/>
                      <w:sz w:val="20"/>
                      <w:szCs w:val="26"/>
                    </w:rPr>
                  </w:pPr>
                </w:p>
                <w:p w:rsidR="008E25B1" w:rsidRDefault="008E25B1" w:rsidP="00497361">
                  <w:pPr>
                    <w:jc w:val="center"/>
                    <w:rPr>
                      <w:rFonts w:cs="Verdana"/>
                      <w:sz w:val="20"/>
                      <w:szCs w:val="26"/>
                    </w:rPr>
                  </w:pPr>
                </w:p>
                <w:p w:rsidR="008E25B1" w:rsidRDefault="008E25B1" w:rsidP="00497361">
                  <w:pPr>
                    <w:jc w:val="center"/>
                    <w:rPr>
                      <w:rFonts w:cs="Verdana"/>
                      <w:sz w:val="20"/>
                      <w:szCs w:val="26"/>
                    </w:rPr>
                  </w:pPr>
                </w:p>
                <w:p w:rsidR="008E25B1" w:rsidRDefault="008E25B1" w:rsidP="00497361">
                  <w:pPr>
                    <w:jc w:val="center"/>
                    <w:rPr>
                      <w:rFonts w:cs="Verdana"/>
                      <w:sz w:val="20"/>
                      <w:szCs w:val="26"/>
                    </w:rPr>
                  </w:pPr>
                </w:p>
                <w:p w:rsidR="008E25B1" w:rsidRDefault="008E25B1" w:rsidP="00497361">
                  <w:pPr>
                    <w:jc w:val="center"/>
                    <w:rPr>
                      <w:rFonts w:cs="Verdana"/>
                      <w:sz w:val="20"/>
                      <w:szCs w:val="26"/>
                    </w:rPr>
                  </w:pPr>
                </w:p>
                <w:p w:rsidR="008E25B1" w:rsidRDefault="008E25B1" w:rsidP="00497361">
                  <w:pPr>
                    <w:jc w:val="center"/>
                    <w:rPr>
                      <w:rFonts w:cs="Verdana"/>
                      <w:sz w:val="20"/>
                      <w:szCs w:val="26"/>
                    </w:rPr>
                  </w:pPr>
                </w:p>
                <w:p w:rsidR="008E25B1" w:rsidRDefault="008E25B1" w:rsidP="00497361">
                  <w:pPr>
                    <w:jc w:val="center"/>
                    <w:rPr>
                      <w:rFonts w:cs="Verdana"/>
                      <w:sz w:val="20"/>
                      <w:szCs w:val="26"/>
                    </w:rPr>
                  </w:pPr>
                </w:p>
                <w:p w:rsidR="008E25B1" w:rsidRPr="008C647D" w:rsidRDefault="008E25B1" w:rsidP="008E25B1">
                  <w:pPr>
                    <w:widowControl/>
                    <w:spacing w:after="200"/>
                    <w:rPr>
                      <w:rFonts w:cs="Times New Roman"/>
                      <w:b/>
                      <w:bCs/>
                      <w:smallCaps/>
                      <w:sz w:val="20"/>
                      <w:szCs w:val="36"/>
                      <w:lang w:val="fr-FR"/>
                    </w:rPr>
                  </w:pPr>
                  <w:r w:rsidRPr="008E25B1">
                    <w:rPr>
                      <w:rFonts w:eastAsia="Times New Roman" w:cs="Times New Roman"/>
                      <w:sz w:val="20"/>
                      <w:szCs w:val="20"/>
                      <w:lang w:val="fr-FR"/>
                    </w:rPr>
                    <w:t xml:space="preserve">Ceci est une traduction du document </w:t>
                  </w:r>
                  <w:r w:rsidRPr="008E25B1">
                    <w:rPr>
                      <w:rFonts w:eastAsia="Times New Roman" w:cs="Times New Roman"/>
                      <w:i/>
                      <w:sz w:val="20"/>
                      <w:szCs w:val="20"/>
                      <w:lang w:val="fr-FR"/>
                    </w:rPr>
                    <w:t>Projet de revue et mise à jour des politiques de sauvegarde de la Banque Mondiale</w:t>
                  </w:r>
                  <w:r w:rsidRPr="008E25B1">
                    <w:rPr>
                      <w:rFonts w:eastAsia="Times New Roman" w:cs="Times New Roman"/>
                      <w:sz w:val="20"/>
                      <w:szCs w:val="20"/>
                      <w:lang w:val="fr-FR"/>
                    </w:rPr>
                    <w:t xml:space="preserve"> en date du 10 octobre 2012; elle est</w:t>
                  </w:r>
                  <w:r>
                    <w:rPr>
                      <w:rFonts w:eastAsia="Times New Roman" w:cs="Times New Roman"/>
                      <w:sz w:val="20"/>
                      <w:szCs w:val="20"/>
                      <w:lang w:val="fr-FR"/>
                    </w:rPr>
                    <w:t xml:space="preserve"> </w:t>
                  </w:r>
                  <w:r w:rsidRPr="008E25B1">
                    <w:rPr>
                      <w:rFonts w:eastAsia="Times New Roman" w:cs="Times New Roman"/>
                      <w:sz w:val="20"/>
                      <w:szCs w:val="20"/>
                      <w:lang w:val="fr-FR"/>
                    </w:rPr>
                    <w:t>gracieusement mise à la disposition des parties intéressées.  Dans l'éventualité où cette traduction divergeait avec le texte original officiel en anglais, l’original en anglais primerait.</w:t>
                  </w:r>
                </w:p>
              </w:txbxContent>
            </v:textbox>
            <w10:wrap type="tight"/>
          </v:shape>
        </w:pict>
      </w:r>
    </w:p>
    <w:p w:rsidR="00AE449F" w:rsidRPr="003D3F80" w:rsidRDefault="00AE449F" w:rsidP="00A90205">
      <w:pPr>
        <w:widowControl/>
        <w:spacing w:after="200" w:line="276" w:lineRule="auto"/>
        <w:jc w:val="center"/>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lastRenderedPageBreak/>
        <w:t>Sigles</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BP</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Procédures de la Banque</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CODE</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Comité pour l</w:t>
      </w:r>
      <w:r w:rsidR="001051C0">
        <w:rPr>
          <w:rFonts w:ascii="Times New Roman Bold" w:eastAsiaTheme="majorEastAsia" w:hAnsi="Times New Roman Bold" w:cs="Times New Roman"/>
          <w:b/>
          <w:bCs/>
          <w:smallCaps/>
          <w:szCs w:val="24"/>
          <w:lang w:val="fr-FR"/>
        </w:rPr>
        <w:t>’</w:t>
      </w:r>
      <w:r w:rsidRPr="003D3F80">
        <w:rPr>
          <w:rFonts w:ascii="Times New Roman Bold" w:eastAsiaTheme="majorEastAsia" w:hAnsi="Times New Roman Bold" w:cs="Times New Roman"/>
          <w:b/>
          <w:bCs/>
          <w:smallCaps/>
          <w:szCs w:val="24"/>
          <w:lang w:val="fr-FR"/>
        </w:rPr>
        <w:t>efficacité du développement</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EXT</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r>
      <w:r w:rsidR="004F3540" w:rsidRPr="003D3F80">
        <w:rPr>
          <w:rFonts w:ascii="Times New Roman Bold" w:eastAsiaTheme="majorEastAsia" w:hAnsi="Times New Roman Bold" w:cs="Times New Roman"/>
          <w:b/>
          <w:bCs/>
          <w:smallCaps/>
          <w:szCs w:val="24"/>
          <w:lang w:val="fr-FR"/>
        </w:rPr>
        <w:t>Relations</w:t>
      </w:r>
      <w:r w:rsidRPr="003D3F80">
        <w:rPr>
          <w:rFonts w:ascii="Times New Roman Bold" w:eastAsiaTheme="majorEastAsia" w:hAnsi="Times New Roman Bold" w:cs="Times New Roman"/>
          <w:b/>
          <w:bCs/>
          <w:smallCaps/>
          <w:szCs w:val="24"/>
          <w:lang w:val="fr-FR"/>
        </w:rPr>
        <w:t xml:space="preserve"> extérieures</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IEG</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Groupe indépendant d</w:t>
      </w:r>
      <w:r w:rsidR="001051C0">
        <w:rPr>
          <w:rFonts w:ascii="Times New Roman Bold" w:eastAsiaTheme="majorEastAsia" w:hAnsi="Times New Roman Bold" w:cs="Times New Roman"/>
          <w:b/>
          <w:bCs/>
          <w:smallCaps/>
          <w:szCs w:val="24"/>
          <w:lang w:val="fr-FR"/>
        </w:rPr>
        <w:t>’</w:t>
      </w:r>
      <w:r w:rsidRPr="003D3F80">
        <w:rPr>
          <w:rFonts w:ascii="Times New Roman Bold" w:eastAsiaTheme="majorEastAsia" w:hAnsi="Times New Roman Bold" w:cs="Times New Roman"/>
          <w:b/>
          <w:bCs/>
          <w:smallCaps/>
          <w:szCs w:val="24"/>
          <w:lang w:val="fr-FR"/>
        </w:rPr>
        <w:t>évaluation</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IFC</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Société financière internationale</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LEG</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Département juridique</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BMD</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Banque multilatérale de développement</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MIGA</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Agence multilatérale de garantie des investissements</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OD</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Directive opérationnelle</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O</w:t>
      </w:r>
      <w:r w:rsidR="002C34EF" w:rsidRPr="003D3F80">
        <w:rPr>
          <w:rFonts w:ascii="Times New Roman Bold" w:eastAsiaTheme="majorEastAsia" w:hAnsi="Times New Roman Bold" w:cs="Times New Roman"/>
          <w:b/>
          <w:bCs/>
          <w:smallCaps/>
          <w:szCs w:val="24"/>
          <w:lang w:val="fr-FR"/>
        </w:rPr>
        <w:t>CDE</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Organisation de coopération et de développement économiques</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OP</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Politique opérationnelle</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OPCS</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 xml:space="preserve">Politique opérationnelle et services aux pays </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SDN</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Réseau du développement durable</w:t>
      </w:r>
    </w:p>
    <w:p w:rsidR="00AE449F" w:rsidRPr="003D3F80" w:rsidRDefault="00AE449F" w:rsidP="00A90205">
      <w:pPr>
        <w:widowControl/>
        <w:spacing w:after="200" w:line="276" w:lineRule="auto"/>
        <w:rPr>
          <w:rFonts w:ascii="Times New Roman Bold" w:eastAsiaTheme="majorEastAsia" w:hAnsi="Times New Roman Bold" w:cs="Times New Roman"/>
          <w:b/>
          <w:bCs/>
          <w:smallCaps/>
          <w:szCs w:val="24"/>
          <w:lang w:val="fr-FR"/>
        </w:rPr>
      </w:pPr>
      <w:r w:rsidRPr="003D3F80">
        <w:rPr>
          <w:rFonts w:ascii="Times New Roman Bold" w:eastAsiaTheme="majorEastAsia" w:hAnsi="Times New Roman Bold" w:cs="Times New Roman"/>
          <w:b/>
          <w:bCs/>
          <w:smallCaps/>
          <w:szCs w:val="24"/>
          <w:lang w:val="fr-FR"/>
        </w:rPr>
        <w:t>ONU</w:t>
      </w:r>
      <w:r w:rsidRPr="003D3F80">
        <w:rPr>
          <w:rFonts w:ascii="Times New Roman Bold" w:eastAsiaTheme="majorEastAsia" w:hAnsi="Times New Roman Bold" w:cs="Times New Roman"/>
          <w:b/>
          <w:bCs/>
          <w:smallCaps/>
          <w:szCs w:val="24"/>
          <w:lang w:val="fr-FR"/>
        </w:rPr>
        <w:tab/>
      </w:r>
      <w:r w:rsidRPr="003D3F80">
        <w:rPr>
          <w:rFonts w:ascii="Times New Roman Bold" w:eastAsiaTheme="majorEastAsia" w:hAnsi="Times New Roman Bold" w:cs="Times New Roman"/>
          <w:b/>
          <w:bCs/>
          <w:smallCaps/>
          <w:szCs w:val="24"/>
          <w:lang w:val="fr-FR"/>
        </w:rPr>
        <w:tab/>
        <w:t>Organisation des Nations Unies</w:t>
      </w:r>
    </w:p>
    <w:p w:rsidR="00CE08A7" w:rsidRPr="003D3F80" w:rsidRDefault="00CE08A7" w:rsidP="00A90205">
      <w:pPr>
        <w:widowControl/>
        <w:spacing w:after="200" w:line="276" w:lineRule="auto"/>
        <w:rPr>
          <w:lang w:val="fr-FR"/>
        </w:rPr>
      </w:pPr>
    </w:p>
    <w:p w:rsidR="00CE08A7" w:rsidRPr="003D3F80" w:rsidRDefault="003B754F" w:rsidP="00A90205">
      <w:pPr>
        <w:widowControl/>
        <w:spacing w:after="200" w:line="276" w:lineRule="auto"/>
        <w:rPr>
          <w:lang w:val="fr-FR"/>
        </w:rPr>
      </w:pPr>
      <w:r w:rsidRPr="003D3F80">
        <w:rPr>
          <w:lang w:val="fr-FR"/>
        </w:rPr>
        <w:br w:type="page"/>
      </w:r>
    </w:p>
    <w:p w:rsidR="002508ED" w:rsidRPr="003D3F80" w:rsidRDefault="0045116E" w:rsidP="00A90205">
      <w:pPr>
        <w:spacing w:after="200" w:line="276" w:lineRule="auto"/>
        <w:jc w:val="center"/>
        <w:rPr>
          <w:rFonts w:cs="Times New Roman"/>
          <w:b/>
          <w:bCs/>
          <w:smallCaps/>
          <w:sz w:val="28"/>
          <w:szCs w:val="28"/>
          <w:lang w:val="fr-FR"/>
        </w:rPr>
      </w:pPr>
      <w:r w:rsidRPr="003D3F80">
        <w:rPr>
          <w:rFonts w:cs="Times New Roman"/>
          <w:b/>
          <w:bCs/>
          <w:smallCaps/>
          <w:sz w:val="28"/>
          <w:szCs w:val="28"/>
          <w:lang w:val="fr-FR"/>
        </w:rPr>
        <w:lastRenderedPageBreak/>
        <w:t>politiques de sauvegarde de la Banque mondiale</w:t>
      </w:r>
    </w:p>
    <w:p w:rsidR="002508ED" w:rsidRPr="003D3F80" w:rsidRDefault="0045116E" w:rsidP="00A90205">
      <w:pPr>
        <w:spacing w:after="200" w:line="276" w:lineRule="auto"/>
        <w:jc w:val="center"/>
        <w:rPr>
          <w:rFonts w:cs="Times New Roman"/>
          <w:b/>
          <w:bCs/>
          <w:smallCaps/>
          <w:sz w:val="28"/>
          <w:szCs w:val="28"/>
          <w:lang w:val="fr-FR"/>
        </w:rPr>
      </w:pPr>
      <w:r w:rsidRPr="003D3F80">
        <w:rPr>
          <w:rFonts w:cs="Times New Roman"/>
          <w:b/>
          <w:bCs/>
          <w:smallCaps/>
          <w:sz w:val="28"/>
          <w:szCs w:val="28"/>
          <w:lang w:val="fr-FR"/>
        </w:rPr>
        <w:t>projet d</w:t>
      </w:r>
      <w:r w:rsidR="001051C0">
        <w:rPr>
          <w:rFonts w:cs="Times New Roman"/>
          <w:b/>
          <w:bCs/>
          <w:smallCaps/>
          <w:sz w:val="28"/>
          <w:szCs w:val="28"/>
          <w:lang w:val="fr-FR"/>
        </w:rPr>
        <w:t>’</w:t>
      </w:r>
      <w:r w:rsidRPr="003D3F80">
        <w:rPr>
          <w:rFonts w:cs="Times New Roman"/>
          <w:b/>
          <w:bCs/>
          <w:smallCaps/>
          <w:sz w:val="28"/>
          <w:szCs w:val="28"/>
          <w:lang w:val="fr-FR"/>
        </w:rPr>
        <w:t>examen et de mise à jour</w:t>
      </w:r>
    </w:p>
    <w:p w:rsidR="002508ED" w:rsidRPr="003D3F80" w:rsidRDefault="0045116E" w:rsidP="00A90205">
      <w:pPr>
        <w:spacing w:after="200" w:line="276" w:lineRule="auto"/>
        <w:jc w:val="center"/>
        <w:rPr>
          <w:rFonts w:cs="Times New Roman"/>
          <w:b/>
          <w:bCs/>
          <w:smallCaps/>
          <w:sz w:val="28"/>
          <w:szCs w:val="28"/>
          <w:lang w:val="fr-FR"/>
        </w:rPr>
      </w:pPr>
      <w:r w:rsidRPr="003D3F80">
        <w:rPr>
          <w:rFonts w:cs="Times New Roman"/>
          <w:b/>
          <w:bCs/>
          <w:smallCaps/>
          <w:sz w:val="28"/>
          <w:szCs w:val="28"/>
          <w:lang w:val="fr-FR"/>
        </w:rPr>
        <w:t>document de cadrage</w:t>
      </w:r>
    </w:p>
    <w:p w:rsidR="002508ED" w:rsidRPr="003D3F80" w:rsidRDefault="002508ED" w:rsidP="00A90205">
      <w:pPr>
        <w:spacing w:after="200" w:line="276" w:lineRule="auto"/>
        <w:jc w:val="center"/>
        <w:rPr>
          <w:rFonts w:cs="Times New Roman"/>
          <w:b/>
          <w:bCs/>
          <w:smallCaps/>
          <w:szCs w:val="24"/>
          <w:lang w:val="fr-FR"/>
        </w:rPr>
      </w:pPr>
    </w:p>
    <w:p w:rsidR="002508ED" w:rsidRPr="003D3F80" w:rsidRDefault="0045116E" w:rsidP="00A90205">
      <w:pPr>
        <w:spacing w:after="200" w:line="276" w:lineRule="auto"/>
        <w:jc w:val="center"/>
        <w:rPr>
          <w:rFonts w:cs="Times New Roman"/>
          <w:b/>
          <w:bCs/>
          <w:smallCaps/>
          <w:szCs w:val="24"/>
          <w:lang w:val="fr-FR"/>
        </w:rPr>
      </w:pPr>
      <w:r w:rsidRPr="003D3F80">
        <w:rPr>
          <w:rFonts w:cs="Times New Roman"/>
          <w:b/>
          <w:bCs/>
          <w:smallCaps/>
          <w:szCs w:val="24"/>
          <w:lang w:val="fr-FR"/>
        </w:rPr>
        <w:t>Table des matières</w:t>
      </w:r>
    </w:p>
    <w:p w:rsidR="00350F0A" w:rsidRDefault="00940173">
      <w:pPr>
        <w:pStyle w:val="TOC1"/>
        <w:rPr>
          <w:rFonts w:asciiTheme="minorHAnsi" w:eastAsiaTheme="minorEastAsia" w:hAnsiTheme="minorHAnsi"/>
          <w:noProof/>
          <w:sz w:val="22"/>
        </w:rPr>
      </w:pPr>
      <w:r w:rsidRPr="003D3F80">
        <w:rPr>
          <w:lang w:val="fr-FR"/>
        </w:rPr>
        <w:fldChar w:fldCharType="begin"/>
      </w:r>
      <w:r w:rsidR="00A57E83" w:rsidRPr="003D3F80">
        <w:rPr>
          <w:lang w:val="fr-FR"/>
        </w:rPr>
        <w:instrText xml:space="preserve"> TOC \h \z \u \t "Heading 3,1" </w:instrText>
      </w:r>
      <w:r w:rsidRPr="003D3F80">
        <w:rPr>
          <w:lang w:val="fr-FR"/>
        </w:rPr>
        <w:fldChar w:fldCharType="separate"/>
      </w:r>
      <w:hyperlink w:anchor="_Toc338065564" w:history="1">
        <w:r w:rsidR="00350F0A" w:rsidRPr="00BA1ED6">
          <w:rPr>
            <w:rStyle w:val="Hyperlink"/>
            <w:noProof/>
            <w:lang w:val="fr-FR"/>
          </w:rPr>
          <w:t>résumé analytique</w:t>
        </w:r>
        <w:r w:rsidR="00350F0A">
          <w:rPr>
            <w:noProof/>
            <w:webHidden/>
          </w:rPr>
          <w:tab/>
        </w:r>
        <w:r>
          <w:rPr>
            <w:noProof/>
            <w:webHidden/>
          </w:rPr>
          <w:fldChar w:fldCharType="begin"/>
        </w:r>
        <w:r w:rsidR="00350F0A">
          <w:rPr>
            <w:noProof/>
            <w:webHidden/>
          </w:rPr>
          <w:instrText xml:space="preserve"> PAGEREF _Toc338065564 \h </w:instrText>
        </w:r>
        <w:r>
          <w:rPr>
            <w:noProof/>
            <w:webHidden/>
          </w:rPr>
        </w:r>
        <w:r>
          <w:rPr>
            <w:noProof/>
            <w:webHidden/>
          </w:rPr>
          <w:fldChar w:fldCharType="separate"/>
        </w:r>
        <w:r w:rsidR="00350F0A">
          <w:rPr>
            <w:noProof/>
            <w:webHidden/>
          </w:rPr>
          <w:t>1</w:t>
        </w:r>
        <w:r>
          <w:rPr>
            <w:noProof/>
            <w:webHidden/>
          </w:rPr>
          <w:fldChar w:fldCharType="end"/>
        </w:r>
      </w:hyperlink>
    </w:p>
    <w:p w:rsidR="00350F0A" w:rsidRDefault="009F6210">
      <w:pPr>
        <w:pStyle w:val="TOC1"/>
        <w:rPr>
          <w:rFonts w:asciiTheme="minorHAnsi" w:eastAsiaTheme="minorEastAsia" w:hAnsiTheme="minorHAnsi"/>
          <w:noProof/>
          <w:sz w:val="22"/>
        </w:rPr>
      </w:pPr>
      <w:hyperlink w:anchor="_Toc338065565" w:history="1">
        <w:r w:rsidR="00350F0A" w:rsidRPr="00BA1ED6">
          <w:rPr>
            <w:rStyle w:val="Hyperlink"/>
            <w:noProof/>
            <w:lang w:val="fr-FR"/>
          </w:rPr>
          <w:t>I.</w:t>
        </w:r>
        <w:r w:rsidR="00350F0A">
          <w:rPr>
            <w:rFonts w:asciiTheme="minorHAnsi" w:eastAsiaTheme="minorEastAsia" w:hAnsiTheme="minorHAnsi"/>
            <w:noProof/>
            <w:sz w:val="22"/>
          </w:rPr>
          <w:tab/>
        </w:r>
        <w:r w:rsidR="00350F0A" w:rsidRPr="00BA1ED6">
          <w:rPr>
            <w:rStyle w:val="Hyperlink"/>
            <w:noProof/>
            <w:lang w:val="fr-FR"/>
          </w:rPr>
          <w:t>Contexte général</w:t>
        </w:r>
        <w:r w:rsidR="00350F0A">
          <w:rPr>
            <w:noProof/>
            <w:webHidden/>
          </w:rPr>
          <w:tab/>
        </w:r>
        <w:r w:rsidR="00940173">
          <w:rPr>
            <w:noProof/>
            <w:webHidden/>
          </w:rPr>
          <w:fldChar w:fldCharType="begin"/>
        </w:r>
        <w:r w:rsidR="00350F0A">
          <w:rPr>
            <w:noProof/>
            <w:webHidden/>
          </w:rPr>
          <w:instrText xml:space="preserve"> PAGEREF _Toc338065565 \h </w:instrText>
        </w:r>
        <w:r w:rsidR="00940173">
          <w:rPr>
            <w:noProof/>
            <w:webHidden/>
          </w:rPr>
        </w:r>
        <w:r w:rsidR="00940173">
          <w:rPr>
            <w:noProof/>
            <w:webHidden/>
          </w:rPr>
          <w:fldChar w:fldCharType="separate"/>
        </w:r>
        <w:r w:rsidR="00350F0A">
          <w:rPr>
            <w:noProof/>
            <w:webHidden/>
          </w:rPr>
          <w:t>2</w:t>
        </w:r>
        <w:r w:rsidR="00940173">
          <w:rPr>
            <w:noProof/>
            <w:webHidden/>
          </w:rPr>
          <w:fldChar w:fldCharType="end"/>
        </w:r>
      </w:hyperlink>
    </w:p>
    <w:p w:rsidR="00350F0A" w:rsidRDefault="009F6210">
      <w:pPr>
        <w:pStyle w:val="TOC1"/>
        <w:rPr>
          <w:rFonts w:asciiTheme="minorHAnsi" w:eastAsiaTheme="minorEastAsia" w:hAnsiTheme="minorHAnsi"/>
          <w:noProof/>
          <w:sz w:val="22"/>
        </w:rPr>
      </w:pPr>
      <w:hyperlink w:anchor="_Toc338065566" w:history="1">
        <w:r w:rsidR="00350F0A" w:rsidRPr="00BA1ED6">
          <w:rPr>
            <w:rStyle w:val="Hyperlink"/>
            <w:noProof/>
            <w:lang w:val="fr-FR"/>
          </w:rPr>
          <w:t>II.</w:t>
        </w:r>
        <w:r w:rsidR="00350F0A">
          <w:rPr>
            <w:rFonts w:asciiTheme="minorHAnsi" w:eastAsiaTheme="minorEastAsia" w:hAnsiTheme="minorHAnsi"/>
            <w:noProof/>
            <w:sz w:val="22"/>
          </w:rPr>
          <w:tab/>
        </w:r>
        <w:r w:rsidR="00350F0A" w:rsidRPr="00BA1ED6">
          <w:rPr>
            <w:rStyle w:val="Hyperlink"/>
            <w:noProof/>
            <w:lang w:val="fr-FR"/>
          </w:rPr>
          <w:t>Raison d’être de l’examen et de la mise à jour</w:t>
        </w:r>
        <w:r w:rsidR="00350F0A">
          <w:rPr>
            <w:noProof/>
            <w:webHidden/>
          </w:rPr>
          <w:tab/>
        </w:r>
        <w:r w:rsidR="00940173">
          <w:rPr>
            <w:noProof/>
            <w:webHidden/>
          </w:rPr>
          <w:fldChar w:fldCharType="begin"/>
        </w:r>
        <w:r w:rsidR="00350F0A">
          <w:rPr>
            <w:noProof/>
            <w:webHidden/>
          </w:rPr>
          <w:instrText xml:space="preserve"> PAGEREF _Toc338065566 \h </w:instrText>
        </w:r>
        <w:r w:rsidR="00940173">
          <w:rPr>
            <w:noProof/>
            <w:webHidden/>
          </w:rPr>
        </w:r>
        <w:r w:rsidR="00940173">
          <w:rPr>
            <w:noProof/>
            <w:webHidden/>
          </w:rPr>
          <w:fldChar w:fldCharType="separate"/>
        </w:r>
        <w:r w:rsidR="00350F0A">
          <w:rPr>
            <w:noProof/>
            <w:webHidden/>
          </w:rPr>
          <w:t>5</w:t>
        </w:r>
        <w:r w:rsidR="00940173">
          <w:rPr>
            <w:noProof/>
            <w:webHidden/>
          </w:rPr>
          <w:fldChar w:fldCharType="end"/>
        </w:r>
      </w:hyperlink>
    </w:p>
    <w:p w:rsidR="00350F0A" w:rsidRDefault="009F6210">
      <w:pPr>
        <w:pStyle w:val="TOC1"/>
        <w:rPr>
          <w:rFonts w:asciiTheme="minorHAnsi" w:eastAsiaTheme="minorEastAsia" w:hAnsiTheme="minorHAnsi"/>
          <w:noProof/>
          <w:sz w:val="22"/>
        </w:rPr>
      </w:pPr>
      <w:hyperlink w:anchor="_Toc338065567" w:history="1">
        <w:r w:rsidR="00350F0A" w:rsidRPr="00BA1ED6">
          <w:rPr>
            <w:rStyle w:val="Hyperlink"/>
            <w:noProof/>
            <w:lang w:val="fr-FR"/>
          </w:rPr>
          <w:t>III.</w:t>
        </w:r>
        <w:r w:rsidR="00350F0A">
          <w:rPr>
            <w:rFonts w:asciiTheme="minorHAnsi" w:eastAsiaTheme="minorEastAsia" w:hAnsiTheme="minorHAnsi"/>
            <w:noProof/>
            <w:sz w:val="22"/>
          </w:rPr>
          <w:tab/>
        </w:r>
        <w:r w:rsidR="00350F0A" w:rsidRPr="00BA1ED6">
          <w:rPr>
            <w:rStyle w:val="Hyperlink"/>
            <w:noProof/>
            <w:lang w:val="fr-FR"/>
          </w:rPr>
          <w:t>Objectifs de l’examen et de la mise à jour des politiques de sauvegarde</w:t>
        </w:r>
        <w:r w:rsidR="00350F0A">
          <w:rPr>
            <w:noProof/>
            <w:webHidden/>
          </w:rPr>
          <w:tab/>
        </w:r>
        <w:r w:rsidR="00940173">
          <w:rPr>
            <w:noProof/>
            <w:webHidden/>
          </w:rPr>
          <w:fldChar w:fldCharType="begin"/>
        </w:r>
        <w:r w:rsidR="00350F0A">
          <w:rPr>
            <w:noProof/>
            <w:webHidden/>
          </w:rPr>
          <w:instrText xml:space="preserve"> PAGEREF _Toc338065567 \h </w:instrText>
        </w:r>
        <w:r w:rsidR="00940173">
          <w:rPr>
            <w:noProof/>
            <w:webHidden/>
          </w:rPr>
        </w:r>
        <w:r w:rsidR="00940173">
          <w:rPr>
            <w:noProof/>
            <w:webHidden/>
          </w:rPr>
          <w:fldChar w:fldCharType="separate"/>
        </w:r>
        <w:r w:rsidR="00350F0A">
          <w:rPr>
            <w:noProof/>
            <w:webHidden/>
          </w:rPr>
          <w:t>8</w:t>
        </w:r>
        <w:r w:rsidR="00940173">
          <w:rPr>
            <w:noProof/>
            <w:webHidden/>
          </w:rPr>
          <w:fldChar w:fldCharType="end"/>
        </w:r>
      </w:hyperlink>
    </w:p>
    <w:p w:rsidR="00350F0A" w:rsidRDefault="009F6210">
      <w:pPr>
        <w:pStyle w:val="TOC1"/>
        <w:rPr>
          <w:rFonts w:asciiTheme="minorHAnsi" w:eastAsiaTheme="minorEastAsia" w:hAnsiTheme="minorHAnsi"/>
          <w:noProof/>
          <w:sz w:val="22"/>
        </w:rPr>
      </w:pPr>
      <w:hyperlink w:anchor="_Toc338065568" w:history="1">
        <w:r w:rsidR="00350F0A" w:rsidRPr="00BA1ED6">
          <w:rPr>
            <w:rStyle w:val="Hyperlink"/>
            <w:noProof/>
            <w:lang w:val="fr-FR"/>
          </w:rPr>
          <w:t>IV.</w:t>
        </w:r>
        <w:r w:rsidR="00350F0A">
          <w:rPr>
            <w:rFonts w:asciiTheme="minorHAnsi" w:eastAsiaTheme="minorEastAsia" w:hAnsiTheme="minorHAnsi"/>
            <w:noProof/>
            <w:sz w:val="22"/>
          </w:rPr>
          <w:tab/>
        </w:r>
        <w:r w:rsidR="00350F0A" w:rsidRPr="00BA1ED6">
          <w:rPr>
            <w:rStyle w:val="Hyperlink"/>
            <w:noProof/>
            <w:lang w:val="fr-FR"/>
          </w:rPr>
          <w:t>Champ du processus d’examen et de mise à jour</w:t>
        </w:r>
        <w:r w:rsidR="00350F0A">
          <w:rPr>
            <w:noProof/>
            <w:webHidden/>
          </w:rPr>
          <w:tab/>
        </w:r>
        <w:r w:rsidR="00940173">
          <w:rPr>
            <w:noProof/>
            <w:webHidden/>
          </w:rPr>
          <w:fldChar w:fldCharType="begin"/>
        </w:r>
        <w:r w:rsidR="00350F0A">
          <w:rPr>
            <w:noProof/>
            <w:webHidden/>
          </w:rPr>
          <w:instrText xml:space="preserve"> PAGEREF _Toc338065568 \h </w:instrText>
        </w:r>
        <w:r w:rsidR="00940173">
          <w:rPr>
            <w:noProof/>
            <w:webHidden/>
          </w:rPr>
        </w:r>
        <w:r w:rsidR="00940173">
          <w:rPr>
            <w:noProof/>
            <w:webHidden/>
          </w:rPr>
          <w:fldChar w:fldCharType="separate"/>
        </w:r>
        <w:r w:rsidR="00350F0A">
          <w:rPr>
            <w:noProof/>
            <w:webHidden/>
          </w:rPr>
          <w:t>11</w:t>
        </w:r>
        <w:r w:rsidR="00940173">
          <w:rPr>
            <w:noProof/>
            <w:webHidden/>
          </w:rPr>
          <w:fldChar w:fldCharType="end"/>
        </w:r>
      </w:hyperlink>
    </w:p>
    <w:p w:rsidR="00350F0A" w:rsidRDefault="009F6210">
      <w:pPr>
        <w:pStyle w:val="TOC1"/>
        <w:rPr>
          <w:rFonts w:asciiTheme="minorHAnsi" w:eastAsiaTheme="minorEastAsia" w:hAnsiTheme="minorHAnsi"/>
          <w:noProof/>
          <w:sz w:val="22"/>
        </w:rPr>
      </w:pPr>
      <w:hyperlink w:anchor="_Toc338065569" w:history="1">
        <w:r w:rsidR="00350F0A" w:rsidRPr="00BA1ED6">
          <w:rPr>
            <w:rStyle w:val="Hyperlink"/>
            <w:noProof/>
            <w:lang w:val="fr-FR"/>
          </w:rPr>
          <w:t>V.</w:t>
        </w:r>
        <w:r w:rsidR="00350F0A">
          <w:rPr>
            <w:rFonts w:asciiTheme="minorHAnsi" w:eastAsiaTheme="minorEastAsia" w:hAnsiTheme="minorHAnsi"/>
            <w:noProof/>
            <w:sz w:val="22"/>
          </w:rPr>
          <w:tab/>
        </w:r>
        <w:r w:rsidR="00350F0A" w:rsidRPr="00BA1ED6">
          <w:rPr>
            <w:rStyle w:val="Hyperlink"/>
            <w:noProof/>
            <w:lang w:val="fr-FR"/>
          </w:rPr>
          <w:t>Mesures complémentaires à prendre par la direction pour renforcer l’exécution, la supervision, le suivi et le compte rendu des activités de sauvegarde</w:t>
        </w:r>
        <w:r w:rsidR="00350F0A">
          <w:rPr>
            <w:noProof/>
            <w:webHidden/>
          </w:rPr>
          <w:tab/>
        </w:r>
        <w:r w:rsidR="00940173">
          <w:rPr>
            <w:noProof/>
            <w:webHidden/>
          </w:rPr>
          <w:fldChar w:fldCharType="begin"/>
        </w:r>
        <w:r w:rsidR="00350F0A">
          <w:rPr>
            <w:noProof/>
            <w:webHidden/>
          </w:rPr>
          <w:instrText xml:space="preserve"> PAGEREF _Toc338065569 \h </w:instrText>
        </w:r>
        <w:r w:rsidR="00940173">
          <w:rPr>
            <w:noProof/>
            <w:webHidden/>
          </w:rPr>
        </w:r>
        <w:r w:rsidR="00940173">
          <w:rPr>
            <w:noProof/>
            <w:webHidden/>
          </w:rPr>
          <w:fldChar w:fldCharType="separate"/>
        </w:r>
        <w:r w:rsidR="00350F0A">
          <w:rPr>
            <w:noProof/>
            <w:webHidden/>
          </w:rPr>
          <w:t>14</w:t>
        </w:r>
        <w:r w:rsidR="00940173">
          <w:rPr>
            <w:noProof/>
            <w:webHidden/>
          </w:rPr>
          <w:fldChar w:fldCharType="end"/>
        </w:r>
      </w:hyperlink>
    </w:p>
    <w:p w:rsidR="00350F0A" w:rsidRDefault="009F6210">
      <w:pPr>
        <w:pStyle w:val="TOC1"/>
        <w:rPr>
          <w:rFonts w:asciiTheme="minorHAnsi" w:eastAsiaTheme="minorEastAsia" w:hAnsiTheme="minorHAnsi"/>
          <w:noProof/>
          <w:sz w:val="22"/>
        </w:rPr>
      </w:pPr>
      <w:hyperlink w:anchor="_Toc338065570" w:history="1">
        <w:r w:rsidR="00350F0A" w:rsidRPr="00BA1ED6">
          <w:rPr>
            <w:rStyle w:val="Hyperlink"/>
            <w:bCs/>
            <w:noProof/>
            <w:lang w:val="fr-FR"/>
          </w:rPr>
          <w:t>VI.</w:t>
        </w:r>
        <w:r w:rsidR="00350F0A">
          <w:rPr>
            <w:rFonts w:asciiTheme="minorHAnsi" w:eastAsiaTheme="minorEastAsia" w:hAnsiTheme="minorHAnsi"/>
            <w:noProof/>
            <w:sz w:val="22"/>
          </w:rPr>
          <w:tab/>
        </w:r>
        <w:r w:rsidR="00350F0A" w:rsidRPr="00BA1ED6">
          <w:rPr>
            <w:rStyle w:val="Hyperlink"/>
            <w:bCs/>
            <w:noProof/>
            <w:lang w:val="fr-FR"/>
          </w:rPr>
          <w:t>Perspectives et risques</w:t>
        </w:r>
        <w:r w:rsidR="00350F0A">
          <w:rPr>
            <w:noProof/>
            <w:webHidden/>
          </w:rPr>
          <w:tab/>
        </w:r>
        <w:r w:rsidR="00940173">
          <w:rPr>
            <w:noProof/>
            <w:webHidden/>
          </w:rPr>
          <w:fldChar w:fldCharType="begin"/>
        </w:r>
        <w:r w:rsidR="00350F0A">
          <w:rPr>
            <w:noProof/>
            <w:webHidden/>
          </w:rPr>
          <w:instrText xml:space="preserve"> PAGEREF _Toc338065570 \h </w:instrText>
        </w:r>
        <w:r w:rsidR="00940173">
          <w:rPr>
            <w:noProof/>
            <w:webHidden/>
          </w:rPr>
        </w:r>
        <w:r w:rsidR="00940173">
          <w:rPr>
            <w:noProof/>
            <w:webHidden/>
          </w:rPr>
          <w:fldChar w:fldCharType="separate"/>
        </w:r>
        <w:r w:rsidR="00350F0A">
          <w:rPr>
            <w:noProof/>
            <w:webHidden/>
          </w:rPr>
          <w:t>14</w:t>
        </w:r>
        <w:r w:rsidR="00940173">
          <w:rPr>
            <w:noProof/>
            <w:webHidden/>
          </w:rPr>
          <w:fldChar w:fldCharType="end"/>
        </w:r>
      </w:hyperlink>
    </w:p>
    <w:p w:rsidR="00350F0A" w:rsidRDefault="009F6210">
      <w:pPr>
        <w:pStyle w:val="TOC1"/>
        <w:rPr>
          <w:rFonts w:asciiTheme="minorHAnsi" w:eastAsiaTheme="minorEastAsia" w:hAnsiTheme="minorHAnsi"/>
          <w:noProof/>
          <w:sz w:val="22"/>
        </w:rPr>
      </w:pPr>
      <w:hyperlink w:anchor="_Toc338065571" w:history="1">
        <w:r w:rsidR="00350F0A" w:rsidRPr="00BA1ED6">
          <w:rPr>
            <w:rStyle w:val="Hyperlink"/>
            <w:noProof/>
            <w:lang w:val="fr-FR"/>
          </w:rPr>
          <w:t>VII.</w:t>
        </w:r>
        <w:r w:rsidR="00350F0A">
          <w:rPr>
            <w:rFonts w:asciiTheme="minorHAnsi" w:eastAsiaTheme="minorEastAsia" w:hAnsiTheme="minorHAnsi"/>
            <w:noProof/>
            <w:sz w:val="22"/>
          </w:rPr>
          <w:tab/>
        </w:r>
        <w:r w:rsidR="00350F0A" w:rsidRPr="00BA1ED6">
          <w:rPr>
            <w:rStyle w:val="Hyperlink"/>
            <w:noProof/>
            <w:lang w:val="fr-FR"/>
          </w:rPr>
          <w:t>Processus d’examen et de Mise à jour et consultation</w:t>
        </w:r>
        <w:r w:rsidR="00350F0A">
          <w:rPr>
            <w:noProof/>
            <w:webHidden/>
          </w:rPr>
          <w:tab/>
        </w:r>
        <w:r w:rsidR="00940173">
          <w:rPr>
            <w:noProof/>
            <w:webHidden/>
          </w:rPr>
          <w:fldChar w:fldCharType="begin"/>
        </w:r>
        <w:r w:rsidR="00350F0A">
          <w:rPr>
            <w:noProof/>
            <w:webHidden/>
          </w:rPr>
          <w:instrText xml:space="preserve"> PAGEREF _Toc338065571 \h </w:instrText>
        </w:r>
        <w:r w:rsidR="00940173">
          <w:rPr>
            <w:noProof/>
            <w:webHidden/>
          </w:rPr>
        </w:r>
        <w:r w:rsidR="00940173">
          <w:rPr>
            <w:noProof/>
            <w:webHidden/>
          </w:rPr>
          <w:fldChar w:fldCharType="separate"/>
        </w:r>
        <w:r w:rsidR="00350F0A">
          <w:rPr>
            <w:noProof/>
            <w:webHidden/>
          </w:rPr>
          <w:t>15</w:t>
        </w:r>
        <w:r w:rsidR="00940173">
          <w:rPr>
            <w:noProof/>
            <w:webHidden/>
          </w:rPr>
          <w:fldChar w:fldCharType="end"/>
        </w:r>
      </w:hyperlink>
    </w:p>
    <w:p w:rsidR="00350F0A" w:rsidRDefault="009F6210">
      <w:pPr>
        <w:pStyle w:val="TOC1"/>
        <w:rPr>
          <w:rFonts w:asciiTheme="minorHAnsi" w:eastAsiaTheme="minorEastAsia" w:hAnsiTheme="minorHAnsi"/>
          <w:noProof/>
          <w:sz w:val="22"/>
        </w:rPr>
      </w:pPr>
      <w:hyperlink w:anchor="_Toc338065572" w:history="1">
        <w:r w:rsidR="00350F0A" w:rsidRPr="00BA1ED6">
          <w:rPr>
            <w:rStyle w:val="Hyperlink"/>
            <w:noProof/>
            <w:lang w:val="fr-FR"/>
          </w:rPr>
          <w:t>VIII.</w:t>
        </w:r>
        <w:r w:rsidR="00350F0A">
          <w:rPr>
            <w:rFonts w:asciiTheme="minorHAnsi" w:eastAsiaTheme="minorEastAsia" w:hAnsiTheme="minorHAnsi"/>
            <w:noProof/>
            <w:sz w:val="22"/>
          </w:rPr>
          <w:tab/>
        </w:r>
        <w:r w:rsidR="00350F0A" w:rsidRPr="00BA1ED6">
          <w:rPr>
            <w:rStyle w:val="Hyperlink"/>
            <w:noProof/>
            <w:lang w:val="fr-FR"/>
          </w:rPr>
          <w:t>Personnel et direction</w:t>
        </w:r>
        <w:r w:rsidR="00350F0A">
          <w:rPr>
            <w:noProof/>
            <w:webHidden/>
          </w:rPr>
          <w:tab/>
        </w:r>
        <w:r w:rsidR="00940173">
          <w:rPr>
            <w:noProof/>
            <w:webHidden/>
          </w:rPr>
          <w:fldChar w:fldCharType="begin"/>
        </w:r>
        <w:r w:rsidR="00350F0A">
          <w:rPr>
            <w:noProof/>
            <w:webHidden/>
          </w:rPr>
          <w:instrText xml:space="preserve"> PAGEREF _Toc338065572 \h </w:instrText>
        </w:r>
        <w:r w:rsidR="00940173">
          <w:rPr>
            <w:noProof/>
            <w:webHidden/>
          </w:rPr>
        </w:r>
        <w:r w:rsidR="00940173">
          <w:rPr>
            <w:noProof/>
            <w:webHidden/>
          </w:rPr>
          <w:fldChar w:fldCharType="separate"/>
        </w:r>
        <w:r w:rsidR="00350F0A">
          <w:rPr>
            <w:noProof/>
            <w:webHidden/>
          </w:rPr>
          <w:t>19</w:t>
        </w:r>
        <w:r w:rsidR="00940173">
          <w:rPr>
            <w:noProof/>
            <w:webHidden/>
          </w:rPr>
          <w:fldChar w:fldCharType="end"/>
        </w:r>
      </w:hyperlink>
    </w:p>
    <w:p w:rsidR="00350F0A" w:rsidRDefault="009F6210">
      <w:pPr>
        <w:pStyle w:val="TOC1"/>
        <w:rPr>
          <w:rFonts w:asciiTheme="minorHAnsi" w:eastAsiaTheme="minorEastAsia" w:hAnsiTheme="minorHAnsi"/>
          <w:noProof/>
          <w:sz w:val="22"/>
        </w:rPr>
      </w:pPr>
      <w:hyperlink w:anchor="_Toc338065573" w:history="1">
        <w:r w:rsidR="00350F0A" w:rsidRPr="00BA1ED6">
          <w:rPr>
            <w:rStyle w:val="Hyperlink"/>
            <w:noProof/>
            <w:lang w:val="fr-FR"/>
          </w:rPr>
          <w:t>IX.</w:t>
        </w:r>
        <w:r w:rsidR="00350F0A">
          <w:rPr>
            <w:rFonts w:asciiTheme="minorHAnsi" w:eastAsiaTheme="minorEastAsia" w:hAnsiTheme="minorHAnsi"/>
            <w:noProof/>
            <w:sz w:val="22"/>
          </w:rPr>
          <w:tab/>
        </w:r>
        <w:r w:rsidR="00350F0A" w:rsidRPr="00BA1ED6">
          <w:rPr>
            <w:rStyle w:val="Hyperlink"/>
            <w:noProof/>
            <w:lang w:val="fr-FR"/>
          </w:rPr>
          <w:t>Prochaine étape</w:t>
        </w:r>
        <w:r w:rsidR="00350F0A">
          <w:rPr>
            <w:noProof/>
            <w:webHidden/>
          </w:rPr>
          <w:tab/>
        </w:r>
        <w:r w:rsidR="00940173">
          <w:rPr>
            <w:noProof/>
            <w:webHidden/>
          </w:rPr>
          <w:fldChar w:fldCharType="begin"/>
        </w:r>
        <w:r w:rsidR="00350F0A">
          <w:rPr>
            <w:noProof/>
            <w:webHidden/>
          </w:rPr>
          <w:instrText xml:space="preserve"> PAGEREF _Toc338065573 \h </w:instrText>
        </w:r>
        <w:r w:rsidR="00940173">
          <w:rPr>
            <w:noProof/>
            <w:webHidden/>
          </w:rPr>
        </w:r>
        <w:r w:rsidR="00940173">
          <w:rPr>
            <w:noProof/>
            <w:webHidden/>
          </w:rPr>
          <w:fldChar w:fldCharType="separate"/>
        </w:r>
        <w:r w:rsidR="00350F0A">
          <w:rPr>
            <w:noProof/>
            <w:webHidden/>
          </w:rPr>
          <w:t>19</w:t>
        </w:r>
        <w:r w:rsidR="00940173">
          <w:rPr>
            <w:noProof/>
            <w:webHidden/>
          </w:rPr>
          <w:fldChar w:fldCharType="end"/>
        </w:r>
      </w:hyperlink>
    </w:p>
    <w:p w:rsidR="002508ED" w:rsidRPr="003D3F80" w:rsidRDefault="00940173" w:rsidP="00A90205">
      <w:pPr>
        <w:spacing w:after="200" w:line="276" w:lineRule="auto"/>
        <w:rPr>
          <w:smallCaps/>
          <w:lang w:val="fr-FR"/>
        </w:rPr>
      </w:pPr>
      <w:r w:rsidRPr="003D3F80">
        <w:rPr>
          <w:lang w:val="fr-FR"/>
        </w:rPr>
        <w:fldChar w:fldCharType="end"/>
      </w:r>
    </w:p>
    <w:p w:rsidR="00CE08A7" w:rsidRPr="003D3F80" w:rsidRDefault="003B754F" w:rsidP="00A90205">
      <w:pPr>
        <w:widowControl/>
        <w:spacing w:after="200" w:line="276" w:lineRule="auto"/>
        <w:rPr>
          <w:rFonts w:ascii="Times New Roman Bold" w:hAnsi="Times New Roman Bold" w:cs="Times New Roman"/>
          <w:b/>
          <w:smallCaps/>
          <w:szCs w:val="24"/>
          <w:lang w:val="fr-FR"/>
        </w:rPr>
      </w:pPr>
      <w:r w:rsidRPr="003D3F80">
        <w:rPr>
          <w:rFonts w:ascii="Times New Roman Bold" w:hAnsi="Times New Roman Bold" w:cs="Times New Roman"/>
          <w:b/>
          <w:smallCaps/>
          <w:szCs w:val="24"/>
          <w:lang w:val="fr-FR"/>
        </w:rPr>
        <w:br w:type="page"/>
      </w:r>
    </w:p>
    <w:p w:rsidR="003B754F" w:rsidRPr="003D3F80" w:rsidRDefault="003B754F" w:rsidP="00A90205">
      <w:pPr>
        <w:widowControl/>
        <w:spacing w:after="200" w:line="276" w:lineRule="auto"/>
        <w:rPr>
          <w:rFonts w:ascii="Times New Roman Bold" w:hAnsi="Times New Roman Bold" w:cs="Times New Roman"/>
          <w:b/>
          <w:smallCaps/>
          <w:szCs w:val="24"/>
          <w:lang w:val="fr-FR"/>
        </w:rPr>
        <w:sectPr w:rsidR="003B754F" w:rsidRPr="003D3F80">
          <w:headerReference w:type="default" r:id="rId13"/>
          <w:footerReference w:type="default" r:id="rId14"/>
          <w:pgSz w:w="12240" w:h="15840"/>
          <w:pgMar w:top="1440" w:right="1440" w:bottom="1440" w:left="1440" w:header="720" w:footer="720" w:gutter="0"/>
          <w:cols w:space="720"/>
          <w:docGrid w:linePitch="360"/>
        </w:sectPr>
      </w:pPr>
    </w:p>
    <w:p w:rsidR="002508ED" w:rsidRPr="003D3F80" w:rsidRDefault="0045116E" w:rsidP="00A90205">
      <w:pPr>
        <w:pStyle w:val="Heading1"/>
        <w:widowControl/>
        <w:spacing w:before="0" w:after="200" w:line="276" w:lineRule="auto"/>
        <w:rPr>
          <w:smallCaps w:val="0"/>
          <w:lang w:val="fr-FR"/>
        </w:rPr>
      </w:pPr>
      <w:r w:rsidRPr="003D3F80">
        <w:rPr>
          <w:smallCaps w:val="0"/>
          <w:lang w:val="fr-FR"/>
        </w:rPr>
        <w:lastRenderedPageBreak/>
        <w:t>Document de cadrage</w:t>
      </w:r>
    </w:p>
    <w:p w:rsidR="002508ED" w:rsidRPr="003D3F80" w:rsidRDefault="0045116E" w:rsidP="00A90205">
      <w:pPr>
        <w:pStyle w:val="Heading1"/>
        <w:widowControl/>
        <w:spacing w:before="0" w:after="200" w:line="276" w:lineRule="auto"/>
        <w:rPr>
          <w:smallCaps w:val="0"/>
          <w:lang w:val="fr-FR"/>
        </w:rPr>
      </w:pPr>
      <w:r w:rsidRPr="003D3F80">
        <w:rPr>
          <w:smallCaps w:val="0"/>
          <w:lang w:val="fr-FR"/>
        </w:rPr>
        <w:t>de l</w:t>
      </w:r>
      <w:r w:rsidR="001051C0">
        <w:rPr>
          <w:smallCaps w:val="0"/>
          <w:lang w:val="fr-FR"/>
        </w:rPr>
        <w:t>’</w:t>
      </w:r>
      <w:r w:rsidRPr="003D3F80">
        <w:rPr>
          <w:smallCaps w:val="0"/>
          <w:lang w:val="fr-FR"/>
        </w:rPr>
        <w:t>examen et de la mise à jour des politiques de sauvegarde</w:t>
      </w:r>
    </w:p>
    <w:p w:rsidR="002508ED" w:rsidRPr="00B30D73" w:rsidRDefault="00356108" w:rsidP="00A90205">
      <w:pPr>
        <w:pStyle w:val="Heading3"/>
        <w:spacing w:before="0" w:after="200" w:line="276" w:lineRule="auto"/>
        <w:rPr>
          <w:bCs/>
          <w:smallCaps w:val="0"/>
          <w:szCs w:val="24"/>
          <w:lang w:val="fr-FR"/>
        </w:rPr>
      </w:pPr>
      <w:bookmarkStart w:id="1" w:name="_Toc338065564"/>
      <w:r w:rsidRPr="003D3F80">
        <w:rPr>
          <w:szCs w:val="24"/>
          <w:lang w:val="fr-FR"/>
        </w:rPr>
        <w:t xml:space="preserve">résumé </w:t>
      </w:r>
      <w:r w:rsidR="0045116E" w:rsidRPr="003D3F80">
        <w:rPr>
          <w:szCs w:val="24"/>
          <w:lang w:val="fr-FR"/>
        </w:rPr>
        <w:t>an</w:t>
      </w:r>
      <w:r w:rsidR="0045116E" w:rsidRPr="00B30D73">
        <w:rPr>
          <w:szCs w:val="24"/>
          <w:lang w:val="fr-FR"/>
        </w:rPr>
        <w:t>alytique</w:t>
      </w:r>
      <w:bookmarkEnd w:id="1"/>
    </w:p>
    <w:p w:rsidR="002508ED" w:rsidRPr="003D3F80" w:rsidRDefault="0045116E" w:rsidP="00A90205">
      <w:pPr>
        <w:pStyle w:val="ippara2"/>
        <w:widowControl/>
        <w:spacing w:after="200" w:line="276" w:lineRule="auto"/>
        <w:ind w:left="0" w:firstLine="0"/>
        <w:jc w:val="both"/>
        <w:rPr>
          <w:lang w:val="fr-FR"/>
        </w:rPr>
      </w:pPr>
      <w:r w:rsidRPr="003D3F80">
        <w:rPr>
          <w:b/>
          <w:i/>
          <w:lang w:val="fr-FR"/>
        </w:rPr>
        <w:t>Objet</w:t>
      </w:r>
      <w:r w:rsidR="00EF3737" w:rsidRPr="003D3F80">
        <w:rPr>
          <w:b/>
          <w:i/>
          <w:lang w:val="fr-FR"/>
        </w:rPr>
        <w:t>.</w:t>
      </w:r>
      <w:r w:rsidR="00EF3737" w:rsidRPr="003D3F80">
        <w:rPr>
          <w:b/>
          <w:lang w:val="fr-FR"/>
        </w:rPr>
        <w:t xml:space="preserve"> </w:t>
      </w:r>
      <w:r w:rsidRPr="003D3F80">
        <w:rPr>
          <w:lang w:val="fr-FR"/>
        </w:rPr>
        <w:t>Le présent document marque le lancement d</w:t>
      </w:r>
      <w:r w:rsidR="001051C0">
        <w:rPr>
          <w:lang w:val="fr-FR"/>
        </w:rPr>
        <w:t>’</w:t>
      </w:r>
      <w:r w:rsidRPr="003D3F80">
        <w:rPr>
          <w:lang w:val="fr-FR"/>
        </w:rPr>
        <w:t>un exercice de deux ans pendant lesquels la Banque mondiale examinera et mettra à jour ses politiques actuelles de sauvegarde environnementale et sociale. Les politiques de sauvegarde contribuent à la viabilité et à l</w:t>
      </w:r>
      <w:r w:rsidR="001051C0">
        <w:rPr>
          <w:lang w:val="fr-FR"/>
        </w:rPr>
        <w:t>’</w:t>
      </w:r>
      <w:r w:rsidRPr="003D3F80">
        <w:rPr>
          <w:lang w:val="fr-FR"/>
        </w:rPr>
        <w:t xml:space="preserve">efficacité </w:t>
      </w:r>
      <w:r w:rsidR="00FE5852" w:rsidRPr="003D3F80">
        <w:rPr>
          <w:lang w:val="fr-FR"/>
        </w:rPr>
        <w:t>du</w:t>
      </w:r>
      <w:r w:rsidRPr="003D3F80">
        <w:rPr>
          <w:lang w:val="fr-FR"/>
        </w:rPr>
        <w:t xml:space="preserve"> développement d</w:t>
      </w:r>
      <w:r w:rsidR="00FE5852" w:rsidRPr="003D3F80">
        <w:rPr>
          <w:lang w:val="fr-FR"/>
        </w:rPr>
        <w:t>ans le cadre d</w:t>
      </w:r>
      <w:r w:rsidRPr="003D3F80">
        <w:rPr>
          <w:lang w:val="fr-FR"/>
        </w:rPr>
        <w:t xml:space="preserve">es projets et programmes de la Banque en aidant à éviter ou atténuer les méfaits de ces </w:t>
      </w:r>
      <w:r w:rsidR="005D7301" w:rsidRPr="003D3F80">
        <w:rPr>
          <w:lang w:val="fr-FR"/>
        </w:rPr>
        <w:t xml:space="preserve">activités </w:t>
      </w:r>
      <w:r w:rsidRPr="003D3F80">
        <w:rPr>
          <w:lang w:val="fr-FR"/>
        </w:rPr>
        <w:t>sur les populations et l</w:t>
      </w:r>
      <w:r w:rsidR="001051C0">
        <w:rPr>
          <w:lang w:val="fr-FR"/>
        </w:rPr>
        <w:t>’</w:t>
      </w:r>
      <w:r w:rsidRPr="003D3F80">
        <w:rPr>
          <w:lang w:val="fr-FR"/>
        </w:rPr>
        <w:t>environnement.</w:t>
      </w:r>
      <w:r w:rsidR="006107B6">
        <w:rPr>
          <w:lang w:val="fr-FR"/>
        </w:rPr>
        <w:t xml:space="preserve"> Ce processus d'examen et de mise à jour </w:t>
      </w:r>
      <w:r w:rsidRPr="003D3F80">
        <w:rPr>
          <w:lang w:val="fr-FR"/>
        </w:rPr>
        <w:t xml:space="preserve">permettra de </w:t>
      </w:r>
      <w:r w:rsidR="00CD632B">
        <w:rPr>
          <w:lang w:val="fr-FR"/>
        </w:rPr>
        <w:t xml:space="preserve">mieux </w:t>
      </w:r>
      <w:r w:rsidRPr="003D3F80">
        <w:rPr>
          <w:lang w:val="fr-FR"/>
        </w:rPr>
        <w:t xml:space="preserve">faire correspondre </w:t>
      </w:r>
      <w:r w:rsidR="00CD632B">
        <w:rPr>
          <w:lang w:val="fr-FR"/>
        </w:rPr>
        <w:t>c</w:t>
      </w:r>
      <w:r w:rsidRPr="003D3F80">
        <w:rPr>
          <w:lang w:val="fr-FR"/>
        </w:rPr>
        <w:t xml:space="preserve">es politiques </w:t>
      </w:r>
      <w:r w:rsidR="005D7301" w:rsidRPr="003D3F80">
        <w:rPr>
          <w:lang w:val="fr-FR"/>
        </w:rPr>
        <w:t>à l</w:t>
      </w:r>
      <w:r w:rsidR="001051C0">
        <w:rPr>
          <w:lang w:val="fr-FR"/>
        </w:rPr>
        <w:t>’</w:t>
      </w:r>
      <w:r w:rsidR="005D7301" w:rsidRPr="003D3F80">
        <w:rPr>
          <w:lang w:val="fr-FR"/>
        </w:rPr>
        <w:t>évolution des besoins et des attentes des emprunteurs, au contexte externe</w:t>
      </w:r>
      <w:r w:rsidR="00356108" w:rsidRPr="003D3F80">
        <w:rPr>
          <w:lang w:val="fr-FR"/>
        </w:rPr>
        <w:t>,</w:t>
      </w:r>
      <w:r w:rsidR="005D7301" w:rsidRPr="003D3F80">
        <w:rPr>
          <w:lang w:val="fr-FR"/>
        </w:rPr>
        <w:t xml:space="preserve"> et </w:t>
      </w:r>
      <w:r w:rsidR="00CD632B">
        <w:rPr>
          <w:lang w:val="fr-FR"/>
        </w:rPr>
        <w:t>aux</w:t>
      </w:r>
      <w:r w:rsidR="00B30D73">
        <w:rPr>
          <w:lang w:val="fr-FR"/>
        </w:rPr>
        <w:t xml:space="preserve"> </w:t>
      </w:r>
      <w:r w:rsidR="005D7301" w:rsidRPr="003D3F80">
        <w:rPr>
          <w:lang w:val="fr-FR"/>
        </w:rPr>
        <w:t>activité</w:t>
      </w:r>
      <w:r w:rsidR="00CD632B">
        <w:rPr>
          <w:lang w:val="fr-FR"/>
        </w:rPr>
        <w:t>s</w:t>
      </w:r>
      <w:r w:rsidR="005D7301" w:rsidRPr="003D3F80">
        <w:rPr>
          <w:lang w:val="fr-FR"/>
        </w:rPr>
        <w:t xml:space="preserve"> de la Banque. Le présent document résume l</w:t>
      </w:r>
      <w:r w:rsidR="001051C0">
        <w:rPr>
          <w:lang w:val="fr-FR"/>
        </w:rPr>
        <w:t>’</w:t>
      </w:r>
      <w:r w:rsidR="005D7301" w:rsidRPr="003D3F80">
        <w:rPr>
          <w:lang w:val="fr-FR"/>
        </w:rPr>
        <w:t>évolution des politiques de sauvegarde, cadre leur examen et leur mise à jour, en explique la raison d</w:t>
      </w:r>
      <w:r w:rsidR="001051C0">
        <w:rPr>
          <w:lang w:val="fr-FR"/>
        </w:rPr>
        <w:t>’</w:t>
      </w:r>
      <w:r w:rsidR="005D7301" w:rsidRPr="003D3F80">
        <w:rPr>
          <w:lang w:val="fr-FR"/>
        </w:rPr>
        <w:t>être et les objectifs, et en expose les paramètres</w:t>
      </w:r>
      <w:r w:rsidRPr="003D3F80">
        <w:rPr>
          <w:lang w:val="fr-FR"/>
        </w:rPr>
        <w:t>.</w:t>
      </w:r>
    </w:p>
    <w:p w:rsidR="002508ED" w:rsidRPr="003D3F80" w:rsidRDefault="0045116E" w:rsidP="00A90205">
      <w:pPr>
        <w:pStyle w:val="ippara2"/>
        <w:widowControl/>
        <w:spacing w:after="200" w:line="276" w:lineRule="auto"/>
        <w:ind w:left="0" w:firstLine="0"/>
        <w:jc w:val="both"/>
        <w:rPr>
          <w:lang w:val="fr-FR"/>
        </w:rPr>
      </w:pPr>
      <w:r w:rsidRPr="003D3F80">
        <w:rPr>
          <w:b/>
          <w:i/>
          <w:lang w:val="fr-FR"/>
        </w:rPr>
        <w:t>Raison d</w:t>
      </w:r>
      <w:r w:rsidR="001051C0">
        <w:rPr>
          <w:b/>
          <w:i/>
          <w:lang w:val="fr-FR"/>
        </w:rPr>
        <w:t>’</w:t>
      </w:r>
      <w:r w:rsidRPr="003D3F80">
        <w:rPr>
          <w:b/>
          <w:i/>
          <w:lang w:val="fr-FR"/>
        </w:rPr>
        <w:t>être</w:t>
      </w:r>
      <w:r w:rsidR="00EF3737" w:rsidRPr="003D3F80">
        <w:rPr>
          <w:b/>
          <w:i/>
          <w:lang w:val="fr-FR"/>
        </w:rPr>
        <w:t xml:space="preserve">. </w:t>
      </w:r>
      <w:r w:rsidRPr="003D3F80">
        <w:rPr>
          <w:lang w:val="fr-FR"/>
        </w:rPr>
        <w:t>Parmi les nombreuses raisons justifiant l</w:t>
      </w:r>
      <w:r w:rsidR="00CD632B">
        <w:rPr>
          <w:lang w:val="fr-FR"/>
        </w:rPr>
        <w:t>’</w:t>
      </w:r>
      <w:r w:rsidRPr="003D3F80">
        <w:rPr>
          <w:lang w:val="fr-FR"/>
        </w:rPr>
        <w:t xml:space="preserve">examen </w:t>
      </w:r>
      <w:r w:rsidR="00CD632B">
        <w:rPr>
          <w:lang w:val="fr-FR"/>
        </w:rPr>
        <w:t xml:space="preserve">et la mise à jour </w:t>
      </w:r>
      <w:r w:rsidRPr="003D3F80">
        <w:rPr>
          <w:lang w:val="fr-FR"/>
        </w:rPr>
        <w:t>des politiques de sauvegarde, citons : l</w:t>
      </w:r>
      <w:r w:rsidR="001051C0">
        <w:rPr>
          <w:lang w:val="fr-FR"/>
        </w:rPr>
        <w:t>’</w:t>
      </w:r>
      <w:r w:rsidRPr="003D3F80">
        <w:rPr>
          <w:lang w:val="fr-FR"/>
        </w:rPr>
        <w:t>évolution du profil des emprunteurs, la prise de conscience de la valeur et de la vulnérabilité du patrimoine commun de l</w:t>
      </w:r>
      <w:r w:rsidR="001051C0">
        <w:rPr>
          <w:lang w:val="fr-FR"/>
        </w:rPr>
        <w:t>’</w:t>
      </w:r>
      <w:r w:rsidRPr="003D3F80">
        <w:rPr>
          <w:lang w:val="fr-FR"/>
        </w:rPr>
        <w:t>humanité, l</w:t>
      </w:r>
      <w:r w:rsidR="001051C0">
        <w:rPr>
          <w:lang w:val="fr-FR"/>
        </w:rPr>
        <w:t>’</w:t>
      </w:r>
      <w:r w:rsidRPr="003D3F80">
        <w:rPr>
          <w:lang w:val="fr-FR"/>
        </w:rPr>
        <w:t>évolution des opérations de la Banque, le renforcement du rôle du secteur privé et la récente évaluation (2010) de ces politiques. La Banque reconnaît l</w:t>
      </w:r>
      <w:r w:rsidR="001051C0">
        <w:rPr>
          <w:lang w:val="fr-FR"/>
        </w:rPr>
        <w:t>’</w:t>
      </w:r>
      <w:r w:rsidRPr="003D3F80">
        <w:rPr>
          <w:lang w:val="fr-FR"/>
        </w:rPr>
        <w:t>existence d</w:t>
      </w:r>
      <w:r w:rsidR="001051C0">
        <w:rPr>
          <w:lang w:val="fr-FR"/>
        </w:rPr>
        <w:t>’</w:t>
      </w:r>
      <w:r w:rsidRPr="003D3F80">
        <w:rPr>
          <w:lang w:val="fr-FR"/>
        </w:rPr>
        <w:t xml:space="preserve">une conjonction de facteurs internes et externes qui rend opportun </w:t>
      </w:r>
      <w:r w:rsidR="00CD632B">
        <w:rPr>
          <w:lang w:val="fr-FR"/>
        </w:rPr>
        <w:t>l’examen et la mise à jour</w:t>
      </w:r>
      <w:r w:rsidRPr="003D3F80">
        <w:rPr>
          <w:lang w:val="fr-FR"/>
        </w:rPr>
        <w:t xml:space="preserve"> des politiques de sauvegarde. Elle a à cœur de travailler avec ses emprunteurs, ses partenaires de la communauté du développement, </w:t>
      </w:r>
      <w:r w:rsidR="005D7301" w:rsidRPr="003D3F80">
        <w:rPr>
          <w:lang w:val="fr-FR"/>
        </w:rPr>
        <w:t xml:space="preserve">les institutions sœurs, </w:t>
      </w:r>
      <w:r w:rsidRPr="003D3F80">
        <w:rPr>
          <w:lang w:val="fr-FR"/>
        </w:rPr>
        <w:t xml:space="preserve">les professionnels et les populations pour promouvoir un développement durable </w:t>
      </w:r>
      <w:r w:rsidR="008D2ECB">
        <w:rPr>
          <w:lang w:val="fr-FR"/>
        </w:rPr>
        <w:t>au</w:t>
      </w:r>
      <w:r w:rsidR="00CD632B">
        <w:rPr>
          <w:lang w:val="fr-FR"/>
        </w:rPr>
        <w:t xml:space="preserve"> plan environnemental et social, </w:t>
      </w:r>
      <w:r w:rsidRPr="003D3F80">
        <w:rPr>
          <w:lang w:val="fr-FR"/>
        </w:rPr>
        <w:t xml:space="preserve">en </w:t>
      </w:r>
      <w:r w:rsidR="00CD632B">
        <w:rPr>
          <w:lang w:val="fr-FR"/>
        </w:rPr>
        <w:t xml:space="preserve">tant </w:t>
      </w:r>
      <w:r w:rsidR="008D2ECB">
        <w:rPr>
          <w:lang w:val="fr-FR"/>
        </w:rPr>
        <w:t>que</w:t>
      </w:r>
      <w:r w:rsidR="00CD632B">
        <w:rPr>
          <w:lang w:val="fr-FR"/>
        </w:rPr>
        <w:t xml:space="preserve"> </w:t>
      </w:r>
      <w:r w:rsidRPr="003D3F80">
        <w:rPr>
          <w:lang w:val="fr-FR"/>
        </w:rPr>
        <w:t>bien public mondial</w:t>
      </w:r>
      <w:r w:rsidR="00EF3737" w:rsidRPr="003D3F80">
        <w:rPr>
          <w:lang w:val="fr-FR"/>
        </w:rPr>
        <w:t>.</w:t>
      </w:r>
    </w:p>
    <w:p w:rsidR="002508ED" w:rsidRPr="005B1514" w:rsidRDefault="0045116E" w:rsidP="00326A49">
      <w:pPr>
        <w:pStyle w:val="ippara2"/>
        <w:widowControl/>
        <w:spacing w:after="200" w:line="276" w:lineRule="auto"/>
        <w:ind w:left="0" w:firstLine="0"/>
        <w:jc w:val="both"/>
        <w:rPr>
          <w:lang w:val="fr-FR"/>
        </w:rPr>
      </w:pPr>
      <w:r w:rsidRPr="00326A49">
        <w:rPr>
          <w:b/>
          <w:i/>
          <w:lang w:val="fr-FR"/>
        </w:rPr>
        <w:t>Politiques de base soumises à examen</w:t>
      </w:r>
      <w:r w:rsidR="00EF3737" w:rsidRPr="00326A49">
        <w:rPr>
          <w:b/>
          <w:i/>
          <w:lang w:val="fr-FR"/>
        </w:rPr>
        <w:t>.</w:t>
      </w:r>
      <w:r w:rsidR="00EF3737" w:rsidRPr="005B1514">
        <w:rPr>
          <w:lang w:val="fr-FR"/>
        </w:rPr>
        <w:t xml:space="preserve"> </w:t>
      </w:r>
      <w:r w:rsidRPr="00E916CB">
        <w:rPr>
          <w:lang w:val="fr-FR"/>
        </w:rPr>
        <w:t>Il s</w:t>
      </w:r>
      <w:r w:rsidR="00C556D5">
        <w:rPr>
          <w:lang w:val="fr-FR"/>
        </w:rPr>
        <w:t>’agit des huit politiques de sauvegarde environnementale et so</w:t>
      </w:r>
      <w:r w:rsidRPr="00326A49">
        <w:rPr>
          <w:lang w:val="fr-FR"/>
        </w:rPr>
        <w:t xml:space="preserve">ciale, à savoir : </w:t>
      </w:r>
      <w:r w:rsidR="00EF3737" w:rsidRPr="00E916CB">
        <w:rPr>
          <w:lang w:val="fr-FR"/>
        </w:rPr>
        <w:t>O</w:t>
      </w:r>
      <w:r w:rsidR="00C556D5" w:rsidRPr="00C556D5">
        <w:rPr>
          <w:lang w:val="fr-FR"/>
        </w:rPr>
        <w:t>P 4.01 Évaluation environnementale, OP 4.04</w:t>
      </w:r>
      <w:r w:rsidR="00326A49">
        <w:rPr>
          <w:lang w:val="fr-FR"/>
        </w:rPr>
        <w:t xml:space="preserve"> </w:t>
      </w:r>
      <w:r w:rsidR="009905CD" w:rsidRPr="00326A49">
        <w:rPr>
          <w:lang w:val="fr-FR"/>
        </w:rPr>
        <w:t>Habitats naturels</w:t>
      </w:r>
      <w:r w:rsidR="00EF3737" w:rsidRPr="005B1514">
        <w:rPr>
          <w:lang w:val="fr-FR"/>
        </w:rPr>
        <w:t xml:space="preserve">, </w:t>
      </w:r>
      <w:r w:rsidR="00C556D5" w:rsidRPr="00C556D5">
        <w:rPr>
          <w:lang w:val="fr-FR"/>
        </w:rPr>
        <w:t xml:space="preserve">OP 4.09 </w:t>
      </w:r>
      <w:r w:rsidR="00C556D5">
        <w:rPr>
          <w:lang w:val="fr-FR"/>
        </w:rPr>
        <w:t xml:space="preserve">Lutte antiparasitaire, </w:t>
      </w:r>
      <w:r w:rsidR="00C556D5" w:rsidRPr="00C556D5">
        <w:rPr>
          <w:lang w:val="fr-FR"/>
        </w:rPr>
        <w:t>OP 4.10 Populations autochtones</w:t>
      </w:r>
      <w:r w:rsidR="00C556D5">
        <w:rPr>
          <w:lang w:val="fr-FR"/>
        </w:rPr>
        <w:t xml:space="preserve">, </w:t>
      </w:r>
      <w:r w:rsidR="00EF3737" w:rsidRPr="00B30D73">
        <w:rPr>
          <w:lang w:val="fr-FR"/>
        </w:rPr>
        <w:t>OP</w:t>
      </w:r>
      <w:r w:rsidR="009905CD" w:rsidRPr="00B30D73">
        <w:rPr>
          <w:lang w:val="fr-FR"/>
        </w:rPr>
        <w:t> </w:t>
      </w:r>
      <w:r w:rsidR="00EF3737" w:rsidRPr="005B1514">
        <w:rPr>
          <w:lang w:val="fr-FR"/>
        </w:rPr>
        <w:t xml:space="preserve">4.11 </w:t>
      </w:r>
      <w:r w:rsidR="00C556D5" w:rsidRPr="00C556D5">
        <w:rPr>
          <w:lang w:val="fr-FR"/>
        </w:rPr>
        <w:t>Patrimoine physique et culturel, OP</w:t>
      </w:r>
      <w:r w:rsidR="00EF3737" w:rsidRPr="005B1514">
        <w:rPr>
          <w:lang w:val="fr-FR"/>
        </w:rPr>
        <w:t xml:space="preserve"> 4.12 </w:t>
      </w:r>
      <w:r w:rsidR="009905CD" w:rsidRPr="00E916CB">
        <w:rPr>
          <w:lang w:val="fr-FR"/>
        </w:rPr>
        <w:t xml:space="preserve">Réinstallation </w:t>
      </w:r>
      <w:r w:rsidR="00C556D5" w:rsidRPr="00C556D5">
        <w:rPr>
          <w:lang w:val="fr-FR"/>
        </w:rPr>
        <w:t xml:space="preserve">forcée, </w:t>
      </w:r>
      <w:r w:rsidR="00C556D5">
        <w:rPr>
          <w:lang w:val="fr-FR"/>
        </w:rPr>
        <w:t>OP</w:t>
      </w:r>
      <w:r w:rsidR="00EF3737" w:rsidRPr="005B1514">
        <w:rPr>
          <w:lang w:val="fr-FR"/>
        </w:rPr>
        <w:t xml:space="preserve"> 4.36 </w:t>
      </w:r>
      <w:r w:rsidR="009905CD" w:rsidRPr="00E916CB">
        <w:rPr>
          <w:lang w:val="fr-FR"/>
        </w:rPr>
        <w:t>Forêts</w:t>
      </w:r>
      <w:r w:rsidR="00C556D5">
        <w:rPr>
          <w:lang w:val="fr-FR"/>
        </w:rPr>
        <w:t xml:space="preserve">, </w:t>
      </w:r>
      <w:r w:rsidR="00C556D5" w:rsidRPr="00C556D5">
        <w:rPr>
          <w:lang w:val="fr-FR"/>
        </w:rPr>
        <w:t>OP</w:t>
      </w:r>
      <w:r w:rsidR="00EF3737" w:rsidRPr="005B1514">
        <w:rPr>
          <w:lang w:val="fr-FR"/>
        </w:rPr>
        <w:t xml:space="preserve"> 4.37 </w:t>
      </w:r>
      <w:r w:rsidR="009905CD" w:rsidRPr="00E916CB">
        <w:rPr>
          <w:lang w:val="fr-FR"/>
        </w:rPr>
        <w:t xml:space="preserve">Sécurité des barrages </w:t>
      </w:r>
      <w:r w:rsidR="00C556D5" w:rsidRPr="00C556D5">
        <w:rPr>
          <w:lang w:val="fr-FR"/>
        </w:rPr>
        <w:t xml:space="preserve">– </w:t>
      </w:r>
      <w:r w:rsidR="00C556D5">
        <w:rPr>
          <w:lang w:val="fr-FR"/>
        </w:rPr>
        <w:t xml:space="preserve">auxquelles s’ajoutent </w:t>
      </w:r>
      <w:r w:rsidR="00B13829">
        <w:rPr>
          <w:lang w:val="fr-FR"/>
        </w:rPr>
        <w:t xml:space="preserve">l’OP 4.00 </w:t>
      </w:r>
      <w:r w:rsidR="00641763" w:rsidRPr="00641763">
        <w:rPr>
          <w:i/>
          <w:lang w:val="fr-FR"/>
        </w:rPr>
        <w:t>Politique pilote d'utilisation des systèmes de l'emprunteur pour les politiques de sauvegarde environnementale et sociale</w:t>
      </w:r>
      <w:r w:rsidR="00B13829">
        <w:rPr>
          <w:lang w:val="fr-FR"/>
        </w:rPr>
        <w:t xml:space="preserve"> (« Utilisation des systèmes de l'emprunteur »). </w:t>
      </w:r>
    </w:p>
    <w:p w:rsidR="002508ED" w:rsidRPr="003D3F80" w:rsidRDefault="00833395" w:rsidP="00A90205">
      <w:pPr>
        <w:pStyle w:val="ippara2"/>
        <w:widowControl/>
        <w:spacing w:after="200" w:line="276" w:lineRule="auto"/>
        <w:ind w:left="0" w:firstLine="0"/>
        <w:jc w:val="both"/>
        <w:rPr>
          <w:b/>
          <w:i/>
          <w:lang w:val="fr-FR"/>
        </w:rPr>
      </w:pPr>
      <w:r w:rsidRPr="003D3F80">
        <w:rPr>
          <w:b/>
          <w:i/>
          <w:lang w:val="fr-FR"/>
        </w:rPr>
        <w:t xml:space="preserve">Vers un nouveau </w:t>
      </w:r>
      <w:r w:rsidR="00326A49">
        <w:rPr>
          <w:b/>
          <w:i/>
          <w:lang w:val="fr-FR"/>
        </w:rPr>
        <w:t>cadre</w:t>
      </w:r>
      <w:r w:rsidRPr="003D3F80">
        <w:rPr>
          <w:b/>
          <w:i/>
          <w:lang w:val="fr-FR"/>
        </w:rPr>
        <w:t xml:space="preserve"> intégré</w:t>
      </w:r>
      <w:r w:rsidR="00EF3737" w:rsidRPr="003D3F80">
        <w:rPr>
          <w:b/>
          <w:i/>
          <w:lang w:val="fr-FR"/>
        </w:rPr>
        <w:t>.</w:t>
      </w:r>
      <w:r w:rsidR="00EF3737" w:rsidRPr="003D3F80">
        <w:rPr>
          <w:lang w:val="fr-FR"/>
        </w:rPr>
        <w:t xml:space="preserve"> </w:t>
      </w:r>
      <w:r w:rsidRPr="003D3F80">
        <w:rPr>
          <w:lang w:val="fr-FR"/>
        </w:rPr>
        <w:t xml:space="preserve">Il est prévu que </w:t>
      </w:r>
      <w:r w:rsidR="00CD632B">
        <w:rPr>
          <w:lang w:val="fr-FR"/>
        </w:rPr>
        <w:t xml:space="preserve">l’examen et la mise à jour </w:t>
      </w:r>
      <w:r w:rsidRPr="003D3F80">
        <w:rPr>
          <w:lang w:val="fr-FR"/>
        </w:rPr>
        <w:t xml:space="preserve">des politiques de sauvegarde débouche sur un nouveau </w:t>
      </w:r>
      <w:r w:rsidR="00326A49">
        <w:rPr>
          <w:lang w:val="fr-FR"/>
        </w:rPr>
        <w:t>cadre</w:t>
      </w:r>
      <w:r w:rsidRPr="003D3F80">
        <w:rPr>
          <w:lang w:val="fr-FR"/>
        </w:rPr>
        <w:t xml:space="preserve"> intégré qui s</w:t>
      </w:r>
      <w:r w:rsidR="001051C0">
        <w:rPr>
          <w:lang w:val="fr-FR"/>
        </w:rPr>
        <w:t>’</w:t>
      </w:r>
      <w:r w:rsidRPr="003D3F80">
        <w:rPr>
          <w:lang w:val="fr-FR"/>
        </w:rPr>
        <w:t>appuiera sur les grands principes régissant actuellement ces politiques et qui pourrait s</w:t>
      </w:r>
      <w:r w:rsidR="001051C0">
        <w:rPr>
          <w:lang w:val="fr-FR"/>
        </w:rPr>
        <w:t>’</w:t>
      </w:r>
      <w:r w:rsidRPr="003D3F80">
        <w:rPr>
          <w:lang w:val="fr-FR"/>
        </w:rPr>
        <w:t xml:space="preserve">organiser autour des éléments suivants : principes, politiques, procédures et modalités </w:t>
      </w:r>
      <w:r w:rsidR="005D7301" w:rsidRPr="003D3F80">
        <w:rPr>
          <w:lang w:val="fr-FR"/>
        </w:rPr>
        <w:t>conseillées</w:t>
      </w:r>
      <w:r w:rsidR="00EF3737" w:rsidRPr="003D3F80">
        <w:rPr>
          <w:lang w:val="fr-FR"/>
        </w:rPr>
        <w:t xml:space="preserve">. </w:t>
      </w:r>
      <w:r w:rsidRPr="003D3F80">
        <w:rPr>
          <w:lang w:val="fr-FR"/>
        </w:rPr>
        <w:t xml:space="preserve">Le </w:t>
      </w:r>
      <w:r w:rsidR="00E916CB">
        <w:rPr>
          <w:lang w:val="fr-FR"/>
        </w:rPr>
        <w:t>cadre</w:t>
      </w:r>
      <w:r w:rsidRPr="003D3F80">
        <w:rPr>
          <w:lang w:val="fr-FR"/>
        </w:rPr>
        <w:t xml:space="preserve"> envisagé visera à faire coïncider les politiques avec le nouveau contexte interne et externe</w:t>
      </w:r>
      <w:r w:rsidR="0070768F" w:rsidRPr="003D3F80">
        <w:rPr>
          <w:lang w:val="fr-FR"/>
        </w:rPr>
        <w:t>,</w:t>
      </w:r>
      <w:r w:rsidRPr="003D3F80">
        <w:rPr>
          <w:lang w:val="fr-FR"/>
        </w:rPr>
        <w:t xml:space="preserve"> et à jeter les bases solides d</w:t>
      </w:r>
      <w:r w:rsidR="001051C0">
        <w:rPr>
          <w:lang w:val="fr-FR"/>
        </w:rPr>
        <w:t>’</w:t>
      </w:r>
      <w:r w:rsidRPr="003D3F80">
        <w:rPr>
          <w:lang w:val="fr-FR"/>
        </w:rPr>
        <w:t xml:space="preserve">un </w:t>
      </w:r>
      <w:r w:rsidR="0070768F" w:rsidRPr="003D3F80">
        <w:rPr>
          <w:lang w:val="fr-FR"/>
        </w:rPr>
        <w:t>partenariat redynamisé et renforcé avec les emprunteurs de la Banque, contribuant ainsi à une plus grande efficacité du développement</w:t>
      </w:r>
      <w:r w:rsidR="00EF3737" w:rsidRPr="003D3F80">
        <w:rPr>
          <w:lang w:val="fr-FR"/>
        </w:rPr>
        <w:t xml:space="preserve">. </w:t>
      </w:r>
    </w:p>
    <w:p w:rsidR="002508ED" w:rsidRPr="003D3F80" w:rsidRDefault="0070768F" w:rsidP="00A90205">
      <w:pPr>
        <w:pStyle w:val="ippara2"/>
        <w:widowControl/>
        <w:spacing w:after="200" w:line="276" w:lineRule="auto"/>
        <w:ind w:left="0" w:firstLine="0"/>
        <w:jc w:val="both"/>
        <w:rPr>
          <w:lang w:val="fr-FR"/>
        </w:rPr>
      </w:pPr>
      <w:r w:rsidRPr="003D3F80">
        <w:rPr>
          <w:b/>
          <w:i/>
          <w:lang w:val="fr-FR"/>
        </w:rPr>
        <w:lastRenderedPageBreak/>
        <w:t>Perspectives et risques</w:t>
      </w:r>
      <w:r w:rsidR="00EF3737" w:rsidRPr="003D3F80">
        <w:rPr>
          <w:b/>
          <w:i/>
          <w:lang w:val="fr-FR"/>
        </w:rPr>
        <w:t>.</w:t>
      </w:r>
      <w:r w:rsidR="00B13829">
        <w:rPr>
          <w:lang w:val="fr-FR"/>
        </w:rPr>
        <w:t xml:space="preserve"> Ce travail d'examen et de mise à jour </w:t>
      </w:r>
      <w:r w:rsidRPr="003D3F80">
        <w:rPr>
          <w:lang w:val="fr-FR"/>
        </w:rPr>
        <w:t>des politiques de sauvegarde donne la possibilité à la Banque d</w:t>
      </w:r>
      <w:r w:rsidR="001051C0">
        <w:rPr>
          <w:lang w:val="fr-FR"/>
        </w:rPr>
        <w:t>’</w:t>
      </w:r>
      <w:r w:rsidRPr="003D3F80">
        <w:rPr>
          <w:lang w:val="fr-FR"/>
        </w:rPr>
        <w:t xml:space="preserve">améliorer la façon dont elle peut: </w:t>
      </w:r>
      <w:r w:rsidR="00E0536F" w:rsidRPr="003D3F80">
        <w:rPr>
          <w:lang w:val="fr-FR"/>
        </w:rPr>
        <w:t xml:space="preserve">i) </w:t>
      </w:r>
      <w:r w:rsidRPr="003D3F80">
        <w:rPr>
          <w:lang w:val="fr-FR"/>
        </w:rPr>
        <w:t>obtenir de meilleurs résultats au plan environnemental et social</w:t>
      </w:r>
      <w:r w:rsidR="002C34EF" w:rsidRPr="003D3F80">
        <w:rPr>
          <w:lang w:val="fr-FR"/>
        </w:rPr>
        <w:t> ;</w:t>
      </w:r>
      <w:r w:rsidRPr="003D3F80">
        <w:rPr>
          <w:lang w:val="fr-FR"/>
        </w:rPr>
        <w:t xml:space="preserve"> </w:t>
      </w:r>
      <w:r w:rsidR="00E0536F" w:rsidRPr="003D3F80">
        <w:rPr>
          <w:lang w:val="fr-FR"/>
        </w:rPr>
        <w:t xml:space="preserve">ii) </w:t>
      </w:r>
      <w:r w:rsidRPr="003D3F80">
        <w:rPr>
          <w:lang w:val="fr-FR"/>
        </w:rPr>
        <w:t>renforcer les dispositifs et les institutions des pays</w:t>
      </w:r>
      <w:r w:rsidR="002C34EF" w:rsidRPr="003D3F80">
        <w:rPr>
          <w:lang w:val="fr-FR"/>
        </w:rPr>
        <w:t> ;</w:t>
      </w:r>
      <w:r w:rsidRPr="003D3F80">
        <w:rPr>
          <w:lang w:val="fr-FR"/>
        </w:rPr>
        <w:t xml:space="preserve"> et </w:t>
      </w:r>
      <w:r w:rsidR="00344A2D" w:rsidRPr="003D3F80">
        <w:rPr>
          <w:lang w:val="fr-FR"/>
        </w:rPr>
        <w:t xml:space="preserve">iii) </w:t>
      </w:r>
      <w:r w:rsidRPr="003D3F80">
        <w:rPr>
          <w:lang w:val="fr-FR"/>
        </w:rPr>
        <w:t xml:space="preserve">mieux prendre en compte les risques environnementaux et sociaux. La direction </w:t>
      </w:r>
      <w:r w:rsidR="00326A49">
        <w:rPr>
          <w:lang w:val="fr-FR"/>
        </w:rPr>
        <w:t>reconnaît q</w:t>
      </w:r>
      <w:r w:rsidRPr="003D3F80">
        <w:rPr>
          <w:lang w:val="fr-FR"/>
        </w:rPr>
        <w:t xml:space="preserve">ue les politiques de sauvegarde de la Banque sont devenues une norme pour les autres partenaires de la communauté du développement dans le monde. </w:t>
      </w:r>
      <w:r w:rsidR="00BC71DE" w:rsidRPr="003D3F80">
        <w:rPr>
          <w:lang w:val="fr-FR"/>
        </w:rPr>
        <w:t>Bien qu</w:t>
      </w:r>
      <w:r w:rsidR="001051C0">
        <w:rPr>
          <w:lang w:val="fr-FR"/>
        </w:rPr>
        <w:t>’</w:t>
      </w:r>
      <w:r w:rsidR="00BC71DE" w:rsidRPr="003D3F80">
        <w:rPr>
          <w:lang w:val="fr-FR"/>
        </w:rPr>
        <w:t>il s</w:t>
      </w:r>
      <w:r w:rsidR="001051C0">
        <w:rPr>
          <w:lang w:val="fr-FR"/>
        </w:rPr>
        <w:t>’</w:t>
      </w:r>
      <w:r w:rsidR="00BC71DE" w:rsidRPr="003D3F80">
        <w:rPr>
          <w:lang w:val="fr-FR"/>
        </w:rPr>
        <w:t>agisse explicitement de renforcer l</w:t>
      </w:r>
      <w:r w:rsidR="001051C0">
        <w:rPr>
          <w:lang w:val="fr-FR"/>
        </w:rPr>
        <w:t>’</w:t>
      </w:r>
      <w:r w:rsidR="00BC71DE" w:rsidRPr="003D3F80">
        <w:rPr>
          <w:lang w:val="fr-FR"/>
        </w:rPr>
        <w:t xml:space="preserve">efficacité </w:t>
      </w:r>
      <w:r w:rsidR="00FE5852" w:rsidRPr="003D3F80">
        <w:rPr>
          <w:lang w:val="fr-FR"/>
        </w:rPr>
        <w:t xml:space="preserve">de </w:t>
      </w:r>
      <w:r w:rsidR="00BC71DE" w:rsidRPr="003D3F80">
        <w:rPr>
          <w:lang w:val="fr-FR"/>
        </w:rPr>
        <w:t>ces politiques, t</w:t>
      </w:r>
      <w:r w:rsidRPr="003D3F80">
        <w:rPr>
          <w:lang w:val="fr-FR"/>
        </w:rPr>
        <w:t>oute modification d</w:t>
      </w:r>
      <w:r w:rsidR="00BC71DE" w:rsidRPr="003D3F80">
        <w:rPr>
          <w:lang w:val="fr-FR"/>
        </w:rPr>
        <w:t>e leur</w:t>
      </w:r>
      <w:r w:rsidRPr="003D3F80">
        <w:rPr>
          <w:lang w:val="fr-FR"/>
        </w:rPr>
        <w:t xml:space="preserve"> libellé actuel pourrait être interprétée par certains comme un assouplissement des obligations existantes. Il faudra </w:t>
      </w:r>
      <w:r w:rsidR="005D7301" w:rsidRPr="003D3F80">
        <w:rPr>
          <w:lang w:val="fr-FR"/>
        </w:rPr>
        <w:t xml:space="preserve">donc </w:t>
      </w:r>
      <w:r w:rsidRPr="003D3F80">
        <w:rPr>
          <w:lang w:val="fr-FR"/>
        </w:rPr>
        <w:t xml:space="preserve">bien veiller à trouver le juste équilibre entre des demandes, des besoins et des </w:t>
      </w:r>
      <w:r w:rsidR="005D7301" w:rsidRPr="003D3F80">
        <w:rPr>
          <w:lang w:val="fr-FR"/>
        </w:rPr>
        <w:t xml:space="preserve">attentes </w:t>
      </w:r>
      <w:r w:rsidRPr="003D3F80">
        <w:rPr>
          <w:lang w:val="fr-FR"/>
        </w:rPr>
        <w:t>parfois difficiles à concilier</w:t>
      </w:r>
      <w:r w:rsidR="005F5D5A">
        <w:rPr>
          <w:lang w:val="fr-FR"/>
        </w:rPr>
        <w:t xml:space="preserve">, </w:t>
      </w:r>
      <w:r w:rsidRPr="003D3F80">
        <w:rPr>
          <w:lang w:val="fr-FR"/>
        </w:rPr>
        <w:t>en gardant à l</w:t>
      </w:r>
      <w:r w:rsidR="001051C0">
        <w:rPr>
          <w:lang w:val="fr-FR"/>
        </w:rPr>
        <w:t>’</w:t>
      </w:r>
      <w:r w:rsidRPr="003D3F80">
        <w:rPr>
          <w:lang w:val="fr-FR"/>
        </w:rPr>
        <w:t>esprit que, bien conduit</w:t>
      </w:r>
      <w:r w:rsidR="00B13829">
        <w:rPr>
          <w:lang w:val="fr-FR"/>
        </w:rPr>
        <w:t>s</w:t>
      </w:r>
      <w:r w:rsidRPr="003D3F80">
        <w:rPr>
          <w:lang w:val="fr-FR"/>
        </w:rPr>
        <w:t>,</w:t>
      </w:r>
      <w:r w:rsidR="00B13829">
        <w:rPr>
          <w:lang w:val="fr-FR"/>
        </w:rPr>
        <w:t xml:space="preserve"> cet examen et cette mise à jour </w:t>
      </w:r>
      <w:r w:rsidRPr="003D3F80">
        <w:rPr>
          <w:lang w:val="fr-FR"/>
        </w:rPr>
        <w:t>des politiques de sauvegarde peut avoir des effets positifs multiples pour la Banque, ses actionnaires et les parties prenantes à son action au plan interne et externe</w:t>
      </w:r>
      <w:r w:rsidR="00344A2D" w:rsidRPr="003D3F80">
        <w:rPr>
          <w:lang w:val="fr-FR"/>
        </w:rPr>
        <w:t>.</w:t>
      </w:r>
    </w:p>
    <w:p w:rsidR="002508ED" w:rsidRPr="003D3F80" w:rsidRDefault="0070768F" w:rsidP="00A90205">
      <w:pPr>
        <w:pStyle w:val="ippara2"/>
        <w:widowControl/>
        <w:spacing w:after="200" w:line="276" w:lineRule="auto"/>
        <w:ind w:left="0" w:firstLine="0"/>
        <w:jc w:val="both"/>
        <w:rPr>
          <w:lang w:val="fr-FR"/>
        </w:rPr>
      </w:pPr>
      <w:r w:rsidRPr="003D3F80">
        <w:rPr>
          <w:b/>
          <w:i/>
          <w:lang w:val="fr-FR"/>
        </w:rPr>
        <w:t xml:space="preserve">Partenariat </w:t>
      </w:r>
      <w:r w:rsidR="005D7301" w:rsidRPr="003D3F80">
        <w:rPr>
          <w:b/>
          <w:i/>
          <w:lang w:val="fr-FR"/>
        </w:rPr>
        <w:t xml:space="preserve">redynamisé </w:t>
      </w:r>
      <w:r w:rsidRPr="003D3F80">
        <w:rPr>
          <w:b/>
          <w:i/>
          <w:lang w:val="fr-FR"/>
        </w:rPr>
        <w:t>avec les emprunteurs</w:t>
      </w:r>
      <w:r w:rsidR="00EF3737" w:rsidRPr="003D3F80">
        <w:rPr>
          <w:b/>
          <w:i/>
          <w:lang w:val="fr-FR"/>
        </w:rPr>
        <w:t>.</w:t>
      </w:r>
      <w:r w:rsidR="00EF3737" w:rsidRPr="003D3F80">
        <w:rPr>
          <w:lang w:val="fr-FR"/>
        </w:rPr>
        <w:t xml:space="preserve"> </w:t>
      </w:r>
      <w:r w:rsidR="00F43765">
        <w:rPr>
          <w:lang w:val="fr-FR"/>
        </w:rPr>
        <w:t>En</w:t>
      </w:r>
      <w:r w:rsidR="007D34E9" w:rsidRPr="003D3F80">
        <w:rPr>
          <w:lang w:val="fr-FR"/>
        </w:rPr>
        <w:t xml:space="preserve"> s</w:t>
      </w:r>
      <w:r w:rsidR="001051C0">
        <w:rPr>
          <w:lang w:val="fr-FR"/>
        </w:rPr>
        <w:t>’</w:t>
      </w:r>
      <w:r w:rsidR="007D34E9" w:rsidRPr="003D3F80">
        <w:rPr>
          <w:lang w:val="fr-FR"/>
        </w:rPr>
        <w:t xml:space="preserve">adaptant </w:t>
      </w:r>
      <w:r w:rsidRPr="003D3F80">
        <w:rPr>
          <w:lang w:val="fr-FR"/>
        </w:rPr>
        <w:t>à l</w:t>
      </w:r>
      <w:r w:rsidR="001051C0">
        <w:rPr>
          <w:lang w:val="fr-FR"/>
        </w:rPr>
        <w:t>’</w:t>
      </w:r>
      <w:r w:rsidRPr="003D3F80">
        <w:rPr>
          <w:lang w:val="fr-FR"/>
        </w:rPr>
        <w:t xml:space="preserve">évolution des besoins </w:t>
      </w:r>
      <w:r w:rsidR="005D7301" w:rsidRPr="003D3F80">
        <w:rPr>
          <w:lang w:val="fr-FR"/>
        </w:rPr>
        <w:t>de ses emprunteurs</w:t>
      </w:r>
      <w:r w:rsidRPr="003D3F80">
        <w:rPr>
          <w:lang w:val="fr-FR"/>
        </w:rPr>
        <w:t>, la Banque s</w:t>
      </w:r>
      <w:r w:rsidR="001051C0">
        <w:rPr>
          <w:lang w:val="fr-FR"/>
        </w:rPr>
        <w:t>’</w:t>
      </w:r>
      <w:r w:rsidRPr="003D3F80">
        <w:rPr>
          <w:lang w:val="fr-FR"/>
        </w:rPr>
        <w:t>emploiera</w:t>
      </w:r>
      <w:r w:rsidR="00F43765">
        <w:rPr>
          <w:lang w:val="fr-FR"/>
        </w:rPr>
        <w:t>, tout au long du processus d'examen et de mise à jour,</w:t>
      </w:r>
      <w:r w:rsidRPr="003D3F80">
        <w:rPr>
          <w:lang w:val="fr-FR"/>
        </w:rPr>
        <w:t xml:space="preserve"> à</w:t>
      </w:r>
      <w:r w:rsidR="00F43765">
        <w:rPr>
          <w:lang w:val="fr-FR"/>
        </w:rPr>
        <w:t xml:space="preserve"> redynamiser </w:t>
      </w:r>
      <w:r w:rsidRPr="003D3F80">
        <w:rPr>
          <w:lang w:val="fr-FR"/>
        </w:rPr>
        <w:t>un partenariat solidement</w:t>
      </w:r>
      <w:r w:rsidR="00F43765">
        <w:rPr>
          <w:lang w:val="fr-FR"/>
        </w:rPr>
        <w:t xml:space="preserve"> ancré </w:t>
      </w:r>
      <w:r w:rsidRPr="003D3F80">
        <w:rPr>
          <w:lang w:val="fr-FR"/>
        </w:rPr>
        <w:t>dans une volonté commune de mener des projets et programmes</w:t>
      </w:r>
      <w:r w:rsidR="00F43765">
        <w:rPr>
          <w:lang w:val="fr-FR"/>
        </w:rPr>
        <w:t xml:space="preserve"> ayant des effets durables au plan environnemental et social</w:t>
      </w:r>
      <w:r w:rsidRPr="003D3F80">
        <w:rPr>
          <w:lang w:val="fr-FR"/>
        </w:rPr>
        <w:t>,</w:t>
      </w:r>
      <w:r w:rsidR="00C1016B">
        <w:rPr>
          <w:lang w:val="fr-FR"/>
        </w:rPr>
        <w:t xml:space="preserve"> avec une définition plus claire des </w:t>
      </w:r>
      <w:r w:rsidRPr="003D3F80">
        <w:rPr>
          <w:lang w:val="fr-FR"/>
        </w:rPr>
        <w:t>responsabilités de chaque partenaire. La prochaine génération de</w:t>
      </w:r>
      <w:r w:rsidR="00C1016B">
        <w:rPr>
          <w:lang w:val="fr-FR"/>
        </w:rPr>
        <w:t xml:space="preserve"> politiques de sauvegarde </w:t>
      </w:r>
      <w:r w:rsidRPr="003D3F80">
        <w:rPr>
          <w:lang w:val="fr-FR"/>
        </w:rPr>
        <w:t xml:space="preserve">perpétuera ce partenariat, réaffirmant les principes et objectifs fondamentaux établis au cours des 20 dernières années. </w:t>
      </w:r>
    </w:p>
    <w:p w:rsidR="002508ED" w:rsidRPr="003D3F80" w:rsidRDefault="00F31B40" w:rsidP="00A90205">
      <w:pPr>
        <w:pStyle w:val="ippara2"/>
        <w:widowControl/>
        <w:spacing w:after="200" w:line="276" w:lineRule="auto"/>
        <w:ind w:left="0" w:firstLine="0"/>
        <w:jc w:val="both"/>
        <w:rPr>
          <w:lang w:val="fr-FR"/>
        </w:rPr>
      </w:pPr>
      <w:r w:rsidRPr="003D3F80">
        <w:rPr>
          <w:b/>
          <w:bCs/>
          <w:i/>
          <w:lang w:val="fr-FR"/>
        </w:rPr>
        <w:t xml:space="preserve">Un processus de consultation </w:t>
      </w:r>
      <w:r w:rsidR="00B30D73">
        <w:rPr>
          <w:b/>
          <w:bCs/>
          <w:i/>
          <w:lang w:val="fr-FR"/>
        </w:rPr>
        <w:t>large</w:t>
      </w:r>
      <w:r w:rsidRPr="003D3F80">
        <w:rPr>
          <w:b/>
          <w:bCs/>
          <w:i/>
          <w:lang w:val="fr-FR"/>
        </w:rPr>
        <w:t>, transparent et</w:t>
      </w:r>
      <w:r w:rsidR="00C1016B">
        <w:rPr>
          <w:b/>
          <w:bCs/>
          <w:i/>
          <w:lang w:val="fr-FR"/>
        </w:rPr>
        <w:t xml:space="preserve"> associant tous les acteurs</w:t>
      </w:r>
      <w:r w:rsidR="00EF3737" w:rsidRPr="003D3F80">
        <w:rPr>
          <w:b/>
          <w:bCs/>
          <w:i/>
          <w:lang w:val="fr-FR"/>
        </w:rPr>
        <w:t>.</w:t>
      </w:r>
      <w:r w:rsidR="00EF3737" w:rsidRPr="003D3F80">
        <w:rPr>
          <w:bCs/>
          <w:lang w:val="fr-FR"/>
        </w:rPr>
        <w:t xml:space="preserve"> </w:t>
      </w:r>
      <w:r w:rsidRPr="003D3F80">
        <w:rPr>
          <w:bCs/>
          <w:lang w:val="fr-FR"/>
        </w:rPr>
        <w:t>La Banque</w:t>
      </w:r>
      <w:r w:rsidR="00C1016B">
        <w:rPr>
          <w:bCs/>
          <w:lang w:val="fr-FR"/>
        </w:rPr>
        <w:t xml:space="preserve"> conduira </w:t>
      </w:r>
      <w:r w:rsidRPr="003D3F80">
        <w:rPr>
          <w:bCs/>
          <w:lang w:val="fr-FR"/>
        </w:rPr>
        <w:t xml:space="preserve">ce </w:t>
      </w:r>
      <w:r w:rsidR="00B30D73">
        <w:rPr>
          <w:bCs/>
          <w:lang w:val="fr-FR"/>
        </w:rPr>
        <w:t xml:space="preserve">processus </w:t>
      </w:r>
      <w:r w:rsidRPr="003D3F80">
        <w:rPr>
          <w:bCs/>
          <w:lang w:val="fr-FR"/>
        </w:rPr>
        <w:t>de façon consultative</w:t>
      </w:r>
      <w:r w:rsidR="00B30D73">
        <w:rPr>
          <w:bCs/>
          <w:lang w:val="fr-FR"/>
        </w:rPr>
        <w:t>,</w:t>
      </w:r>
      <w:r w:rsidRPr="003D3F80">
        <w:rPr>
          <w:bCs/>
          <w:lang w:val="fr-FR"/>
        </w:rPr>
        <w:t xml:space="preserve"> en veillant à ce qu</w:t>
      </w:r>
      <w:r w:rsidR="001051C0">
        <w:rPr>
          <w:bCs/>
          <w:lang w:val="fr-FR"/>
        </w:rPr>
        <w:t>’</w:t>
      </w:r>
      <w:r w:rsidRPr="003D3F80">
        <w:rPr>
          <w:bCs/>
          <w:lang w:val="fr-FR"/>
        </w:rPr>
        <w:t>il soit aussi complet que possible, compte tenu de l</w:t>
      </w:r>
      <w:r w:rsidR="001051C0">
        <w:rPr>
          <w:bCs/>
          <w:lang w:val="fr-FR"/>
        </w:rPr>
        <w:t>’</w:t>
      </w:r>
      <w:r w:rsidRPr="003D3F80">
        <w:rPr>
          <w:bCs/>
          <w:lang w:val="fr-FR"/>
        </w:rPr>
        <w:t xml:space="preserve">importance de </w:t>
      </w:r>
      <w:r w:rsidR="007D34E9" w:rsidRPr="003D3F80">
        <w:rPr>
          <w:bCs/>
          <w:lang w:val="fr-FR"/>
        </w:rPr>
        <w:t xml:space="preserve">ce travail </w:t>
      </w:r>
      <w:r w:rsidRPr="003D3F80">
        <w:rPr>
          <w:bCs/>
          <w:lang w:val="fr-FR"/>
        </w:rPr>
        <w:t>et du profond impact qu</w:t>
      </w:r>
      <w:r w:rsidR="001051C0">
        <w:rPr>
          <w:bCs/>
          <w:lang w:val="fr-FR"/>
        </w:rPr>
        <w:t>’</w:t>
      </w:r>
      <w:r w:rsidRPr="003D3F80">
        <w:rPr>
          <w:bCs/>
          <w:lang w:val="fr-FR"/>
        </w:rPr>
        <w:t>il peut avoir. L</w:t>
      </w:r>
      <w:r w:rsidR="001051C0">
        <w:rPr>
          <w:bCs/>
          <w:lang w:val="fr-FR"/>
        </w:rPr>
        <w:t>’</w:t>
      </w:r>
      <w:r w:rsidRPr="003D3F80">
        <w:rPr>
          <w:bCs/>
          <w:lang w:val="fr-FR"/>
        </w:rPr>
        <w:t>exercice se déroulera sur 24 mois, en trois phases, chacune faisant intervenir une consultation multipartite pour obtenir la contribution et l</w:t>
      </w:r>
      <w:r w:rsidR="001051C0">
        <w:rPr>
          <w:bCs/>
          <w:lang w:val="fr-FR"/>
        </w:rPr>
        <w:t>’</w:t>
      </w:r>
      <w:r w:rsidRPr="003D3F80">
        <w:rPr>
          <w:bCs/>
          <w:lang w:val="fr-FR"/>
        </w:rPr>
        <w:t>avis des acteurs intéressés</w:t>
      </w:r>
      <w:r w:rsidR="007761CC" w:rsidRPr="003D3F80">
        <w:rPr>
          <w:bCs/>
          <w:lang w:val="fr-FR"/>
        </w:rPr>
        <w:t>, en procédant de façon aussi large, transparente et plurilatérale que possible</w:t>
      </w:r>
      <w:r w:rsidR="00EF3737" w:rsidRPr="003D3F80">
        <w:rPr>
          <w:color w:val="000000"/>
          <w:lang w:val="fr-FR"/>
        </w:rPr>
        <w:t xml:space="preserve">. </w:t>
      </w:r>
    </w:p>
    <w:p w:rsidR="002508ED" w:rsidRPr="003D3F80" w:rsidRDefault="007D34E9" w:rsidP="00A90205">
      <w:pPr>
        <w:pStyle w:val="Heading3"/>
        <w:keepNext/>
        <w:widowControl/>
        <w:numPr>
          <w:ilvl w:val="0"/>
          <w:numId w:val="38"/>
        </w:numPr>
        <w:spacing w:before="0" w:after="200" w:line="276" w:lineRule="auto"/>
        <w:rPr>
          <w:szCs w:val="24"/>
          <w:lang w:val="fr-FR"/>
        </w:rPr>
      </w:pPr>
      <w:bookmarkStart w:id="2" w:name="_Toc338065565"/>
      <w:r w:rsidRPr="003D3F80">
        <w:rPr>
          <w:szCs w:val="24"/>
          <w:lang w:val="fr-FR"/>
        </w:rPr>
        <w:t>Contexte général</w:t>
      </w:r>
      <w:bookmarkEnd w:id="2"/>
    </w:p>
    <w:p w:rsidR="00BC71DE" w:rsidRPr="003D3F80" w:rsidRDefault="006362B8" w:rsidP="00A90205">
      <w:pPr>
        <w:pStyle w:val="ippara2"/>
        <w:widowControl/>
        <w:spacing w:after="200" w:line="276" w:lineRule="auto"/>
        <w:ind w:left="0" w:firstLine="0"/>
        <w:jc w:val="both"/>
        <w:rPr>
          <w:lang w:val="fr-FR"/>
        </w:rPr>
      </w:pPr>
      <w:r w:rsidRPr="003D3F80">
        <w:rPr>
          <w:b/>
          <w:i/>
          <w:lang w:val="fr-FR"/>
        </w:rPr>
        <w:t>Évolution des politiques de sauvegarde</w:t>
      </w:r>
      <w:r w:rsidR="00EA1F93" w:rsidRPr="003D3F80">
        <w:rPr>
          <w:b/>
          <w:i/>
          <w:lang w:val="fr-FR"/>
        </w:rPr>
        <w:t>.</w:t>
      </w:r>
      <w:r w:rsidR="0095163E" w:rsidRPr="003D3F80">
        <w:rPr>
          <w:b/>
          <w:lang w:val="fr-FR"/>
        </w:rPr>
        <w:t xml:space="preserve"> </w:t>
      </w:r>
      <w:r w:rsidR="00F41166" w:rsidRPr="003D3F80">
        <w:rPr>
          <w:lang w:val="fr-FR"/>
        </w:rPr>
        <w:t xml:space="preserve">Les politiques de sauvegarde de la Banque mondiale reflètent les valeurs </w:t>
      </w:r>
      <w:r w:rsidR="006E2172" w:rsidRPr="003D3F80">
        <w:rPr>
          <w:lang w:val="fr-FR"/>
        </w:rPr>
        <w:t>fondamentales de l</w:t>
      </w:r>
      <w:r w:rsidR="001051C0">
        <w:rPr>
          <w:lang w:val="fr-FR"/>
        </w:rPr>
        <w:t>’</w:t>
      </w:r>
      <w:r w:rsidR="006E2172" w:rsidRPr="003D3F80">
        <w:rPr>
          <w:lang w:val="fr-FR"/>
        </w:rPr>
        <w:t>institution.</w:t>
      </w:r>
      <w:r w:rsidR="0021403F" w:rsidRPr="003D3F80">
        <w:rPr>
          <w:lang w:val="fr-FR"/>
        </w:rPr>
        <w:t xml:space="preserve"> Elles forment la clé de voûte des efforts déployés par la Banque pour protéger les populations et l</w:t>
      </w:r>
      <w:r w:rsidR="001051C0">
        <w:rPr>
          <w:lang w:val="fr-FR"/>
        </w:rPr>
        <w:t>’</w:t>
      </w:r>
      <w:r w:rsidR="0021403F" w:rsidRPr="003D3F80">
        <w:rPr>
          <w:lang w:val="fr-FR"/>
        </w:rPr>
        <w:t>en</w:t>
      </w:r>
      <w:r w:rsidR="00BC71DE" w:rsidRPr="003D3F80">
        <w:rPr>
          <w:lang w:val="fr-FR"/>
        </w:rPr>
        <w:t>viron</w:t>
      </w:r>
      <w:r w:rsidR="0021403F" w:rsidRPr="003D3F80">
        <w:rPr>
          <w:lang w:val="fr-FR"/>
        </w:rPr>
        <w:t>ne</w:t>
      </w:r>
      <w:r w:rsidR="00BC71DE" w:rsidRPr="003D3F80">
        <w:rPr>
          <w:lang w:val="fr-FR"/>
        </w:rPr>
        <w:t xml:space="preserve">ment </w:t>
      </w:r>
      <w:r w:rsidR="0021403F" w:rsidRPr="003D3F80">
        <w:rPr>
          <w:lang w:val="fr-FR"/>
        </w:rPr>
        <w:t xml:space="preserve">et assurer </w:t>
      </w:r>
      <w:r w:rsidR="001158F3" w:rsidRPr="003D3F80">
        <w:rPr>
          <w:lang w:val="fr-FR"/>
        </w:rPr>
        <w:t>la réalisation d</w:t>
      </w:r>
      <w:r w:rsidR="001051C0">
        <w:rPr>
          <w:lang w:val="fr-FR"/>
        </w:rPr>
        <w:t>’</w:t>
      </w:r>
      <w:r w:rsidR="00D729DF" w:rsidRPr="003D3F80">
        <w:rPr>
          <w:lang w:val="fr-FR"/>
        </w:rPr>
        <w:t xml:space="preserve">un </w:t>
      </w:r>
      <w:r w:rsidR="0021403F" w:rsidRPr="003D3F80">
        <w:rPr>
          <w:lang w:val="fr-FR"/>
        </w:rPr>
        <w:t xml:space="preserve">développement </w:t>
      </w:r>
      <w:r w:rsidR="00D729DF" w:rsidRPr="003D3F80">
        <w:rPr>
          <w:lang w:val="fr-FR"/>
        </w:rPr>
        <w:t>durable</w:t>
      </w:r>
      <w:r w:rsidR="00BC71DE" w:rsidRPr="003D3F80">
        <w:rPr>
          <w:lang w:val="fr-FR"/>
        </w:rPr>
        <w:t xml:space="preserve">. </w:t>
      </w:r>
      <w:r w:rsidR="00D729DF" w:rsidRPr="003D3F80">
        <w:rPr>
          <w:lang w:val="fr-FR"/>
        </w:rPr>
        <w:t xml:space="preserve">Ces politiques </w:t>
      </w:r>
      <w:r w:rsidR="001158F3" w:rsidRPr="003D3F80">
        <w:rPr>
          <w:lang w:val="fr-FR"/>
        </w:rPr>
        <w:t xml:space="preserve">ont </w:t>
      </w:r>
      <w:r w:rsidR="00FA5D50">
        <w:rPr>
          <w:lang w:val="fr-FR"/>
        </w:rPr>
        <w:t xml:space="preserve">bien </w:t>
      </w:r>
      <w:r w:rsidR="00D729DF" w:rsidRPr="003D3F80">
        <w:rPr>
          <w:lang w:val="fr-FR"/>
        </w:rPr>
        <w:t>serv</w:t>
      </w:r>
      <w:r w:rsidR="001158F3" w:rsidRPr="003D3F80">
        <w:rPr>
          <w:lang w:val="fr-FR"/>
        </w:rPr>
        <w:t xml:space="preserve">i </w:t>
      </w:r>
      <w:r w:rsidR="00D729DF" w:rsidRPr="003D3F80">
        <w:rPr>
          <w:lang w:val="fr-FR"/>
        </w:rPr>
        <w:t xml:space="preserve">la Banque, </w:t>
      </w:r>
      <w:r w:rsidR="00FA5D50">
        <w:rPr>
          <w:lang w:val="fr-FR"/>
        </w:rPr>
        <w:t>l</w:t>
      </w:r>
      <w:r w:rsidR="00D729DF" w:rsidRPr="003D3F80">
        <w:rPr>
          <w:lang w:val="fr-FR"/>
        </w:rPr>
        <w:t>es pays clients et la communauté du développement</w:t>
      </w:r>
      <w:r w:rsidR="00C1016B">
        <w:rPr>
          <w:lang w:val="fr-FR"/>
        </w:rPr>
        <w:t xml:space="preserve"> depuis plus de 20 ans</w:t>
      </w:r>
      <w:r w:rsidR="00BC71DE" w:rsidRPr="003D3F80">
        <w:rPr>
          <w:lang w:val="fr-FR"/>
        </w:rPr>
        <w:t xml:space="preserve">. </w:t>
      </w:r>
      <w:r w:rsidR="001158F3" w:rsidRPr="003D3F80">
        <w:rPr>
          <w:lang w:val="fr-FR"/>
        </w:rPr>
        <w:t>L</w:t>
      </w:r>
      <w:r w:rsidR="001051C0">
        <w:rPr>
          <w:lang w:val="fr-FR"/>
        </w:rPr>
        <w:t>’</w:t>
      </w:r>
      <w:r w:rsidR="001158F3" w:rsidRPr="003D3F80">
        <w:rPr>
          <w:lang w:val="fr-FR"/>
        </w:rPr>
        <w:t>institution a entrepris d</w:t>
      </w:r>
      <w:r w:rsidR="00FA5D50">
        <w:rPr>
          <w:lang w:val="fr-FR"/>
        </w:rPr>
        <w:t>’examiner</w:t>
      </w:r>
      <w:r w:rsidR="001158F3" w:rsidRPr="003D3F80">
        <w:rPr>
          <w:lang w:val="fr-FR"/>
        </w:rPr>
        <w:t xml:space="preserve"> et de mettre à jour ces </w:t>
      </w:r>
      <w:r w:rsidR="00FA5D50">
        <w:rPr>
          <w:lang w:val="fr-FR"/>
        </w:rPr>
        <w:t>politiques</w:t>
      </w:r>
      <w:r w:rsidR="001158F3" w:rsidRPr="003D3F80">
        <w:rPr>
          <w:lang w:val="fr-FR"/>
        </w:rPr>
        <w:t xml:space="preserve"> clés pour mieux répondre aux divers besoins des emprunteurs et faire face aux nouvelles demandes et aux nouveaux défis </w:t>
      </w:r>
      <w:r w:rsidR="00117522" w:rsidRPr="003D3F80">
        <w:rPr>
          <w:lang w:val="fr-FR"/>
        </w:rPr>
        <w:t xml:space="preserve">qui se posent dans le domaine du </w:t>
      </w:r>
      <w:r w:rsidR="001158F3" w:rsidRPr="003D3F80">
        <w:rPr>
          <w:lang w:val="fr-FR"/>
        </w:rPr>
        <w:t xml:space="preserve">développement. La Banque </w:t>
      </w:r>
      <w:r w:rsidR="00342113" w:rsidRPr="003D3F80">
        <w:rPr>
          <w:lang w:val="fr-FR"/>
        </w:rPr>
        <w:t>compte que ce</w:t>
      </w:r>
      <w:r w:rsidR="00C55BC0">
        <w:rPr>
          <w:lang w:val="fr-FR"/>
        </w:rPr>
        <w:t xml:space="preserve"> processus</w:t>
      </w:r>
      <w:r w:rsidR="00C1016B">
        <w:rPr>
          <w:lang w:val="fr-FR"/>
        </w:rPr>
        <w:t xml:space="preserve"> d'examen </w:t>
      </w:r>
      <w:r w:rsidR="00C55BC0">
        <w:rPr>
          <w:lang w:val="fr-FR"/>
        </w:rPr>
        <w:t>et de mise à jour</w:t>
      </w:r>
      <w:r w:rsidR="00342113" w:rsidRPr="003D3F80">
        <w:rPr>
          <w:lang w:val="fr-FR"/>
        </w:rPr>
        <w:t xml:space="preserve"> </w:t>
      </w:r>
      <w:r w:rsidR="00117522" w:rsidRPr="003D3F80">
        <w:rPr>
          <w:lang w:val="fr-FR"/>
        </w:rPr>
        <w:t>se solde par la mise en place d</w:t>
      </w:r>
      <w:r w:rsidR="001051C0">
        <w:rPr>
          <w:lang w:val="fr-FR"/>
        </w:rPr>
        <w:t>’</w:t>
      </w:r>
      <w:r w:rsidR="00117522" w:rsidRPr="003D3F80">
        <w:rPr>
          <w:lang w:val="fr-FR"/>
        </w:rPr>
        <w:t xml:space="preserve">une nouvelle génération </w:t>
      </w:r>
      <w:r w:rsidR="00342113" w:rsidRPr="003D3F80">
        <w:rPr>
          <w:lang w:val="fr-FR"/>
        </w:rPr>
        <w:t xml:space="preserve">de politiques de sauvegarde qui </w:t>
      </w:r>
      <w:r w:rsidR="006D2D74" w:rsidRPr="003D3F80">
        <w:rPr>
          <w:lang w:val="fr-FR"/>
        </w:rPr>
        <w:t>l</w:t>
      </w:r>
      <w:r w:rsidR="001051C0">
        <w:rPr>
          <w:lang w:val="fr-FR"/>
        </w:rPr>
        <w:t>’</w:t>
      </w:r>
      <w:r w:rsidR="00117522" w:rsidRPr="003D3F80">
        <w:rPr>
          <w:lang w:val="fr-FR"/>
        </w:rPr>
        <w:t>aide</w:t>
      </w:r>
      <w:r w:rsidR="00C55BC0">
        <w:rPr>
          <w:lang w:val="fr-FR"/>
        </w:rPr>
        <w:t>ron</w:t>
      </w:r>
      <w:r w:rsidR="00117522" w:rsidRPr="003D3F80">
        <w:rPr>
          <w:lang w:val="fr-FR"/>
        </w:rPr>
        <w:t xml:space="preserve">t </w:t>
      </w:r>
      <w:r w:rsidR="00B9565D" w:rsidRPr="003D3F80">
        <w:rPr>
          <w:lang w:val="fr-FR"/>
        </w:rPr>
        <w:t xml:space="preserve">non seulement </w:t>
      </w:r>
      <w:r w:rsidR="006D2D74" w:rsidRPr="003D3F80">
        <w:rPr>
          <w:lang w:val="fr-FR"/>
        </w:rPr>
        <w:t xml:space="preserve">à respecter les </w:t>
      </w:r>
      <w:r w:rsidR="00FB17EC" w:rsidRPr="003D3F80">
        <w:rPr>
          <w:lang w:val="fr-FR"/>
        </w:rPr>
        <w:t xml:space="preserve">règles </w:t>
      </w:r>
      <w:r w:rsidR="006D2D74" w:rsidRPr="003D3F80">
        <w:rPr>
          <w:lang w:val="fr-FR"/>
        </w:rPr>
        <w:t>actuel</w:t>
      </w:r>
      <w:r w:rsidR="00FB17EC" w:rsidRPr="003D3F80">
        <w:rPr>
          <w:lang w:val="fr-FR"/>
        </w:rPr>
        <w:t>le</w:t>
      </w:r>
      <w:r w:rsidR="006D2D74" w:rsidRPr="003D3F80">
        <w:rPr>
          <w:lang w:val="fr-FR"/>
        </w:rPr>
        <w:t xml:space="preserve">s </w:t>
      </w:r>
      <w:r w:rsidR="00FB17EC" w:rsidRPr="003D3F80">
        <w:rPr>
          <w:lang w:val="fr-FR"/>
        </w:rPr>
        <w:t>qui stipulent que</w:t>
      </w:r>
      <w:r w:rsidR="006D2D74" w:rsidRPr="003D3F80">
        <w:rPr>
          <w:lang w:val="fr-FR"/>
        </w:rPr>
        <w:t xml:space="preserve"> son action ne doit pas avoir d</w:t>
      </w:r>
      <w:r w:rsidR="001051C0">
        <w:rPr>
          <w:lang w:val="fr-FR"/>
        </w:rPr>
        <w:t>’</w:t>
      </w:r>
      <w:r w:rsidR="006D2D74" w:rsidRPr="003D3F80">
        <w:rPr>
          <w:lang w:val="fr-FR"/>
        </w:rPr>
        <w:t>effet néfaste, mais aussi à</w:t>
      </w:r>
      <w:r w:rsidR="00B9565D" w:rsidRPr="003D3F80">
        <w:rPr>
          <w:lang w:val="fr-FR"/>
        </w:rPr>
        <w:t xml:space="preserve"> </w:t>
      </w:r>
      <w:r w:rsidR="0032530F" w:rsidRPr="003D3F80">
        <w:rPr>
          <w:lang w:val="fr-FR"/>
        </w:rPr>
        <w:t>encourager l</w:t>
      </w:r>
      <w:r w:rsidR="001051C0">
        <w:rPr>
          <w:lang w:val="fr-FR"/>
        </w:rPr>
        <w:t>’</w:t>
      </w:r>
      <w:r w:rsidR="0032530F" w:rsidRPr="003D3F80">
        <w:rPr>
          <w:lang w:val="fr-FR"/>
        </w:rPr>
        <w:t xml:space="preserve">obtention de résultats mesurables au plan du développement, autrement dit à </w:t>
      </w:r>
      <w:r w:rsidR="00B9565D" w:rsidRPr="003D3F80">
        <w:rPr>
          <w:lang w:val="fr-FR"/>
        </w:rPr>
        <w:t>avoir une action positive</w:t>
      </w:r>
      <w:r w:rsidR="00BC71DE" w:rsidRPr="003D3F80">
        <w:rPr>
          <w:lang w:val="fr-FR"/>
        </w:rPr>
        <w:t>.</w:t>
      </w:r>
    </w:p>
    <w:p w:rsidR="002508ED" w:rsidRPr="003D3F80" w:rsidRDefault="006362B8" w:rsidP="00A90205">
      <w:pPr>
        <w:pStyle w:val="ippara2"/>
        <w:widowControl/>
        <w:spacing w:after="200" w:line="276" w:lineRule="auto"/>
        <w:ind w:left="0" w:firstLine="0"/>
        <w:jc w:val="both"/>
        <w:rPr>
          <w:lang w:val="fr-FR"/>
        </w:rPr>
      </w:pPr>
      <w:r w:rsidRPr="003D3F80">
        <w:rPr>
          <w:lang w:val="fr-FR"/>
        </w:rPr>
        <w:lastRenderedPageBreak/>
        <w:t>Depuis plusieurs dizaines d</w:t>
      </w:r>
      <w:r w:rsidR="001051C0">
        <w:rPr>
          <w:lang w:val="fr-FR"/>
        </w:rPr>
        <w:t>’</w:t>
      </w:r>
      <w:r w:rsidRPr="003D3F80">
        <w:rPr>
          <w:lang w:val="fr-FR"/>
        </w:rPr>
        <w:t>années, l</w:t>
      </w:r>
      <w:r w:rsidR="001051C0">
        <w:rPr>
          <w:lang w:val="fr-FR"/>
        </w:rPr>
        <w:t>’</w:t>
      </w:r>
      <w:r w:rsidRPr="003D3F80">
        <w:rPr>
          <w:lang w:val="fr-FR"/>
        </w:rPr>
        <w:t>une des grandes préoccupations de la Banque est d</w:t>
      </w:r>
      <w:r w:rsidR="001051C0">
        <w:rPr>
          <w:lang w:val="fr-FR"/>
        </w:rPr>
        <w:t>’</w:t>
      </w:r>
      <w:r w:rsidRPr="003D3F80">
        <w:rPr>
          <w:lang w:val="fr-FR"/>
        </w:rPr>
        <w:t>évaluer et de gérer efficacement les impacts environnementaux et sociaux des projets qu</w:t>
      </w:r>
      <w:r w:rsidR="001051C0">
        <w:rPr>
          <w:lang w:val="fr-FR"/>
        </w:rPr>
        <w:t>’</w:t>
      </w:r>
      <w:r w:rsidRPr="003D3F80">
        <w:rPr>
          <w:lang w:val="fr-FR"/>
        </w:rPr>
        <w:t>elle finance. Beaucoup de ses politiques et procédures opérationnelles reflètent ce souci. Depuis les années 70, la Banque n</w:t>
      </w:r>
      <w:r w:rsidR="001051C0">
        <w:rPr>
          <w:lang w:val="fr-FR"/>
        </w:rPr>
        <w:t>’</w:t>
      </w:r>
      <w:r w:rsidRPr="003D3F80">
        <w:rPr>
          <w:lang w:val="fr-FR"/>
        </w:rPr>
        <w:t>a cessé de s</w:t>
      </w:r>
      <w:r w:rsidR="001051C0">
        <w:rPr>
          <w:lang w:val="fr-FR"/>
        </w:rPr>
        <w:t>’</w:t>
      </w:r>
      <w:r w:rsidRPr="003D3F80">
        <w:rPr>
          <w:lang w:val="fr-FR"/>
        </w:rPr>
        <w:t>intéresser de plus près aux perspectives et risques environnementaux et sociaux</w:t>
      </w:r>
      <w:r w:rsidR="007F2C6E">
        <w:rPr>
          <w:lang w:val="fr-FR"/>
        </w:rPr>
        <w:t xml:space="preserve"> que crée le </w:t>
      </w:r>
      <w:r w:rsidRPr="003D3F80">
        <w:rPr>
          <w:lang w:val="fr-FR"/>
        </w:rPr>
        <w:t>processus de développement. En 1984, elle a adopté une</w:t>
      </w:r>
      <w:r w:rsidR="007F2C6E">
        <w:rPr>
          <w:lang w:val="fr-FR"/>
        </w:rPr>
        <w:t xml:space="preserve"> Directive </w:t>
      </w:r>
      <w:r w:rsidRPr="003D3F80">
        <w:rPr>
          <w:lang w:val="fr-FR"/>
        </w:rPr>
        <w:t xml:space="preserve">du Manuel opérationnel sur les aspects environnementaux du travail de la Banque mondiale, qui </w:t>
      </w:r>
      <w:r w:rsidR="00C55BC0">
        <w:rPr>
          <w:lang w:val="fr-FR"/>
        </w:rPr>
        <w:t>définissait</w:t>
      </w:r>
      <w:r w:rsidRPr="003D3F80">
        <w:rPr>
          <w:lang w:val="fr-FR"/>
        </w:rPr>
        <w:t xml:space="preserve"> </w:t>
      </w:r>
      <w:r w:rsidR="00C55BC0">
        <w:rPr>
          <w:lang w:val="fr-FR"/>
        </w:rPr>
        <w:t>l</w:t>
      </w:r>
      <w:r w:rsidRPr="003D3F80">
        <w:rPr>
          <w:lang w:val="fr-FR"/>
        </w:rPr>
        <w:t xml:space="preserve">es politiques et procédures applicables à ses projets, son assistance technique et </w:t>
      </w:r>
      <w:r w:rsidR="007F2C6E">
        <w:rPr>
          <w:lang w:val="fr-FR"/>
        </w:rPr>
        <w:t xml:space="preserve">les </w:t>
      </w:r>
      <w:r w:rsidRPr="003D3F80">
        <w:rPr>
          <w:lang w:val="fr-FR"/>
        </w:rPr>
        <w:t>autres aspects de ses activités qui pouvaient avoir un impact sur l</w:t>
      </w:r>
      <w:r w:rsidR="001051C0">
        <w:rPr>
          <w:lang w:val="fr-FR"/>
        </w:rPr>
        <w:t>’</w:t>
      </w:r>
      <w:r w:rsidRPr="003D3F80">
        <w:rPr>
          <w:lang w:val="fr-FR"/>
        </w:rPr>
        <w:t xml:space="preserve">environnement. Le terme </w:t>
      </w:r>
      <w:r w:rsidR="002C34EF" w:rsidRPr="003D3F80">
        <w:rPr>
          <w:lang w:val="fr-FR"/>
        </w:rPr>
        <w:t>« </w:t>
      </w:r>
      <w:r w:rsidRPr="003D3F80">
        <w:rPr>
          <w:lang w:val="fr-FR"/>
        </w:rPr>
        <w:t>environnement</w:t>
      </w:r>
      <w:r w:rsidR="002C34EF" w:rsidRPr="003D3F80">
        <w:rPr>
          <w:lang w:val="fr-FR"/>
        </w:rPr>
        <w:t> »</w:t>
      </w:r>
      <w:r w:rsidRPr="003D3F80">
        <w:rPr>
          <w:lang w:val="fr-FR"/>
        </w:rPr>
        <w:t xml:space="preserve"> était interprété au sens large et comprenait </w:t>
      </w:r>
      <w:r w:rsidR="00C00649" w:rsidRPr="003D3F80">
        <w:rPr>
          <w:lang w:val="fr-FR"/>
        </w:rPr>
        <w:t xml:space="preserve">le milieu naturel, les dimensions sociales, </w:t>
      </w:r>
      <w:r w:rsidR="00C55BC0">
        <w:rPr>
          <w:lang w:val="fr-FR"/>
        </w:rPr>
        <w:t>ainsi</w:t>
      </w:r>
      <w:r w:rsidRPr="003D3F80">
        <w:rPr>
          <w:lang w:val="fr-FR"/>
        </w:rPr>
        <w:t xml:space="preserve"> </w:t>
      </w:r>
      <w:r w:rsidR="00C55BC0">
        <w:rPr>
          <w:lang w:val="fr-FR"/>
        </w:rPr>
        <w:t xml:space="preserve">que </w:t>
      </w:r>
      <w:r w:rsidRPr="003D3F80">
        <w:rPr>
          <w:lang w:val="fr-FR"/>
        </w:rPr>
        <w:t>le</w:t>
      </w:r>
      <w:r w:rsidR="00C55BC0">
        <w:rPr>
          <w:lang w:val="fr-FR"/>
        </w:rPr>
        <w:t xml:space="preserve"> bien être</w:t>
      </w:r>
      <w:r w:rsidRPr="003D3F80">
        <w:rPr>
          <w:lang w:val="fr-FR"/>
        </w:rPr>
        <w:t xml:space="preserve"> des générations actuelles et futures</w:t>
      </w:r>
      <w:r w:rsidR="00A90205" w:rsidRPr="003D3F80">
        <w:rPr>
          <w:lang w:val="fr-FR"/>
        </w:rPr>
        <w:t>.</w:t>
      </w:r>
    </w:p>
    <w:p w:rsidR="002508ED" w:rsidRPr="003D3F80" w:rsidRDefault="006362B8" w:rsidP="00A90205">
      <w:pPr>
        <w:pStyle w:val="ippara2"/>
        <w:widowControl/>
        <w:spacing w:after="200" w:line="276" w:lineRule="auto"/>
        <w:ind w:left="0" w:firstLine="0"/>
        <w:jc w:val="both"/>
        <w:rPr>
          <w:lang w:val="fr-FR"/>
        </w:rPr>
      </w:pPr>
      <w:r w:rsidRPr="003D3F80">
        <w:rPr>
          <w:lang w:val="fr-FR"/>
        </w:rPr>
        <w:t>À la suite de la profonde réorganisation de la Banque en 1987, les directives opérationnelles ont progressivement remplacé les Directives du Manuel opérationnel, reprenant souvent les politiques présentées dans ce manuel</w:t>
      </w:r>
      <w:r w:rsidR="00503364" w:rsidRPr="003D3F80">
        <w:rPr>
          <w:vertAlign w:val="superscript"/>
          <w:lang w:val="fr-FR"/>
        </w:rPr>
        <w:footnoteReference w:id="1"/>
      </w:r>
      <w:r w:rsidR="00EA1F93" w:rsidRPr="003D3F80">
        <w:rPr>
          <w:lang w:val="fr-FR"/>
        </w:rPr>
        <w:t xml:space="preserve"> </w:t>
      </w:r>
      <w:r w:rsidRPr="003D3F80">
        <w:rPr>
          <w:lang w:val="fr-FR"/>
        </w:rPr>
        <w:t>et en créant de nouvelles. Les évaluations environnementales faisaient initialement l</w:t>
      </w:r>
      <w:r w:rsidR="001051C0">
        <w:rPr>
          <w:lang w:val="fr-FR"/>
        </w:rPr>
        <w:t>’</w:t>
      </w:r>
      <w:r w:rsidRPr="003D3F80">
        <w:rPr>
          <w:lang w:val="fr-FR"/>
        </w:rPr>
        <w:t>objet de l</w:t>
      </w:r>
      <w:r w:rsidR="001051C0">
        <w:rPr>
          <w:lang w:val="fr-FR"/>
        </w:rPr>
        <w:t>’</w:t>
      </w:r>
      <w:r w:rsidRPr="003D3F80">
        <w:rPr>
          <w:lang w:val="fr-FR"/>
        </w:rPr>
        <w:t xml:space="preserve">annexe </w:t>
      </w:r>
      <w:r w:rsidR="00104E69" w:rsidRPr="003D3F80">
        <w:rPr>
          <w:lang w:val="fr-FR"/>
        </w:rPr>
        <w:t xml:space="preserve">A de </w:t>
      </w:r>
      <w:r w:rsidR="00C00649" w:rsidRPr="003D3F80">
        <w:rPr>
          <w:lang w:val="fr-FR"/>
        </w:rPr>
        <w:t>l</w:t>
      </w:r>
      <w:r w:rsidR="001051C0">
        <w:rPr>
          <w:lang w:val="fr-FR"/>
        </w:rPr>
        <w:t>’</w:t>
      </w:r>
      <w:r w:rsidR="00EA1F93" w:rsidRPr="003D3F80">
        <w:rPr>
          <w:lang w:val="fr-FR"/>
        </w:rPr>
        <w:t>OD 4.00</w:t>
      </w:r>
      <w:r w:rsidR="00503364" w:rsidRPr="003D3F80">
        <w:rPr>
          <w:vertAlign w:val="superscript"/>
          <w:lang w:val="fr-FR"/>
        </w:rPr>
        <w:footnoteReference w:id="2"/>
      </w:r>
      <w:r w:rsidR="00C00649" w:rsidRPr="003D3F80">
        <w:rPr>
          <w:lang w:val="fr-FR"/>
        </w:rPr>
        <w:t xml:space="preserve">, devenue plus tard </w:t>
      </w:r>
      <w:r w:rsidR="00104E69" w:rsidRPr="003D3F80">
        <w:rPr>
          <w:lang w:val="fr-FR"/>
        </w:rPr>
        <w:t>l</w:t>
      </w:r>
      <w:r w:rsidR="001051C0">
        <w:rPr>
          <w:lang w:val="fr-FR"/>
        </w:rPr>
        <w:t>’</w:t>
      </w:r>
      <w:r w:rsidR="00104E69" w:rsidRPr="003D3F80">
        <w:rPr>
          <w:lang w:val="fr-FR"/>
        </w:rPr>
        <w:t>OD</w:t>
      </w:r>
      <w:r w:rsidR="00EA1F93" w:rsidRPr="003D3F80">
        <w:rPr>
          <w:lang w:val="fr-FR"/>
        </w:rPr>
        <w:t xml:space="preserve"> 4.01</w:t>
      </w:r>
      <w:r w:rsidR="00104E69" w:rsidRPr="003D3F80">
        <w:rPr>
          <w:lang w:val="fr-FR"/>
        </w:rPr>
        <w:t>. Le manque d</w:t>
      </w:r>
      <w:r w:rsidR="001051C0">
        <w:rPr>
          <w:lang w:val="fr-FR"/>
        </w:rPr>
        <w:t>’</w:t>
      </w:r>
      <w:r w:rsidR="00104E69" w:rsidRPr="003D3F80">
        <w:rPr>
          <w:lang w:val="fr-FR"/>
        </w:rPr>
        <w:t>exhaustivité des directives opérationnelles et le désir de la direction de la Banque de rationaliser les pratiques et les procédures de l</w:t>
      </w:r>
      <w:r w:rsidR="001051C0">
        <w:rPr>
          <w:lang w:val="fr-FR"/>
        </w:rPr>
        <w:t>’</w:t>
      </w:r>
      <w:r w:rsidR="00104E69" w:rsidRPr="003D3F80">
        <w:rPr>
          <w:lang w:val="fr-FR"/>
        </w:rPr>
        <w:t>institution ont conduit à la décision de 1992 de progressivement remplacer</w:t>
      </w:r>
      <w:r w:rsidR="005B0879">
        <w:rPr>
          <w:lang w:val="fr-FR"/>
        </w:rPr>
        <w:t xml:space="preserve"> ces directives </w:t>
      </w:r>
      <w:r w:rsidR="00104E69" w:rsidRPr="003D3F80">
        <w:rPr>
          <w:lang w:val="fr-FR"/>
        </w:rPr>
        <w:t>par</w:t>
      </w:r>
      <w:r w:rsidR="005B0879">
        <w:rPr>
          <w:lang w:val="fr-FR"/>
        </w:rPr>
        <w:t xml:space="preserve"> les Politiques </w:t>
      </w:r>
      <w:r w:rsidR="00104E69" w:rsidRPr="003D3F80">
        <w:rPr>
          <w:lang w:val="fr-FR"/>
        </w:rPr>
        <w:t xml:space="preserve">opérationnelles </w:t>
      </w:r>
      <w:r w:rsidR="00E72A9B">
        <w:rPr>
          <w:lang w:val="fr-FR"/>
        </w:rPr>
        <w:t>et</w:t>
      </w:r>
      <w:r w:rsidR="005B0879">
        <w:rPr>
          <w:lang w:val="fr-FR"/>
        </w:rPr>
        <w:t xml:space="preserve"> les </w:t>
      </w:r>
      <w:r w:rsidR="00350F0A">
        <w:rPr>
          <w:lang w:val="fr-FR"/>
        </w:rPr>
        <w:t xml:space="preserve">Procédures </w:t>
      </w:r>
      <w:r w:rsidR="00E72A9B">
        <w:rPr>
          <w:lang w:val="fr-FR"/>
        </w:rPr>
        <w:t>de la Banque, dont le contenu s’</w:t>
      </w:r>
      <w:r w:rsidR="00104E69" w:rsidRPr="003D3F80">
        <w:rPr>
          <w:lang w:val="fr-FR"/>
        </w:rPr>
        <w:t>imposa</w:t>
      </w:r>
      <w:r w:rsidR="00E72A9B">
        <w:rPr>
          <w:lang w:val="fr-FR"/>
        </w:rPr>
        <w:t>it</w:t>
      </w:r>
      <w:r w:rsidR="00104E69" w:rsidRPr="003D3F80">
        <w:rPr>
          <w:lang w:val="fr-FR"/>
        </w:rPr>
        <w:t xml:space="preserve"> à tous</w:t>
      </w:r>
      <w:r w:rsidR="005B0879">
        <w:rPr>
          <w:lang w:val="fr-FR"/>
        </w:rPr>
        <w:t xml:space="preserve"> les services</w:t>
      </w:r>
      <w:r w:rsidR="001D15F0" w:rsidRPr="003D3F80">
        <w:rPr>
          <w:lang w:val="fr-FR"/>
        </w:rPr>
        <w:t>.</w:t>
      </w:r>
    </w:p>
    <w:p w:rsidR="002508ED" w:rsidRPr="003D3F80" w:rsidRDefault="00104E69" w:rsidP="00A90205">
      <w:pPr>
        <w:pStyle w:val="ippara2"/>
        <w:widowControl/>
        <w:spacing w:after="200" w:line="276" w:lineRule="auto"/>
        <w:ind w:left="0" w:firstLine="0"/>
        <w:jc w:val="both"/>
        <w:rPr>
          <w:lang w:val="fr-FR"/>
        </w:rPr>
      </w:pPr>
      <w:r w:rsidRPr="003D3F80">
        <w:rPr>
          <w:lang w:val="fr-FR"/>
        </w:rPr>
        <w:t xml:space="preserve">En 1997, la Banque mondiale a regroupé </w:t>
      </w:r>
      <w:r w:rsidR="00FB17EC" w:rsidRPr="003D3F80">
        <w:rPr>
          <w:lang w:val="fr-FR"/>
        </w:rPr>
        <w:t>dix</w:t>
      </w:r>
      <w:r w:rsidRPr="003D3F80">
        <w:rPr>
          <w:lang w:val="fr-FR"/>
        </w:rPr>
        <w:t xml:space="preserve"> politiques opérationnelles pour en faire des politiques de sauvegarde bien déterminées </w:t>
      </w:r>
      <w:r w:rsidR="00795DE7" w:rsidRPr="003D3F80">
        <w:rPr>
          <w:lang w:val="fr-FR"/>
        </w:rPr>
        <w:t>–</w:t>
      </w:r>
      <w:r w:rsidR="00EA1F93" w:rsidRPr="003D3F80">
        <w:rPr>
          <w:lang w:val="fr-FR"/>
        </w:rPr>
        <w:t xml:space="preserve"> six </w:t>
      </w:r>
      <w:r w:rsidRPr="003D3F80">
        <w:rPr>
          <w:lang w:val="fr-FR"/>
        </w:rPr>
        <w:t>sur l</w:t>
      </w:r>
      <w:r w:rsidR="001051C0">
        <w:rPr>
          <w:lang w:val="fr-FR"/>
        </w:rPr>
        <w:t>’</w:t>
      </w:r>
      <w:r w:rsidRPr="003D3F80">
        <w:rPr>
          <w:lang w:val="fr-FR"/>
        </w:rPr>
        <w:t>environnement, deux sur les aspects sociaux et deux à caractère juridique</w:t>
      </w:r>
      <w:r w:rsidR="00503364" w:rsidRPr="003D3F80">
        <w:rPr>
          <w:vertAlign w:val="superscript"/>
          <w:lang w:val="fr-FR"/>
        </w:rPr>
        <w:footnoteReference w:id="3"/>
      </w:r>
      <w:r w:rsidR="00EA1F93" w:rsidRPr="003D3F80">
        <w:rPr>
          <w:lang w:val="fr-FR"/>
        </w:rPr>
        <w:t xml:space="preserve"> </w:t>
      </w:r>
      <w:r w:rsidR="00FC4FB1" w:rsidRPr="003D3F80">
        <w:rPr>
          <w:lang w:val="fr-FR"/>
        </w:rPr>
        <w:sym w:font="Symbol" w:char="F02D"/>
      </w:r>
      <w:r w:rsidR="00EA1F93" w:rsidRPr="003D3F80">
        <w:rPr>
          <w:lang w:val="fr-FR"/>
        </w:rPr>
        <w:t xml:space="preserve"> </w:t>
      </w:r>
      <w:r w:rsidR="0045368D" w:rsidRPr="003D3F80">
        <w:rPr>
          <w:lang w:val="fr-FR"/>
        </w:rPr>
        <w:t xml:space="preserve">et </w:t>
      </w:r>
      <w:r w:rsidR="00C00649" w:rsidRPr="003D3F80">
        <w:rPr>
          <w:lang w:val="fr-FR"/>
        </w:rPr>
        <w:t xml:space="preserve">a </w:t>
      </w:r>
      <w:r w:rsidR="0045368D" w:rsidRPr="003D3F80">
        <w:rPr>
          <w:lang w:val="fr-FR"/>
        </w:rPr>
        <w:t xml:space="preserve">mis en place des procédures administratives </w:t>
      </w:r>
      <w:r w:rsidR="00E72A9B">
        <w:rPr>
          <w:lang w:val="fr-FR"/>
        </w:rPr>
        <w:t>afin d’assurer le</w:t>
      </w:r>
      <w:r w:rsidR="0045368D" w:rsidRPr="003D3F80">
        <w:rPr>
          <w:lang w:val="fr-FR"/>
        </w:rPr>
        <w:t xml:space="preserve"> respect </w:t>
      </w:r>
      <w:r w:rsidR="00C00649" w:rsidRPr="003D3F80">
        <w:rPr>
          <w:lang w:val="fr-FR"/>
        </w:rPr>
        <w:t xml:space="preserve">de ces politiques </w:t>
      </w:r>
      <w:r w:rsidR="0045368D" w:rsidRPr="003D3F80">
        <w:rPr>
          <w:lang w:val="fr-FR"/>
        </w:rPr>
        <w:t>pendant la préparation et l</w:t>
      </w:r>
      <w:r w:rsidR="001051C0">
        <w:rPr>
          <w:lang w:val="fr-FR"/>
        </w:rPr>
        <w:t>’</w:t>
      </w:r>
      <w:r w:rsidR="0045368D" w:rsidRPr="003D3F80">
        <w:rPr>
          <w:lang w:val="fr-FR"/>
        </w:rPr>
        <w:t>exécution</w:t>
      </w:r>
      <w:r w:rsidR="005B0879">
        <w:rPr>
          <w:lang w:val="fr-FR"/>
        </w:rPr>
        <w:t xml:space="preserve"> </w:t>
      </w:r>
      <w:r w:rsidR="0045368D" w:rsidRPr="003D3F80">
        <w:rPr>
          <w:lang w:val="fr-FR"/>
        </w:rPr>
        <w:t>des projets. Les politiques visaient à aider la Banque à</w:t>
      </w:r>
      <w:r w:rsidR="005B0879">
        <w:rPr>
          <w:lang w:val="fr-FR"/>
        </w:rPr>
        <w:t xml:space="preserve"> prendre en compte les questions environnementales et sociales</w:t>
      </w:r>
      <w:r w:rsidR="0045368D" w:rsidRPr="003D3F80">
        <w:rPr>
          <w:lang w:val="fr-FR"/>
        </w:rPr>
        <w:t xml:space="preserve"> résultant surtout de prêts d</w:t>
      </w:r>
      <w:r w:rsidR="001051C0">
        <w:rPr>
          <w:lang w:val="fr-FR"/>
        </w:rPr>
        <w:t>’</w:t>
      </w:r>
      <w:r w:rsidR="0045368D" w:rsidRPr="003D3F80">
        <w:rPr>
          <w:lang w:val="fr-FR"/>
        </w:rPr>
        <w:t>investissement destinés à financer la fourniture de biens, de travaux et de services dans</w:t>
      </w:r>
      <w:r w:rsidR="005B0879">
        <w:rPr>
          <w:lang w:val="fr-FR"/>
        </w:rPr>
        <w:t xml:space="preserve"> une </w:t>
      </w:r>
      <w:r w:rsidR="00E72A9B">
        <w:rPr>
          <w:lang w:val="fr-FR"/>
        </w:rPr>
        <w:t xml:space="preserve">large </w:t>
      </w:r>
      <w:r w:rsidR="0045368D" w:rsidRPr="003D3F80">
        <w:rPr>
          <w:lang w:val="fr-FR"/>
        </w:rPr>
        <w:t xml:space="preserve">gamme de secteurs, </w:t>
      </w:r>
      <w:r w:rsidR="00E72A9B">
        <w:rPr>
          <w:lang w:val="fr-FR"/>
        </w:rPr>
        <w:t>qui étaient alors</w:t>
      </w:r>
      <w:r w:rsidR="005B0879">
        <w:rPr>
          <w:lang w:val="fr-FR"/>
        </w:rPr>
        <w:t xml:space="preserve"> au cœur des activités de l'institution</w:t>
      </w:r>
      <w:r w:rsidR="0045368D" w:rsidRPr="003D3F80">
        <w:rPr>
          <w:lang w:val="fr-FR"/>
        </w:rPr>
        <w:t>. Les politiques s</w:t>
      </w:r>
      <w:r w:rsidR="001051C0">
        <w:rPr>
          <w:lang w:val="fr-FR"/>
        </w:rPr>
        <w:t>’</w:t>
      </w:r>
      <w:r w:rsidR="0045368D" w:rsidRPr="003D3F80">
        <w:rPr>
          <w:lang w:val="fr-FR"/>
        </w:rPr>
        <w:t>appliquaient aussi aux opérations d</w:t>
      </w:r>
      <w:r w:rsidR="001051C0">
        <w:rPr>
          <w:lang w:val="fr-FR"/>
        </w:rPr>
        <w:t>’</w:t>
      </w:r>
      <w:r w:rsidR="0045368D" w:rsidRPr="003D3F80">
        <w:rPr>
          <w:lang w:val="fr-FR"/>
        </w:rPr>
        <w:t>assistance technique financée</w:t>
      </w:r>
      <w:r w:rsidR="00C00649" w:rsidRPr="003D3F80">
        <w:rPr>
          <w:lang w:val="fr-FR"/>
        </w:rPr>
        <w:t>s</w:t>
      </w:r>
      <w:r w:rsidR="0045368D" w:rsidRPr="003D3F80">
        <w:rPr>
          <w:lang w:val="fr-FR"/>
        </w:rPr>
        <w:t xml:space="preserve"> par la Banque et aux fonds </w:t>
      </w:r>
      <w:r w:rsidR="002C34EF" w:rsidRPr="003D3F80">
        <w:rPr>
          <w:lang w:val="fr-FR"/>
        </w:rPr>
        <w:t>fiduciaires</w:t>
      </w:r>
      <w:r w:rsidR="0045368D" w:rsidRPr="003D3F80">
        <w:rPr>
          <w:lang w:val="fr-FR"/>
        </w:rPr>
        <w:t xml:space="preserve"> qu</w:t>
      </w:r>
      <w:r w:rsidR="001051C0">
        <w:rPr>
          <w:lang w:val="fr-FR"/>
        </w:rPr>
        <w:t>’</w:t>
      </w:r>
      <w:r w:rsidR="0045368D" w:rsidRPr="003D3F80">
        <w:rPr>
          <w:lang w:val="fr-FR"/>
        </w:rPr>
        <w:t xml:space="preserve">elle administrait. Les </w:t>
      </w:r>
      <w:r w:rsidR="00FB17EC" w:rsidRPr="003D3F80">
        <w:rPr>
          <w:lang w:val="fr-FR"/>
        </w:rPr>
        <w:t xml:space="preserve">normes environnementales et sociales </w:t>
      </w:r>
      <w:r w:rsidR="00E72A9B">
        <w:rPr>
          <w:lang w:val="fr-FR"/>
        </w:rPr>
        <w:t xml:space="preserve">applicables </w:t>
      </w:r>
      <w:r w:rsidR="0045368D" w:rsidRPr="003D3F80">
        <w:rPr>
          <w:lang w:val="fr-FR"/>
        </w:rPr>
        <w:t>aux principaux autres instruments financiers de la Banque</w:t>
      </w:r>
      <w:r w:rsidR="00FB17EC" w:rsidRPr="003D3F80">
        <w:rPr>
          <w:lang w:val="fr-FR"/>
        </w:rPr>
        <w:t>, en particulier les Prêts à l</w:t>
      </w:r>
      <w:r w:rsidR="001051C0">
        <w:rPr>
          <w:lang w:val="fr-FR"/>
        </w:rPr>
        <w:t>’</w:t>
      </w:r>
      <w:r w:rsidR="00FB17EC" w:rsidRPr="003D3F80">
        <w:rPr>
          <w:lang w:val="fr-FR"/>
        </w:rPr>
        <w:t>appui des politiques de développement (DPL) et le Programme pour les résultats (PforR),</w:t>
      </w:r>
      <w:r w:rsidR="0045368D" w:rsidRPr="003D3F80">
        <w:rPr>
          <w:lang w:val="fr-FR"/>
        </w:rPr>
        <w:t xml:space="preserve"> se trouvent dans les politiques opérationnelles correspondantes qui régissent tous les aspects </w:t>
      </w:r>
      <w:r w:rsidR="00C00649" w:rsidRPr="003D3F80">
        <w:rPr>
          <w:lang w:val="fr-FR"/>
        </w:rPr>
        <w:t xml:space="preserve">de ces </w:t>
      </w:r>
      <w:r w:rsidR="0045368D" w:rsidRPr="003D3F80">
        <w:rPr>
          <w:lang w:val="fr-FR"/>
        </w:rPr>
        <w:t>différents instruments</w:t>
      </w:r>
      <w:r w:rsidR="00B82C2D" w:rsidRPr="003D3F80">
        <w:rPr>
          <w:lang w:val="fr-FR"/>
        </w:rPr>
        <w:t>.</w:t>
      </w:r>
    </w:p>
    <w:p w:rsidR="002508ED" w:rsidRPr="003D3F80" w:rsidRDefault="00112621" w:rsidP="00A90205">
      <w:pPr>
        <w:pStyle w:val="ippara2"/>
        <w:widowControl/>
        <w:spacing w:after="200" w:line="276" w:lineRule="auto"/>
        <w:ind w:left="0" w:firstLine="0"/>
        <w:jc w:val="both"/>
        <w:rPr>
          <w:lang w:val="fr-FR"/>
        </w:rPr>
      </w:pPr>
      <w:r w:rsidRPr="003D3F80">
        <w:rPr>
          <w:b/>
          <w:i/>
          <w:lang w:val="fr-FR"/>
        </w:rPr>
        <w:lastRenderedPageBreak/>
        <w:t>Évaluation des politiques et normes de sauvegarde du Groupe de la Banque mondiale</w:t>
      </w:r>
      <w:r w:rsidR="00EA1F93" w:rsidRPr="003D3F80">
        <w:rPr>
          <w:b/>
          <w:i/>
          <w:lang w:val="fr-FR"/>
        </w:rPr>
        <w:t>.</w:t>
      </w:r>
      <w:r w:rsidR="00467DFC" w:rsidRPr="003D3F80">
        <w:rPr>
          <w:lang w:val="fr-FR"/>
        </w:rPr>
        <w:t xml:space="preserve"> </w:t>
      </w:r>
      <w:r w:rsidRPr="003D3F80">
        <w:rPr>
          <w:lang w:val="fr-FR"/>
        </w:rPr>
        <w:t xml:space="preserve">En 2010, </w:t>
      </w:r>
      <w:r w:rsidR="00E72A9B">
        <w:rPr>
          <w:lang w:val="fr-FR"/>
        </w:rPr>
        <w:t xml:space="preserve">plus de </w:t>
      </w:r>
      <w:r w:rsidRPr="003D3F80">
        <w:rPr>
          <w:lang w:val="fr-FR"/>
        </w:rPr>
        <w:t>20 ans après que les évaluations environnementales</w:t>
      </w:r>
      <w:r w:rsidR="005B0879">
        <w:rPr>
          <w:lang w:val="fr-FR"/>
        </w:rPr>
        <w:t xml:space="preserve"> sont </w:t>
      </w:r>
      <w:r w:rsidRPr="003D3F80">
        <w:rPr>
          <w:lang w:val="fr-FR"/>
        </w:rPr>
        <w:t>devenues obligatoires, le Groupe indépendant d</w:t>
      </w:r>
      <w:r w:rsidR="001051C0">
        <w:rPr>
          <w:lang w:val="fr-FR"/>
        </w:rPr>
        <w:t>’</w:t>
      </w:r>
      <w:r w:rsidRPr="003D3F80">
        <w:rPr>
          <w:lang w:val="fr-FR"/>
        </w:rPr>
        <w:t>évaluation (IEG) de la Banque mondiale a évalué les politiques de sauvegarde de l</w:t>
      </w:r>
      <w:r w:rsidR="001051C0">
        <w:rPr>
          <w:lang w:val="fr-FR"/>
        </w:rPr>
        <w:t>’</w:t>
      </w:r>
      <w:r w:rsidRPr="003D3F80">
        <w:rPr>
          <w:lang w:val="fr-FR"/>
        </w:rPr>
        <w:t>institution</w:t>
      </w:r>
      <w:r w:rsidR="003B754F" w:rsidRPr="003D3F80">
        <w:rPr>
          <w:vertAlign w:val="superscript"/>
          <w:lang w:val="fr-FR"/>
        </w:rPr>
        <w:footnoteReference w:id="4"/>
      </w:r>
      <w:r w:rsidR="00E72A9B">
        <w:rPr>
          <w:lang w:val="fr-FR"/>
        </w:rPr>
        <w:t>.</w:t>
      </w:r>
      <w:r w:rsidR="00467DFC" w:rsidRPr="003D3F80">
        <w:rPr>
          <w:lang w:val="fr-FR"/>
        </w:rPr>
        <w:t xml:space="preserve"> </w:t>
      </w:r>
      <w:r w:rsidRPr="003D3F80">
        <w:rPr>
          <w:lang w:val="fr-FR"/>
        </w:rPr>
        <w:t>L</w:t>
      </w:r>
      <w:r w:rsidR="001051C0">
        <w:rPr>
          <w:lang w:val="fr-FR"/>
        </w:rPr>
        <w:t>’</w:t>
      </w:r>
      <w:r w:rsidR="00EB77E0" w:rsidRPr="00EB77E0">
        <w:rPr>
          <w:lang w:val="fr-FR"/>
        </w:rPr>
        <w:t>évaluation</w:t>
      </w:r>
      <w:r w:rsidRPr="003D3F80">
        <w:rPr>
          <w:lang w:val="fr-FR"/>
        </w:rPr>
        <w:t xml:space="preserve"> montre que les politiques de sauvegarde ont permis d</w:t>
      </w:r>
      <w:r w:rsidR="001051C0">
        <w:rPr>
          <w:lang w:val="fr-FR"/>
        </w:rPr>
        <w:t>’</w:t>
      </w:r>
      <w:r w:rsidRPr="003D3F80">
        <w:rPr>
          <w:lang w:val="fr-FR"/>
        </w:rPr>
        <w:t>éviter ou d</w:t>
      </w:r>
      <w:r w:rsidR="001051C0">
        <w:rPr>
          <w:lang w:val="fr-FR"/>
        </w:rPr>
        <w:t>’</w:t>
      </w:r>
      <w:r w:rsidRPr="003D3F80">
        <w:rPr>
          <w:lang w:val="fr-FR"/>
        </w:rPr>
        <w:t>atténuer les impacts négatifs, particulièrement dans les projets à haut risque. L</w:t>
      </w:r>
      <w:r w:rsidR="001051C0">
        <w:rPr>
          <w:lang w:val="fr-FR"/>
        </w:rPr>
        <w:t>’</w:t>
      </w:r>
      <w:r w:rsidRPr="003D3F80">
        <w:rPr>
          <w:lang w:val="fr-FR"/>
        </w:rPr>
        <w:t xml:space="preserve">IEG a également constaté </w:t>
      </w:r>
      <w:r w:rsidR="00B8501E" w:rsidRPr="003D3F80">
        <w:rPr>
          <w:lang w:val="fr-FR"/>
        </w:rPr>
        <w:t xml:space="preserve">que </w:t>
      </w:r>
      <w:r w:rsidRPr="003D3F80">
        <w:rPr>
          <w:lang w:val="fr-FR"/>
        </w:rPr>
        <w:t xml:space="preserve">la qualité du travail sur les principes de sauvegarde </w:t>
      </w:r>
      <w:r w:rsidR="00B8501E" w:rsidRPr="003D3F80">
        <w:rPr>
          <w:lang w:val="fr-FR"/>
        </w:rPr>
        <w:t xml:space="preserve">pendant les </w:t>
      </w:r>
      <w:r w:rsidRPr="003D3F80">
        <w:rPr>
          <w:lang w:val="fr-FR"/>
        </w:rPr>
        <w:t>phases de conception et d</w:t>
      </w:r>
      <w:r w:rsidR="001051C0">
        <w:rPr>
          <w:lang w:val="fr-FR"/>
        </w:rPr>
        <w:t>’</w:t>
      </w:r>
      <w:r w:rsidRPr="003D3F80">
        <w:rPr>
          <w:lang w:val="fr-FR"/>
        </w:rPr>
        <w:t xml:space="preserve">évaluation des projets </w:t>
      </w:r>
      <w:r w:rsidR="00B8501E" w:rsidRPr="003D3F80">
        <w:rPr>
          <w:lang w:val="fr-FR"/>
        </w:rPr>
        <w:t>s</w:t>
      </w:r>
      <w:r w:rsidR="001051C0">
        <w:rPr>
          <w:lang w:val="fr-FR"/>
        </w:rPr>
        <w:t>’</w:t>
      </w:r>
      <w:r w:rsidR="00B8501E" w:rsidRPr="003D3F80">
        <w:rPr>
          <w:lang w:val="fr-FR"/>
        </w:rPr>
        <w:t xml:space="preserve">était améliorée au cours de </w:t>
      </w:r>
      <w:r w:rsidRPr="003D3F80">
        <w:rPr>
          <w:lang w:val="fr-FR"/>
        </w:rPr>
        <w:t>la période faisant l</w:t>
      </w:r>
      <w:r w:rsidR="001051C0">
        <w:rPr>
          <w:lang w:val="fr-FR"/>
        </w:rPr>
        <w:t>’</w:t>
      </w:r>
      <w:r w:rsidRPr="003D3F80">
        <w:rPr>
          <w:lang w:val="fr-FR"/>
        </w:rPr>
        <w:t>objet de l</w:t>
      </w:r>
      <w:r w:rsidR="001051C0">
        <w:rPr>
          <w:lang w:val="fr-FR"/>
        </w:rPr>
        <w:t>’</w:t>
      </w:r>
      <w:r w:rsidRPr="003D3F80">
        <w:rPr>
          <w:lang w:val="fr-FR"/>
        </w:rPr>
        <w:t>étude (1999-2008)</w:t>
      </w:r>
      <w:r w:rsidR="00B8501E" w:rsidRPr="003D3F80">
        <w:rPr>
          <w:lang w:val="fr-FR"/>
        </w:rPr>
        <w:t>. Toutefois, l</w:t>
      </w:r>
      <w:r w:rsidR="001051C0">
        <w:rPr>
          <w:lang w:val="fr-FR"/>
        </w:rPr>
        <w:t>’</w:t>
      </w:r>
      <w:r w:rsidR="00B8501E" w:rsidRPr="003D3F80">
        <w:rPr>
          <w:lang w:val="fr-FR"/>
        </w:rPr>
        <w:t>IEG a aussi mis en évidence la nécessité d</w:t>
      </w:r>
      <w:r w:rsidR="001051C0">
        <w:rPr>
          <w:lang w:val="fr-FR"/>
        </w:rPr>
        <w:t>’</w:t>
      </w:r>
      <w:r w:rsidR="00B8501E" w:rsidRPr="003D3F80">
        <w:rPr>
          <w:lang w:val="fr-FR"/>
        </w:rPr>
        <w:t>adapter les politiques de sauvegarde à l</w:t>
      </w:r>
      <w:r w:rsidR="001051C0">
        <w:rPr>
          <w:lang w:val="fr-FR"/>
        </w:rPr>
        <w:t>’</w:t>
      </w:r>
      <w:r w:rsidR="00B8501E" w:rsidRPr="003D3F80">
        <w:rPr>
          <w:lang w:val="fr-FR"/>
        </w:rPr>
        <w:t>évolution du contexte dans lequel la Banque mondiale opérait, à commencer par la transformation rapide du cadre d</w:t>
      </w:r>
      <w:r w:rsidR="001051C0">
        <w:rPr>
          <w:lang w:val="fr-FR"/>
        </w:rPr>
        <w:t>’</w:t>
      </w:r>
      <w:r w:rsidR="00B8501E" w:rsidRPr="003D3F80">
        <w:rPr>
          <w:lang w:val="fr-FR"/>
        </w:rPr>
        <w:t>activité économique, l</w:t>
      </w:r>
      <w:r w:rsidR="001051C0">
        <w:rPr>
          <w:lang w:val="fr-FR"/>
        </w:rPr>
        <w:t>’</w:t>
      </w:r>
      <w:r w:rsidR="00B8501E" w:rsidRPr="003D3F80">
        <w:rPr>
          <w:lang w:val="fr-FR"/>
        </w:rPr>
        <w:t>émergence de nouvelles modalités de prêts et d</w:t>
      </w:r>
      <w:r w:rsidR="001051C0">
        <w:rPr>
          <w:lang w:val="fr-FR"/>
        </w:rPr>
        <w:t>’</w:t>
      </w:r>
      <w:r w:rsidR="00B8501E" w:rsidRPr="003D3F80">
        <w:rPr>
          <w:lang w:val="fr-FR"/>
        </w:rPr>
        <w:t>instruments financiers, et l</w:t>
      </w:r>
      <w:r w:rsidR="001051C0">
        <w:rPr>
          <w:lang w:val="fr-FR"/>
        </w:rPr>
        <w:t>’</w:t>
      </w:r>
      <w:r w:rsidR="00B8501E" w:rsidRPr="003D3F80">
        <w:rPr>
          <w:lang w:val="fr-FR"/>
        </w:rPr>
        <w:t>évolution des méthodes de référence et des besoins des emprunteurs.</w:t>
      </w:r>
      <w:r w:rsidRPr="003D3F80">
        <w:rPr>
          <w:lang w:val="fr-FR"/>
        </w:rPr>
        <w:t xml:space="preserve"> </w:t>
      </w:r>
      <w:r w:rsidR="00B8501E" w:rsidRPr="003D3F80">
        <w:rPr>
          <w:lang w:val="fr-FR"/>
        </w:rPr>
        <w:t>L</w:t>
      </w:r>
      <w:r w:rsidR="001051C0">
        <w:rPr>
          <w:lang w:val="fr-FR"/>
        </w:rPr>
        <w:t>’</w:t>
      </w:r>
      <w:r w:rsidR="00B8501E" w:rsidRPr="003D3F80">
        <w:rPr>
          <w:lang w:val="fr-FR"/>
        </w:rPr>
        <w:t>IEG a également recommandé de privilégier davantage l</w:t>
      </w:r>
      <w:r w:rsidR="001051C0">
        <w:rPr>
          <w:lang w:val="fr-FR"/>
        </w:rPr>
        <w:t>’</w:t>
      </w:r>
      <w:r w:rsidR="00B8501E" w:rsidRPr="003D3F80">
        <w:rPr>
          <w:lang w:val="fr-FR"/>
        </w:rPr>
        <w:t>utilisation des politiques de sauvegarde à l</w:t>
      </w:r>
      <w:r w:rsidR="001051C0">
        <w:rPr>
          <w:lang w:val="fr-FR"/>
        </w:rPr>
        <w:t>’</w:t>
      </w:r>
      <w:r w:rsidR="00B8501E" w:rsidRPr="003D3F80">
        <w:rPr>
          <w:lang w:val="fr-FR"/>
        </w:rPr>
        <w:t>appui d</w:t>
      </w:r>
      <w:r w:rsidR="001051C0">
        <w:rPr>
          <w:lang w:val="fr-FR"/>
        </w:rPr>
        <w:t>’</w:t>
      </w:r>
      <w:r w:rsidR="00B8501E" w:rsidRPr="003D3F80">
        <w:rPr>
          <w:lang w:val="fr-FR"/>
        </w:rPr>
        <w:t xml:space="preserve">un développement </w:t>
      </w:r>
      <w:r w:rsidR="005B1514">
        <w:rPr>
          <w:lang w:val="fr-FR"/>
        </w:rPr>
        <w:t>d</w:t>
      </w:r>
      <w:r w:rsidR="00B8501E" w:rsidRPr="003D3F80">
        <w:rPr>
          <w:lang w:val="fr-FR"/>
        </w:rPr>
        <w:t>urable</w:t>
      </w:r>
      <w:r w:rsidR="00DC0C08">
        <w:rPr>
          <w:lang w:val="fr-FR"/>
        </w:rPr>
        <w:t xml:space="preserve"> au </w:t>
      </w:r>
      <w:r w:rsidR="005B1514">
        <w:rPr>
          <w:lang w:val="fr-FR"/>
        </w:rPr>
        <w:t>plan environnemental et social</w:t>
      </w:r>
      <w:r w:rsidR="00350F0A">
        <w:rPr>
          <w:lang w:val="fr-FR"/>
        </w:rPr>
        <w:t>,</w:t>
      </w:r>
      <w:r w:rsidR="005B1514">
        <w:rPr>
          <w:lang w:val="fr-FR"/>
        </w:rPr>
        <w:t xml:space="preserve"> </w:t>
      </w:r>
      <w:r w:rsidR="00B8501E" w:rsidRPr="003D3F80">
        <w:rPr>
          <w:lang w:val="fr-FR"/>
        </w:rPr>
        <w:t>et d</w:t>
      </w:r>
      <w:r w:rsidR="001051C0">
        <w:rPr>
          <w:lang w:val="fr-FR"/>
        </w:rPr>
        <w:t>’</w:t>
      </w:r>
      <w:r w:rsidR="00B8501E" w:rsidRPr="003D3F80">
        <w:rPr>
          <w:lang w:val="fr-FR"/>
        </w:rPr>
        <w:t>évaluer une gamme plus large d</w:t>
      </w:r>
      <w:r w:rsidR="001051C0">
        <w:rPr>
          <w:lang w:val="fr-FR"/>
        </w:rPr>
        <w:t>’</w:t>
      </w:r>
      <w:r w:rsidR="00B8501E" w:rsidRPr="003D3F80">
        <w:rPr>
          <w:lang w:val="fr-FR"/>
        </w:rPr>
        <w:t>impacts et de risques sociaux</w:t>
      </w:r>
      <w:r w:rsidR="005B1514">
        <w:rPr>
          <w:lang w:val="fr-FR"/>
        </w:rPr>
        <w:t xml:space="preserve"> potentiels</w:t>
      </w:r>
      <w:r w:rsidR="00B8501E" w:rsidRPr="003D3F80">
        <w:rPr>
          <w:lang w:val="fr-FR"/>
        </w:rPr>
        <w:t>.</w:t>
      </w:r>
    </w:p>
    <w:p w:rsidR="002508ED" w:rsidRPr="003D3F80" w:rsidRDefault="0045368D" w:rsidP="00A90205">
      <w:pPr>
        <w:pStyle w:val="ippara2"/>
        <w:widowControl/>
        <w:spacing w:after="200" w:line="276" w:lineRule="auto"/>
        <w:ind w:left="0" w:firstLine="0"/>
        <w:jc w:val="both"/>
        <w:rPr>
          <w:lang w:val="fr-FR"/>
        </w:rPr>
      </w:pPr>
      <w:r w:rsidRPr="003D3F80">
        <w:rPr>
          <w:b/>
          <w:i/>
          <w:lang w:val="fr-FR"/>
        </w:rPr>
        <w:t>Relevé d</w:t>
      </w:r>
      <w:r w:rsidR="001051C0">
        <w:rPr>
          <w:b/>
          <w:i/>
          <w:lang w:val="fr-FR"/>
        </w:rPr>
        <w:t>’</w:t>
      </w:r>
      <w:r w:rsidRPr="003D3F80">
        <w:rPr>
          <w:b/>
          <w:i/>
          <w:lang w:val="fr-FR"/>
        </w:rPr>
        <w:t>interventions de la direction</w:t>
      </w:r>
      <w:r w:rsidR="00EA1F93" w:rsidRPr="003D3F80">
        <w:rPr>
          <w:b/>
          <w:i/>
          <w:lang w:val="fr-FR"/>
        </w:rPr>
        <w:t>.</w:t>
      </w:r>
      <w:r w:rsidR="00467DFC" w:rsidRPr="003D3F80">
        <w:rPr>
          <w:lang w:val="fr-FR"/>
        </w:rPr>
        <w:t xml:space="preserve"> </w:t>
      </w:r>
      <w:r w:rsidR="00F713E4" w:rsidRPr="003D3F80">
        <w:rPr>
          <w:lang w:val="fr-FR"/>
        </w:rPr>
        <w:t>En juillet 2010, le Conseil des Administrateurs de la Banque a examiné l</w:t>
      </w:r>
      <w:r w:rsidR="001051C0">
        <w:rPr>
          <w:lang w:val="fr-FR"/>
        </w:rPr>
        <w:t>’</w:t>
      </w:r>
      <w:r w:rsidR="00F713E4" w:rsidRPr="003D3F80">
        <w:rPr>
          <w:lang w:val="fr-FR"/>
        </w:rPr>
        <w:t>évaluation de l</w:t>
      </w:r>
      <w:r w:rsidR="001051C0">
        <w:rPr>
          <w:lang w:val="fr-FR"/>
        </w:rPr>
        <w:t>’</w:t>
      </w:r>
      <w:r w:rsidR="00F713E4" w:rsidRPr="003D3F80">
        <w:rPr>
          <w:lang w:val="fr-FR"/>
        </w:rPr>
        <w:t xml:space="preserve">IEG </w:t>
      </w:r>
      <w:r w:rsidR="005B1514">
        <w:rPr>
          <w:lang w:val="fr-FR"/>
        </w:rPr>
        <w:t xml:space="preserve">ainsi que </w:t>
      </w:r>
      <w:r w:rsidR="00F713E4" w:rsidRPr="003D3F80">
        <w:rPr>
          <w:lang w:val="fr-FR"/>
        </w:rPr>
        <w:t>le relevé d</w:t>
      </w:r>
      <w:r w:rsidR="001051C0">
        <w:rPr>
          <w:lang w:val="fr-FR"/>
        </w:rPr>
        <w:t>’</w:t>
      </w:r>
      <w:r w:rsidR="00F713E4" w:rsidRPr="003D3F80">
        <w:rPr>
          <w:lang w:val="fr-FR"/>
        </w:rPr>
        <w:t>interventions de la direction</w:t>
      </w:r>
      <w:r w:rsidR="00B70E55" w:rsidRPr="003D3F80">
        <w:rPr>
          <w:rStyle w:val="FootnoteReference"/>
          <w:lang w:val="fr-FR"/>
        </w:rPr>
        <w:footnoteReference w:id="5"/>
      </w:r>
      <w:r w:rsidR="00F713E4" w:rsidRPr="003D3F80">
        <w:rPr>
          <w:lang w:val="fr-FR"/>
        </w:rPr>
        <w:t>,</w:t>
      </w:r>
      <w:r w:rsidR="0022735A" w:rsidRPr="003D3F80">
        <w:rPr>
          <w:lang w:val="fr-FR"/>
        </w:rPr>
        <w:t xml:space="preserve"> </w:t>
      </w:r>
      <w:r w:rsidR="00F713E4" w:rsidRPr="003D3F80">
        <w:rPr>
          <w:lang w:val="fr-FR"/>
        </w:rPr>
        <w:t>dans lequel celle-ci s</w:t>
      </w:r>
      <w:r w:rsidR="001051C0">
        <w:rPr>
          <w:lang w:val="fr-FR"/>
        </w:rPr>
        <w:t>’</w:t>
      </w:r>
      <w:r w:rsidR="00F713E4" w:rsidRPr="003D3F80">
        <w:rPr>
          <w:lang w:val="fr-FR"/>
        </w:rPr>
        <w:t>engageait à effectuer une mise à jour complète des politiques de sauvegarde et à les regrouper. La direction a donné suite aux conclusions et recommandations de l</w:t>
      </w:r>
      <w:r w:rsidR="001051C0">
        <w:rPr>
          <w:lang w:val="fr-FR"/>
        </w:rPr>
        <w:t>’</w:t>
      </w:r>
      <w:r w:rsidR="00F713E4" w:rsidRPr="003D3F80">
        <w:rPr>
          <w:lang w:val="fr-FR"/>
        </w:rPr>
        <w:t>IEG,</w:t>
      </w:r>
      <w:r w:rsidR="00DC0C08">
        <w:rPr>
          <w:lang w:val="fr-FR"/>
        </w:rPr>
        <w:t xml:space="preserve"> </w:t>
      </w:r>
      <w:r w:rsidR="00350F0A">
        <w:rPr>
          <w:lang w:val="fr-FR"/>
        </w:rPr>
        <w:t xml:space="preserve">qui </w:t>
      </w:r>
      <w:r w:rsidR="00DC0C08">
        <w:rPr>
          <w:lang w:val="fr-FR"/>
        </w:rPr>
        <w:t xml:space="preserve">l’appelaient notamment à </w:t>
      </w:r>
      <w:r w:rsidR="00F713E4" w:rsidRPr="003D3F80">
        <w:rPr>
          <w:lang w:val="fr-FR"/>
        </w:rPr>
        <w:t>privilégier davantage l</w:t>
      </w:r>
      <w:r w:rsidR="001051C0">
        <w:rPr>
          <w:lang w:val="fr-FR"/>
        </w:rPr>
        <w:t>’</w:t>
      </w:r>
      <w:r w:rsidR="00F713E4" w:rsidRPr="003D3F80">
        <w:rPr>
          <w:lang w:val="fr-FR"/>
        </w:rPr>
        <w:t>utilisation des politiques de sauvegarde à l</w:t>
      </w:r>
      <w:r w:rsidR="001051C0">
        <w:rPr>
          <w:lang w:val="fr-FR"/>
        </w:rPr>
        <w:t>’</w:t>
      </w:r>
      <w:r w:rsidR="00F713E4" w:rsidRPr="003D3F80">
        <w:rPr>
          <w:lang w:val="fr-FR"/>
        </w:rPr>
        <w:t>appui d</w:t>
      </w:r>
      <w:r w:rsidR="001051C0">
        <w:rPr>
          <w:lang w:val="fr-FR"/>
        </w:rPr>
        <w:t>’</w:t>
      </w:r>
      <w:r w:rsidR="00F713E4" w:rsidRPr="003D3F80">
        <w:rPr>
          <w:lang w:val="fr-FR"/>
        </w:rPr>
        <w:t xml:space="preserve">un développement </w:t>
      </w:r>
      <w:r w:rsidR="005B1514">
        <w:rPr>
          <w:lang w:val="fr-FR"/>
        </w:rPr>
        <w:t>durable</w:t>
      </w:r>
      <w:r w:rsidR="00DC0C08">
        <w:rPr>
          <w:lang w:val="fr-FR"/>
        </w:rPr>
        <w:t xml:space="preserve"> au </w:t>
      </w:r>
      <w:r w:rsidR="005B1514">
        <w:rPr>
          <w:lang w:val="fr-FR"/>
        </w:rPr>
        <w:t xml:space="preserve">plan environnemental </w:t>
      </w:r>
      <w:r w:rsidR="00F713E4" w:rsidRPr="003D3F80">
        <w:rPr>
          <w:lang w:val="fr-FR"/>
        </w:rPr>
        <w:t>et social,</w:t>
      </w:r>
      <w:r w:rsidR="00356108" w:rsidRPr="003D3F80">
        <w:rPr>
          <w:lang w:val="fr-FR"/>
        </w:rPr>
        <w:t xml:space="preserve"> à faire une plus large place à l</w:t>
      </w:r>
      <w:r w:rsidR="001051C0">
        <w:rPr>
          <w:lang w:val="fr-FR"/>
        </w:rPr>
        <w:t>’</w:t>
      </w:r>
      <w:r w:rsidR="00356108" w:rsidRPr="003D3F80">
        <w:rPr>
          <w:lang w:val="fr-FR"/>
        </w:rPr>
        <w:t>évaluation de toute une série de risques et d</w:t>
      </w:r>
      <w:r w:rsidR="001051C0">
        <w:rPr>
          <w:lang w:val="fr-FR"/>
        </w:rPr>
        <w:t>’</w:t>
      </w:r>
      <w:r w:rsidR="00356108" w:rsidRPr="003D3F80">
        <w:rPr>
          <w:lang w:val="fr-FR"/>
        </w:rPr>
        <w:t>impacts sociaux potentiels, à améliorer</w:t>
      </w:r>
      <w:r w:rsidR="00DC0C08">
        <w:rPr>
          <w:lang w:val="fr-FR"/>
        </w:rPr>
        <w:t xml:space="preserve"> sa supervision des projets</w:t>
      </w:r>
      <w:r w:rsidR="00356108" w:rsidRPr="003D3F80">
        <w:rPr>
          <w:lang w:val="fr-FR"/>
        </w:rPr>
        <w:t>, et à adopter des méthodes plus économiques et plus efficaces de suivi, d</w:t>
      </w:r>
      <w:r w:rsidR="001051C0">
        <w:rPr>
          <w:lang w:val="fr-FR"/>
        </w:rPr>
        <w:t>’</w:t>
      </w:r>
      <w:r w:rsidR="00356108" w:rsidRPr="003D3F80">
        <w:rPr>
          <w:lang w:val="fr-FR"/>
        </w:rPr>
        <w:t>évaluation et d</w:t>
      </w:r>
      <w:r w:rsidR="001051C0">
        <w:rPr>
          <w:lang w:val="fr-FR"/>
        </w:rPr>
        <w:t>’</w:t>
      </w:r>
      <w:r w:rsidR="00356108" w:rsidRPr="003D3F80">
        <w:rPr>
          <w:lang w:val="fr-FR"/>
        </w:rPr>
        <w:t>établissement de rapports de fin d</w:t>
      </w:r>
      <w:r w:rsidR="001051C0">
        <w:rPr>
          <w:lang w:val="fr-FR"/>
        </w:rPr>
        <w:t>’</w:t>
      </w:r>
      <w:r w:rsidR="00356108" w:rsidRPr="003D3F80">
        <w:rPr>
          <w:lang w:val="fr-FR"/>
        </w:rPr>
        <w:t>exécution,</w:t>
      </w:r>
      <w:r w:rsidR="00F713E4" w:rsidRPr="003D3F80">
        <w:rPr>
          <w:lang w:val="fr-FR"/>
        </w:rPr>
        <w:t xml:space="preserve"> </w:t>
      </w:r>
      <w:r w:rsidR="00356108" w:rsidRPr="003D3F80">
        <w:rPr>
          <w:lang w:val="fr-FR"/>
        </w:rPr>
        <w:t>notamment par une meilleure utilisation des indicateurs.</w:t>
      </w:r>
    </w:p>
    <w:p w:rsidR="00D5470D" w:rsidRPr="003D3F80" w:rsidRDefault="00D5470D" w:rsidP="00A90205">
      <w:pPr>
        <w:pStyle w:val="ippara2"/>
        <w:widowControl/>
        <w:spacing w:after="200" w:line="276" w:lineRule="auto"/>
        <w:ind w:left="0" w:firstLine="0"/>
        <w:jc w:val="both"/>
        <w:rPr>
          <w:lang w:val="fr-FR"/>
        </w:rPr>
      </w:pPr>
      <w:r w:rsidRPr="003D3F80">
        <w:rPr>
          <w:b/>
          <w:i/>
          <w:lang w:val="fr-FR"/>
        </w:rPr>
        <w:t>Progr</w:t>
      </w:r>
      <w:r w:rsidR="003D3F80">
        <w:rPr>
          <w:b/>
          <w:i/>
          <w:lang w:val="fr-FR"/>
        </w:rPr>
        <w:t>ès</w:t>
      </w:r>
      <w:r w:rsidR="000032EE">
        <w:rPr>
          <w:b/>
          <w:i/>
          <w:lang w:val="fr-FR"/>
        </w:rPr>
        <w:t xml:space="preserve"> accomplis </w:t>
      </w:r>
      <w:r w:rsidR="003D3F80">
        <w:rPr>
          <w:b/>
          <w:i/>
          <w:lang w:val="fr-FR"/>
        </w:rPr>
        <w:t>depuis l</w:t>
      </w:r>
      <w:r w:rsidR="001051C0">
        <w:rPr>
          <w:b/>
          <w:i/>
          <w:lang w:val="fr-FR"/>
        </w:rPr>
        <w:t>’</w:t>
      </w:r>
      <w:r w:rsidR="00905E8E" w:rsidRPr="00905E8E">
        <w:rPr>
          <w:b/>
          <w:i/>
          <w:lang w:val="fr-FR"/>
        </w:rPr>
        <w:t>évaluation</w:t>
      </w:r>
      <w:r w:rsidR="003D3F80">
        <w:rPr>
          <w:b/>
          <w:i/>
          <w:lang w:val="fr-FR"/>
        </w:rPr>
        <w:t xml:space="preserve"> de l</w:t>
      </w:r>
      <w:r w:rsidR="001051C0">
        <w:rPr>
          <w:b/>
          <w:i/>
          <w:lang w:val="fr-FR"/>
        </w:rPr>
        <w:t>’</w:t>
      </w:r>
      <w:r w:rsidRPr="003D3F80">
        <w:rPr>
          <w:b/>
          <w:i/>
          <w:lang w:val="fr-FR"/>
        </w:rPr>
        <w:t>IEG</w:t>
      </w:r>
      <w:r w:rsidR="003D3F80">
        <w:rPr>
          <w:b/>
          <w:i/>
          <w:lang w:val="fr-FR"/>
        </w:rPr>
        <w:t>.</w:t>
      </w:r>
      <w:r w:rsidR="003D3F80">
        <w:rPr>
          <w:b/>
          <w:lang w:val="fr-FR"/>
        </w:rPr>
        <w:t xml:space="preserve"> </w:t>
      </w:r>
      <w:r w:rsidR="003D3F80">
        <w:rPr>
          <w:lang w:val="fr-FR"/>
        </w:rPr>
        <w:t xml:space="preserve">Depuis </w:t>
      </w:r>
      <w:r w:rsidR="00377574">
        <w:rPr>
          <w:lang w:val="fr-FR"/>
        </w:rPr>
        <w:t>l</w:t>
      </w:r>
      <w:r w:rsidR="001051C0">
        <w:rPr>
          <w:lang w:val="fr-FR"/>
        </w:rPr>
        <w:t>’</w:t>
      </w:r>
      <w:r w:rsidR="00377574">
        <w:rPr>
          <w:lang w:val="fr-FR"/>
        </w:rPr>
        <w:t>achèvement de</w:t>
      </w:r>
      <w:r w:rsidR="003D3F80">
        <w:rPr>
          <w:lang w:val="fr-FR"/>
        </w:rPr>
        <w:t xml:space="preserve"> </w:t>
      </w:r>
      <w:r w:rsidR="00905E8E" w:rsidRPr="00905E8E">
        <w:rPr>
          <w:lang w:val="fr-FR"/>
        </w:rPr>
        <w:t>l’évaluation</w:t>
      </w:r>
      <w:r w:rsidR="003D3F80" w:rsidRPr="00905E8E">
        <w:rPr>
          <w:lang w:val="fr-FR"/>
        </w:rPr>
        <w:t xml:space="preserve"> </w:t>
      </w:r>
      <w:r w:rsidR="003D3F80">
        <w:rPr>
          <w:lang w:val="fr-FR"/>
        </w:rPr>
        <w:t>de l</w:t>
      </w:r>
      <w:r w:rsidR="001051C0">
        <w:rPr>
          <w:lang w:val="fr-FR"/>
        </w:rPr>
        <w:t>’</w:t>
      </w:r>
      <w:r w:rsidR="003D3F80">
        <w:rPr>
          <w:lang w:val="fr-FR"/>
        </w:rPr>
        <w:t xml:space="preserve">IEG, la direction </w:t>
      </w:r>
      <w:r w:rsidR="000032EE">
        <w:rPr>
          <w:lang w:val="fr-FR"/>
        </w:rPr>
        <w:t>s</w:t>
      </w:r>
      <w:r w:rsidR="001051C0">
        <w:rPr>
          <w:lang w:val="fr-FR"/>
        </w:rPr>
        <w:t>’</w:t>
      </w:r>
      <w:r w:rsidR="000032EE">
        <w:rPr>
          <w:lang w:val="fr-FR"/>
        </w:rPr>
        <w:t>est attelée à un nombre considérable de tâches</w:t>
      </w:r>
      <w:r w:rsidR="00377574">
        <w:rPr>
          <w:lang w:val="fr-FR"/>
        </w:rPr>
        <w:t xml:space="preserve"> </w:t>
      </w:r>
      <w:r w:rsidR="00B50094">
        <w:rPr>
          <w:lang w:val="fr-FR"/>
        </w:rPr>
        <w:t xml:space="preserve">en vue </w:t>
      </w:r>
      <w:r w:rsidR="003D3F80">
        <w:rPr>
          <w:lang w:val="fr-FR"/>
        </w:rPr>
        <w:t xml:space="preserve">notamment </w:t>
      </w:r>
      <w:r w:rsidR="00B50094">
        <w:rPr>
          <w:lang w:val="fr-FR"/>
        </w:rPr>
        <w:t>de</w:t>
      </w:r>
      <w:r w:rsidR="00377574">
        <w:rPr>
          <w:lang w:val="fr-FR"/>
        </w:rPr>
        <w:t xml:space="preserve"> susciter un </w:t>
      </w:r>
      <w:r w:rsidRPr="003D3F80">
        <w:rPr>
          <w:lang w:val="fr-FR"/>
        </w:rPr>
        <w:t xml:space="preserve">consensus </w:t>
      </w:r>
      <w:r w:rsidR="00377574">
        <w:rPr>
          <w:lang w:val="fr-FR"/>
        </w:rPr>
        <w:t>interne sur les modalités d</w:t>
      </w:r>
      <w:r w:rsidR="001051C0">
        <w:rPr>
          <w:lang w:val="fr-FR"/>
        </w:rPr>
        <w:t>’</w:t>
      </w:r>
      <w:r w:rsidR="00377574">
        <w:rPr>
          <w:lang w:val="fr-FR"/>
        </w:rPr>
        <w:t xml:space="preserve">examen et de mise à jour des politiques de sauvegarde. </w:t>
      </w:r>
      <w:r w:rsidR="003D3F80">
        <w:rPr>
          <w:lang w:val="fr-FR"/>
        </w:rPr>
        <w:t>En parallèle, la direction, dans le cadre de</w:t>
      </w:r>
      <w:r w:rsidR="00377574">
        <w:rPr>
          <w:lang w:val="fr-FR"/>
        </w:rPr>
        <w:t xml:space="preserve"> l</w:t>
      </w:r>
      <w:r w:rsidR="001051C0">
        <w:rPr>
          <w:lang w:val="fr-FR"/>
        </w:rPr>
        <w:t>’</w:t>
      </w:r>
      <w:r w:rsidR="00377574">
        <w:rPr>
          <w:lang w:val="fr-FR"/>
        </w:rPr>
        <w:t xml:space="preserve">effort global de modernisation, a </w:t>
      </w:r>
      <w:r w:rsidR="00B50094">
        <w:rPr>
          <w:lang w:val="fr-FR"/>
        </w:rPr>
        <w:t xml:space="preserve">lancé </w:t>
      </w:r>
      <w:r w:rsidR="00377574">
        <w:rPr>
          <w:lang w:val="fr-FR"/>
        </w:rPr>
        <w:t xml:space="preserve">plusieurs </w:t>
      </w:r>
      <w:r w:rsidR="00B50094">
        <w:rPr>
          <w:lang w:val="fr-FR"/>
        </w:rPr>
        <w:t xml:space="preserve">initiatives </w:t>
      </w:r>
      <w:r w:rsidR="00377574">
        <w:rPr>
          <w:lang w:val="fr-FR"/>
        </w:rPr>
        <w:t>important</w:t>
      </w:r>
      <w:r w:rsidR="00B50094">
        <w:rPr>
          <w:lang w:val="fr-FR"/>
        </w:rPr>
        <w:t>e</w:t>
      </w:r>
      <w:r w:rsidR="00377574">
        <w:rPr>
          <w:lang w:val="fr-FR"/>
        </w:rPr>
        <w:t xml:space="preserve">s, notamment </w:t>
      </w:r>
      <w:r w:rsidR="000032EE">
        <w:rPr>
          <w:lang w:val="fr-FR"/>
        </w:rPr>
        <w:t xml:space="preserve">la réforme </w:t>
      </w:r>
      <w:r w:rsidR="00377574">
        <w:rPr>
          <w:lang w:val="fr-FR"/>
        </w:rPr>
        <w:t>des prêts d</w:t>
      </w:r>
      <w:r w:rsidR="001051C0">
        <w:rPr>
          <w:lang w:val="fr-FR"/>
        </w:rPr>
        <w:t>’</w:t>
      </w:r>
      <w:r w:rsidR="00377574">
        <w:rPr>
          <w:lang w:val="fr-FR"/>
        </w:rPr>
        <w:t xml:space="preserve">investissement et </w:t>
      </w:r>
      <w:r w:rsidR="000032EE">
        <w:rPr>
          <w:lang w:val="fr-FR"/>
        </w:rPr>
        <w:t xml:space="preserve">la réforme </w:t>
      </w:r>
      <w:r w:rsidR="00377574">
        <w:rPr>
          <w:lang w:val="fr-FR"/>
        </w:rPr>
        <w:t xml:space="preserve">de la passation des marchés, </w:t>
      </w:r>
      <w:r w:rsidR="000032EE">
        <w:rPr>
          <w:lang w:val="fr-FR"/>
        </w:rPr>
        <w:t>le Programme pour les résultats</w:t>
      </w:r>
      <w:r w:rsidRPr="003D3F80">
        <w:rPr>
          <w:lang w:val="fr-FR"/>
        </w:rPr>
        <w:t xml:space="preserve"> </w:t>
      </w:r>
      <w:r w:rsidR="000032EE">
        <w:rPr>
          <w:lang w:val="fr-FR"/>
        </w:rPr>
        <w:t>et la poursuite de l</w:t>
      </w:r>
      <w:r w:rsidR="001051C0">
        <w:rPr>
          <w:lang w:val="fr-FR"/>
        </w:rPr>
        <w:t>’</w:t>
      </w:r>
      <w:r w:rsidR="000032EE">
        <w:rPr>
          <w:lang w:val="fr-FR"/>
        </w:rPr>
        <w:t>élaboration de mécanismes de recours</w:t>
      </w:r>
      <w:r w:rsidRPr="003D3F80">
        <w:rPr>
          <w:lang w:val="fr-FR"/>
        </w:rPr>
        <w:t xml:space="preserve">, </w:t>
      </w:r>
      <w:r w:rsidR="000032EE">
        <w:rPr>
          <w:lang w:val="fr-FR"/>
        </w:rPr>
        <w:t>autant d</w:t>
      </w:r>
      <w:r w:rsidR="00B50094">
        <w:rPr>
          <w:lang w:val="fr-FR"/>
        </w:rPr>
        <w:t>e processus</w:t>
      </w:r>
      <w:r w:rsidR="000032EE">
        <w:rPr>
          <w:lang w:val="fr-FR"/>
        </w:rPr>
        <w:t xml:space="preserve"> qui ont pris plus de temps que prévu. Maintenant que ces réformes sont </w:t>
      </w:r>
      <w:r w:rsidR="00B50094">
        <w:rPr>
          <w:lang w:val="fr-FR"/>
        </w:rPr>
        <w:t>engagées ou achevées</w:t>
      </w:r>
      <w:r w:rsidR="000032EE">
        <w:rPr>
          <w:lang w:val="fr-FR"/>
        </w:rPr>
        <w:t xml:space="preserve">, la direction est </w:t>
      </w:r>
      <w:r w:rsidR="00B50094">
        <w:rPr>
          <w:lang w:val="fr-FR"/>
        </w:rPr>
        <w:t>résolue à poursuivre l</w:t>
      </w:r>
      <w:r w:rsidR="00CD632B">
        <w:rPr>
          <w:lang w:val="fr-FR"/>
        </w:rPr>
        <w:t>’</w:t>
      </w:r>
      <w:r w:rsidR="00B50094">
        <w:rPr>
          <w:lang w:val="fr-FR"/>
        </w:rPr>
        <w:t>examen et la mise à jour des politiques de sauvegarde, conformément aux recomma</w:t>
      </w:r>
      <w:r w:rsidRPr="003D3F80">
        <w:rPr>
          <w:lang w:val="fr-FR"/>
        </w:rPr>
        <w:t xml:space="preserve">ndations </w:t>
      </w:r>
      <w:r w:rsidR="00B50094">
        <w:rPr>
          <w:lang w:val="fr-FR"/>
        </w:rPr>
        <w:t xml:space="preserve">de </w:t>
      </w:r>
      <w:r w:rsidR="00905E8E" w:rsidRPr="00905E8E">
        <w:rPr>
          <w:lang w:val="fr-FR"/>
        </w:rPr>
        <w:t>l’évaluation</w:t>
      </w:r>
      <w:r w:rsidR="00B50094">
        <w:rPr>
          <w:lang w:val="fr-FR"/>
        </w:rPr>
        <w:t xml:space="preserve"> de l</w:t>
      </w:r>
      <w:r w:rsidR="001051C0">
        <w:rPr>
          <w:lang w:val="fr-FR"/>
        </w:rPr>
        <w:t>’</w:t>
      </w:r>
      <w:r w:rsidR="00B50094">
        <w:rPr>
          <w:lang w:val="fr-FR"/>
        </w:rPr>
        <w:t>IEG</w:t>
      </w:r>
      <w:r w:rsidRPr="003D3F80">
        <w:rPr>
          <w:lang w:val="fr-FR"/>
        </w:rPr>
        <w:t>.</w:t>
      </w:r>
    </w:p>
    <w:p w:rsidR="00D5470D" w:rsidRPr="003D3F80" w:rsidRDefault="00905E8E" w:rsidP="00A90205">
      <w:pPr>
        <w:pStyle w:val="ippara2"/>
        <w:widowControl/>
        <w:spacing w:after="200" w:line="276" w:lineRule="auto"/>
        <w:ind w:left="0" w:firstLine="0"/>
        <w:jc w:val="both"/>
        <w:rPr>
          <w:lang w:val="fr-FR"/>
        </w:rPr>
      </w:pPr>
      <w:r w:rsidRPr="003D3F80">
        <w:rPr>
          <w:b/>
          <w:i/>
          <w:lang w:val="fr-FR"/>
        </w:rPr>
        <w:lastRenderedPageBreak/>
        <w:t xml:space="preserve">Évaluation </w:t>
      </w:r>
      <w:r w:rsidR="00B50094">
        <w:rPr>
          <w:b/>
          <w:i/>
          <w:lang w:val="fr-FR"/>
        </w:rPr>
        <w:t>de l</w:t>
      </w:r>
      <w:r w:rsidR="001051C0">
        <w:rPr>
          <w:b/>
          <w:i/>
          <w:lang w:val="fr-FR"/>
        </w:rPr>
        <w:t>’</w:t>
      </w:r>
      <w:r w:rsidR="00D5470D" w:rsidRPr="003D3F80">
        <w:rPr>
          <w:b/>
          <w:i/>
          <w:lang w:val="fr-FR"/>
        </w:rPr>
        <w:t>IEG</w:t>
      </w:r>
      <w:r w:rsidR="00DC0C08">
        <w:rPr>
          <w:b/>
          <w:i/>
          <w:lang w:val="fr-FR"/>
        </w:rPr>
        <w:t>,</w:t>
      </w:r>
      <w:r w:rsidR="00D5470D" w:rsidRPr="003D3F80">
        <w:rPr>
          <w:b/>
          <w:i/>
          <w:lang w:val="fr-FR"/>
        </w:rPr>
        <w:t xml:space="preserve"> </w:t>
      </w:r>
      <w:r w:rsidR="00B30D73">
        <w:rPr>
          <w:b/>
          <w:i/>
          <w:lang w:val="fr-FR"/>
        </w:rPr>
        <w:t>l’</w:t>
      </w:r>
      <w:r w:rsidR="00B50094">
        <w:rPr>
          <w:b/>
          <w:i/>
          <w:lang w:val="fr-FR"/>
        </w:rPr>
        <w:t>examen et mise à jour des politiques de sauvegarde</w:t>
      </w:r>
      <w:r w:rsidR="00D5470D" w:rsidRPr="003D3F80">
        <w:rPr>
          <w:b/>
          <w:i/>
          <w:lang w:val="fr-FR"/>
        </w:rPr>
        <w:t>.</w:t>
      </w:r>
      <w:r w:rsidR="00B50094">
        <w:rPr>
          <w:lang w:val="fr-FR"/>
        </w:rPr>
        <w:t xml:space="preserve"> </w:t>
      </w:r>
      <w:r w:rsidR="0092262C">
        <w:rPr>
          <w:lang w:val="fr-FR"/>
        </w:rPr>
        <w:t>Outre le</w:t>
      </w:r>
      <w:r w:rsidR="00BB7E3F">
        <w:rPr>
          <w:lang w:val="fr-FR"/>
        </w:rPr>
        <w:t xml:space="preserve">s progrès constatés dans la mise en œuvre des engagements pris dans le </w:t>
      </w:r>
      <w:r w:rsidR="0092262C" w:rsidRPr="003D3F80">
        <w:rPr>
          <w:lang w:val="fr-FR"/>
        </w:rPr>
        <w:t xml:space="preserve">Relevé des interventions de la </w:t>
      </w:r>
      <w:r w:rsidR="0092262C">
        <w:rPr>
          <w:lang w:val="fr-FR"/>
        </w:rPr>
        <w:t>direction</w:t>
      </w:r>
      <w:r w:rsidR="00D5470D" w:rsidRPr="003D3F80">
        <w:rPr>
          <w:lang w:val="fr-FR"/>
        </w:rPr>
        <w:t xml:space="preserve">, </w:t>
      </w:r>
      <w:r w:rsidR="00334D5B">
        <w:rPr>
          <w:lang w:val="fr-FR"/>
        </w:rPr>
        <w:t>les conclusions d</w:t>
      </w:r>
      <w:r w:rsidR="0092262C">
        <w:rPr>
          <w:lang w:val="fr-FR"/>
        </w:rPr>
        <w:t>e l</w:t>
      </w:r>
      <w:r w:rsidR="001051C0">
        <w:rPr>
          <w:lang w:val="fr-FR"/>
        </w:rPr>
        <w:t>’</w:t>
      </w:r>
      <w:r w:rsidR="00D5470D" w:rsidRPr="003D3F80">
        <w:rPr>
          <w:lang w:val="fr-FR"/>
        </w:rPr>
        <w:t>IEG</w:t>
      </w:r>
      <w:r w:rsidR="00334D5B">
        <w:rPr>
          <w:lang w:val="fr-FR"/>
        </w:rPr>
        <w:t xml:space="preserve"> </w:t>
      </w:r>
      <w:r w:rsidR="0092262C">
        <w:rPr>
          <w:lang w:val="fr-FR"/>
        </w:rPr>
        <w:t>constituent un précieux point de référence pour l</w:t>
      </w:r>
      <w:r w:rsidR="00CD632B">
        <w:rPr>
          <w:lang w:val="fr-FR"/>
        </w:rPr>
        <w:t>’</w:t>
      </w:r>
      <w:r w:rsidR="0092262C">
        <w:rPr>
          <w:lang w:val="fr-FR"/>
        </w:rPr>
        <w:t>examen et la mise à jour</w:t>
      </w:r>
      <w:r w:rsidR="00EE6633">
        <w:rPr>
          <w:lang w:val="fr-FR"/>
        </w:rPr>
        <w:t xml:space="preserve"> </w:t>
      </w:r>
      <w:r w:rsidR="0092262C">
        <w:rPr>
          <w:lang w:val="fr-FR"/>
        </w:rPr>
        <w:t>des politiques de sauvegarde</w:t>
      </w:r>
      <w:r w:rsidR="00D5470D" w:rsidRPr="003D3F80">
        <w:rPr>
          <w:lang w:val="fr-FR"/>
        </w:rPr>
        <w:t xml:space="preserve">. </w:t>
      </w:r>
      <w:r w:rsidR="00334D5B">
        <w:rPr>
          <w:lang w:val="fr-FR"/>
        </w:rPr>
        <w:t xml:space="preserve">Premièrement, </w:t>
      </w:r>
      <w:r w:rsidRPr="00905E8E">
        <w:rPr>
          <w:lang w:val="fr-FR"/>
        </w:rPr>
        <w:t>l’évaluation</w:t>
      </w:r>
      <w:r w:rsidR="0092262C">
        <w:rPr>
          <w:lang w:val="fr-FR"/>
        </w:rPr>
        <w:t xml:space="preserve"> </w:t>
      </w:r>
      <w:r w:rsidR="00BB7E3F">
        <w:rPr>
          <w:lang w:val="fr-FR"/>
        </w:rPr>
        <w:t xml:space="preserve">établit un </w:t>
      </w:r>
      <w:r w:rsidR="0092262C">
        <w:rPr>
          <w:lang w:val="fr-FR"/>
        </w:rPr>
        <w:t xml:space="preserve">lien entre </w:t>
      </w:r>
      <w:r w:rsidR="00BB7E3F">
        <w:rPr>
          <w:lang w:val="fr-FR"/>
        </w:rPr>
        <w:t>l</w:t>
      </w:r>
      <w:r w:rsidR="001051C0">
        <w:rPr>
          <w:lang w:val="fr-FR"/>
        </w:rPr>
        <w:t>’</w:t>
      </w:r>
      <w:r w:rsidR="00D5470D" w:rsidRPr="003D3F80">
        <w:rPr>
          <w:lang w:val="fr-FR"/>
        </w:rPr>
        <w:t xml:space="preserve">importance </w:t>
      </w:r>
      <w:r w:rsidR="00BB7E3F">
        <w:rPr>
          <w:lang w:val="fr-FR"/>
        </w:rPr>
        <w:t>d</w:t>
      </w:r>
      <w:r w:rsidR="001051C0">
        <w:rPr>
          <w:lang w:val="fr-FR"/>
        </w:rPr>
        <w:t>’</w:t>
      </w:r>
      <w:r w:rsidR="00BB7E3F">
        <w:rPr>
          <w:lang w:val="fr-FR"/>
        </w:rPr>
        <w:t xml:space="preserve">accroître la couverture sociale </w:t>
      </w:r>
      <w:r w:rsidR="00454288">
        <w:rPr>
          <w:lang w:val="fr-FR"/>
        </w:rPr>
        <w:t xml:space="preserve">par rapport à </w:t>
      </w:r>
      <w:r w:rsidR="00BB7E3F">
        <w:rPr>
          <w:lang w:val="fr-FR"/>
        </w:rPr>
        <w:t>certain</w:t>
      </w:r>
      <w:r w:rsidR="001051C0">
        <w:rPr>
          <w:lang w:val="fr-FR"/>
        </w:rPr>
        <w:t>e</w:t>
      </w:r>
      <w:r w:rsidR="00BB7E3F">
        <w:rPr>
          <w:lang w:val="fr-FR"/>
        </w:rPr>
        <w:t xml:space="preserve">s </w:t>
      </w:r>
      <w:r w:rsidR="00334D5B">
        <w:rPr>
          <w:lang w:val="fr-FR"/>
        </w:rPr>
        <w:t>probl</w:t>
      </w:r>
      <w:r w:rsidR="001051C0">
        <w:rPr>
          <w:lang w:val="fr-FR"/>
        </w:rPr>
        <w:t xml:space="preserve">ématiques </w:t>
      </w:r>
      <w:r w:rsidR="003165E2">
        <w:rPr>
          <w:lang w:val="fr-FR"/>
        </w:rPr>
        <w:t>naissantes</w:t>
      </w:r>
      <w:r w:rsidR="00454288">
        <w:rPr>
          <w:lang w:val="fr-FR"/>
        </w:rPr>
        <w:t>, tels que les impacts</w:t>
      </w:r>
      <w:r w:rsidR="00BB7E3F">
        <w:rPr>
          <w:lang w:val="fr-FR"/>
        </w:rPr>
        <w:t xml:space="preserve"> sur l</w:t>
      </w:r>
      <w:r w:rsidR="00454288">
        <w:rPr>
          <w:lang w:val="fr-FR"/>
        </w:rPr>
        <w:t>es</w:t>
      </w:r>
      <w:r w:rsidR="00EE6633">
        <w:rPr>
          <w:lang w:val="fr-FR"/>
        </w:rPr>
        <w:t xml:space="preserve"> populations </w:t>
      </w:r>
      <w:r w:rsidR="00BB7E3F">
        <w:rPr>
          <w:lang w:val="fr-FR"/>
        </w:rPr>
        <w:t xml:space="preserve">et </w:t>
      </w:r>
      <w:r w:rsidR="00454288">
        <w:rPr>
          <w:lang w:val="fr-FR"/>
        </w:rPr>
        <w:t xml:space="preserve">sur </w:t>
      </w:r>
      <w:r w:rsidR="00BB7E3F">
        <w:rPr>
          <w:lang w:val="fr-FR"/>
        </w:rPr>
        <w:t>l</w:t>
      </w:r>
      <w:r w:rsidR="001051C0">
        <w:rPr>
          <w:lang w:val="fr-FR"/>
        </w:rPr>
        <w:t>’égalité entre les sexes</w:t>
      </w:r>
      <w:r w:rsidR="00454288">
        <w:rPr>
          <w:lang w:val="fr-FR"/>
        </w:rPr>
        <w:t>,</w:t>
      </w:r>
      <w:r w:rsidR="00BB7E3F">
        <w:rPr>
          <w:lang w:val="fr-FR"/>
        </w:rPr>
        <w:t xml:space="preserve"> et </w:t>
      </w:r>
      <w:r w:rsidR="00454288">
        <w:rPr>
          <w:lang w:val="fr-FR"/>
        </w:rPr>
        <w:t>les</w:t>
      </w:r>
      <w:r w:rsidR="00BB7E3F">
        <w:rPr>
          <w:lang w:val="fr-FR"/>
        </w:rPr>
        <w:t xml:space="preserve"> </w:t>
      </w:r>
      <w:r w:rsidR="00334D5B">
        <w:rPr>
          <w:lang w:val="fr-FR"/>
        </w:rPr>
        <w:t xml:space="preserve">questions </w:t>
      </w:r>
      <w:r w:rsidR="00454288">
        <w:rPr>
          <w:lang w:val="fr-FR"/>
        </w:rPr>
        <w:t xml:space="preserve">relatives à la </w:t>
      </w:r>
      <w:r w:rsidR="00334D5B">
        <w:rPr>
          <w:lang w:val="fr-FR"/>
        </w:rPr>
        <w:t xml:space="preserve">santé et </w:t>
      </w:r>
      <w:r w:rsidR="00454288">
        <w:rPr>
          <w:lang w:val="fr-FR"/>
        </w:rPr>
        <w:t>la</w:t>
      </w:r>
      <w:r w:rsidR="00334D5B">
        <w:rPr>
          <w:lang w:val="fr-FR"/>
        </w:rPr>
        <w:t xml:space="preserve"> sécurité</w:t>
      </w:r>
      <w:r w:rsidR="00D5470D" w:rsidRPr="003D3F80">
        <w:rPr>
          <w:lang w:val="fr-FR"/>
        </w:rPr>
        <w:t xml:space="preserve">. </w:t>
      </w:r>
      <w:r w:rsidR="00334D5B">
        <w:rPr>
          <w:lang w:val="fr-FR"/>
        </w:rPr>
        <w:t xml:space="preserve">Deuxièmement, </w:t>
      </w:r>
      <w:r w:rsidRPr="00905E8E">
        <w:rPr>
          <w:lang w:val="fr-FR"/>
        </w:rPr>
        <w:t>l’évaluation</w:t>
      </w:r>
      <w:r w:rsidR="00334D5B">
        <w:rPr>
          <w:lang w:val="fr-FR"/>
        </w:rPr>
        <w:t xml:space="preserve"> </w:t>
      </w:r>
      <w:r w:rsidR="00A0300A">
        <w:rPr>
          <w:lang w:val="fr-FR"/>
        </w:rPr>
        <w:t>montre qu</w:t>
      </w:r>
      <w:r w:rsidR="001051C0">
        <w:rPr>
          <w:lang w:val="fr-FR"/>
        </w:rPr>
        <w:t>’</w:t>
      </w:r>
      <w:r w:rsidR="00A0300A">
        <w:rPr>
          <w:lang w:val="fr-FR"/>
        </w:rPr>
        <w:t>il y a de fortes raisons de</w:t>
      </w:r>
      <w:r w:rsidR="00334D5B">
        <w:rPr>
          <w:lang w:val="fr-FR"/>
        </w:rPr>
        <w:t xml:space="preserve"> recourir davantage aux systèmes nationaux </w:t>
      </w:r>
      <w:r w:rsidR="00BB7E3F">
        <w:rPr>
          <w:lang w:val="fr-FR"/>
        </w:rPr>
        <w:t xml:space="preserve">et, pour ce faire, de réexaminer la </w:t>
      </w:r>
      <w:r w:rsidR="0092262C">
        <w:rPr>
          <w:lang w:val="fr-FR"/>
        </w:rPr>
        <w:t>démarche suivie jusqu</w:t>
      </w:r>
      <w:r w:rsidR="001051C0">
        <w:rPr>
          <w:lang w:val="fr-FR"/>
        </w:rPr>
        <w:t>’</w:t>
      </w:r>
      <w:r w:rsidR="0092262C">
        <w:rPr>
          <w:lang w:val="fr-FR"/>
        </w:rPr>
        <w:t xml:space="preserve">ici pour évaluer </w:t>
      </w:r>
      <w:r w:rsidR="00BB7E3F">
        <w:rPr>
          <w:lang w:val="fr-FR"/>
        </w:rPr>
        <w:t>ces</w:t>
      </w:r>
      <w:r w:rsidR="0092262C">
        <w:rPr>
          <w:lang w:val="fr-FR"/>
        </w:rPr>
        <w:t xml:space="preserve"> systèmes et </w:t>
      </w:r>
      <w:r w:rsidR="00BB7E3F">
        <w:rPr>
          <w:lang w:val="fr-FR"/>
        </w:rPr>
        <w:t>de mettre davantage l</w:t>
      </w:r>
      <w:r w:rsidR="001051C0">
        <w:rPr>
          <w:lang w:val="fr-FR"/>
        </w:rPr>
        <w:t>’</w:t>
      </w:r>
      <w:r w:rsidR="00BB7E3F">
        <w:rPr>
          <w:lang w:val="fr-FR"/>
        </w:rPr>
        <w:t xml:space="preserve">accent sur le renforcement des institutions nationales. Troisièmement, </w:t>
      </w:r>
      <w:r w:rsidRPr="00905E8E">
        <w:rPr>
          <w:lang w:val="fr-FR"/>
        </w:rPr>
        <w:t>l’évaluation</w:t>
      </w:r>
      <w:r w:rsidR="00BB7E3F">
        <w:rPr>
          <w:lang w:val="fr-FR"/>
        </w:rPr>
        <w:t xml:space="preserve"> prévoit d</w:t>
      </w:r>
      <w:r w:rsidR="001051C0">
        <w:rPr>
          <w:lang w:val="fr-FR"/>
        </w:rPr>
        <w:t>’</w:t>
      </w:r>
      <w:r w:rsidR="00BB7E3F">
        <w:rPr>
          <w:lang w:val="fr-FR"/>
        </w:rPr>
        <w:t xml:space="preserve">inclure des mesures </w:t>
      </w:r>
      <w:r w:rsidR="000D4DAA">
        <w:rPr>
          <w:lang w:val="fr-FR"/>
        </w:rPr>
        <w:t>de</w:t>
      </w:r>
      <w:r w:rsidR="00A0300A">
        <w:rPr>
          <w:lang w:val="fr-FR"/>
        </w:rPr>
        <w:t xml:space="preserve"> nature à</w:t>
      </w:r>
      <w:r w:rsidR="00BB7E3F">
        <w:rPr>
          <w:lang w:val="fr-FR"/>
        </w:rPr>
        <w:t xml:space="preserve"> renforcer l</w:t>
      </w:r>
      <w:r w:rsidR="000D4DAA">
        <w:rPr>
          <w:lang w:val="fr-FR"/>
        </w:rPr>
        <w:t>es modalités d</w:t>
      </w:r>
      <w:r w:rsidR="001051C0">
        <w:rPr>
          <w:lang w:val="fr-FR"/>
        </w:rPr>
        <w:t>’</w:t>
      </w:r>
      <w:r w:rsidR="00BB7E3F">
        <w:rPr>
          <w:lang w:val="fr-FR"/>
        </w:rPr>
        <w:t>élabor</w:t>
      </w:r>
      <w:r w:rsidR="000D4DAA">
        <w:rPr>
          <w:lang w:val="fr-FR"/>
        </w:rPr>
        <w:t>ation et d</w:t>
      </w:r>
      <w:r w:rsidR="001051C0">
        <w:rPr>
          <w:lang w:val="fr-FR"/>
        </w:rPr>
        <w:t>’</w:t>
      </w:r>
      <w:r w:rsidR="00BB7E3F">
        <w:rPr>
          <w:lang w:val="fr-FR"/>
        </w:rPr>
        <w:t>exécut</w:t>
      </w:r>
      <w:r w:rsidR="00A0300A">
        <w:rPr>
          <w:lang w:val="fr-FR"/>
        </w:rPr>
        <w:t>ion de</w:t>
      </w:r>
      <w:r w:rsidR="00454288">
        <w:rPr>
          <w:lang w:val="fr-FR"/>
        </w:rPr>
        <w:t>s</w:t>
      </w:r>
      <w:r w:rsidR="000D4DAA">
        <w:rPr>
          <w:lang w:val="fr-FR"/>
        </w:rPr>
        <w:t xml:space="preserve"> </w:t>
      </w:r>
      <w:r w:rsidR="00BB7E3F">
        <w:rPr>
          <w:lang w:val="fr-FR"/>
        </w:rPr>
        <w:t xml:space="preserve">projets </w:t>
      </w:r>
      <w:r w:rsidR="00454288">
        <w:rPr>
          <w:lang w:val="fr-FR"/>
        </w:rPr>
        <w:t xml:space="preserve">faisant usage </w:t>
      </w:r>
      <w:r w:rsidR="00A0300A">
        <w:rPr>
          <w:lang w:val="fr-FR"/>
        </w:rPr>
        <w:t>d</w:t>
      </w:r>
      <w:r w:rsidR="000D4DAA">
        <w:rPr>
          <w:lang w:val="fr-FR"/>
        </w:rPr>
        <w:t>es cadres de gestion environnementale et sociale</w:t>
      </w:r>
      <w:r w:rsidR="00454288">
        <w:rPr>
          <w:lang w:val="fr-FR"/>
        </w:rPr>
        <w:t>,</w:t>
      </w:r>
      <w:r w:rsidR="000D4DAA">
        <w:rPr>
          <w:lang w:val="fr-FR"/>
        </w:rPr>
        <w:t xml:space="preserve"> pour améliorer leur efficacité. Enfin, </w:t>
      </w:r>
      <w:r w:rsidRPr="00905E8E">
        <w:rPr>
          <w:lang w:val="fr-FR"/>
        </w:rPr>
        <w:t>l’évaluation</w:t>
      </w:r>
      <w:r w:rsidR="000D4DAA">
        <w:rPr>
          <w:lang w:val="fr-FR"/>
        </w:rPr>
        <w:t xml:space="preserve"> de l</w:t>
      </w:r>
      <w:r w:rsidR="001051C0">
        <w:rPr>
          <w:lang w:val="fr-FR"/>
        </w:rPr>
        <w:t>’</w:t>
      </w:r>
      <w:r w:rsidR="00D5470D" w:rsidRPr="003D3F80">
        <w:rPr>
          <w:lang w:val="fr-FR"/>
        </w:rPr>
        <w:t xml:space="preserve">IEG </w:t>
      </w:r>
      <w:r w:rsidR="00454288">
        <w:rPr>
          <w:lang w:val="fr-FR"/>
        </w:rPr>
        <w:t xml:space="preserve">plaide pour </w:t>
      </w:r>
      <w:r w:rsidR="00A0300A">
        <w:rPr>
          <w:lang w:val="fr-FR"/>
        </w:rPr>
        <w:t xml:space="preserve">une </w:t>
      </w:r>
      <w:r w:rsidR="000D4DAA">
        <w:rPr>
          <w:lang w:val="fr-FR"/>
        </w:rPr>
        <w:t xml:space="preserve">amélioration des systèmes et des </w:t>
      </w:r>
      <w:r w:rsidR="00D5470D" w:rsidRPr="003D3F80">
        <w:rPr>
          <w:lang w:val="fr-FR"/>
        </w:rPr>
        <w:t xml:space="preserve">instruments </w:t>
      </w:r>
      <w:r w:rsidR="00A0300A">
        <w:rPr>
          <w:lang w:val="fr-FR"/>
        </w:rPr>
        <w:t>p</w:t>
      </w:r>
      <w:r w:rsidR="000D4DAA">
        <w:rPr>
          <w:lang w:val="fr-FR"/>
        </w:rPr>
        <w:t xml:space="preserve">ermettant de rendre compte des résultats et de régler les plaintes. La direction veillera à ce que les conclusions de </w:t>
      </w:r>
      <w:r w:rsidRPr="00905E8E">
        <w:rPr>
          <w:lang w:val="fr-FR"/>
        </w:rPr>
        <w:t>l’évaluation</w:t>
      </w:r>
      <w:r w:rsidR="000D4DAA">
        <w:rPr>
          <w:lang w:val="fr-FR"/>
        </w:rPr>
        <w:t xml:space="preserve"> de l</w:t>
      </w:r>
      <w:r w:rsidR="001051C0">
        <w:rPr>
          <w:lang w:val="fr-FR"/>
        </w:rPr>
        <w:t>’</w:t>
      </w:r>
      <w:r w:rsidR="000D4DAA">
        <w:rPr>
          <w:lang w:val="fr-FR"/>
        </w:rPr>
        <w:t>IEG</w:t>
      </w:r>
      <w:r w:rsidR="00D5470D" w:rsidRPr="003D3F80">
        <w:rPr>
          <w:lang w:val="fr-FR"/>
        </w:rPr>
        <w:t xml:space="preserve"> </w:t>
      </w:r>
      <w:r w:rsidR="000D4DAA">
        <w:rPr>
          <w:lang w:val="fr-FR"/>
        </w:rPr>
        <w:t>soient dûment prises en compte dans le cadre d</w:t>
      </w:r>
      <w:r w:rsidR="00B30D73">
        <w:rPr>
          <w:lang w:val="fr-FR"/>
        </w:rPr>
        <w:t>e l’</w:t>
      </w:r>
      <w:r w:rsidR="000D4DAA">
        <w:rPr>
          <w:lang w:val="fr-FR"/>
        </w:rPr>
        <w:t>examen et de la mise à jour des politiques de sauvegarde.</w:t>
      </w:r>
    </w:p>
    <w:p w:rsidR="002508ED" w:rsidRPr="003D3F80" w:rsidRDefault="00356108" w:rsidP="00A90205">
      <w:pPr>
        <w:pStyle w:val="Heading3"/>
        <w:keepNext/>
        <w:widowControl/>
        <w:numPr>
          <w:ilvl w:val="0"/>
          <w:numId w:val="38"/>
        </w:numPr>
        <w:spacing w:before="0" w:after="200" w:line="276" w:lineRule="auto"/>
        <w:rPr>
          <w:szCs w:val="24"/>
          <w:lang w:val="fr-FR"/>
        </w:rPr>
      </w:pPr>
      <w:bookmarkStart w:id="3" w:name="_Toc338065566"/>
      <w:r w:rsidRPr="003D3F80">
        <w:rPr>
          <w:szCs w:val="24"/>
          <w:lang w:val="fr-FR"/>
        </w:rPr>
        <w:t>Raison d</w:t>
      </w:r>
      <w:r w:rsidR="001051C0">
        <w:rPr>
          <w:szCs w:val="24"/>
          <w:lang w:val="fr-FR"/>
        </w:rPr>
        <w:t>’</w:t>
      </w:r>
      <w:r w:rsidRPr="003D3F80">
        <w:rPr>
          <w:szCs w:val="24"/>
          <w:lang w:val="fr-FR"/>
        </w:rPr>
        <w:t>être de l</w:t>
      </w:r>
      <w:r w:rsidR="001051C0">
        <w:rPr>
          <w:szCs w:val="24"/>
          <w:lang w:val="fr-FR"/>
        </w:rPr>
        <w:t>’</w:t>
      </w:r>
      <w:r w:rsidRPr="003D3F80">
        <w:rPr>
          <w:szCs w:val="24"/>
          <w:lang w:val="fr-FR"/>
        </w:rPr>
        <w:t>examen et de la mise à jour</w:t>
      </w:r>
      <w:bookmarkEnd w:id="3"/>
      <w:r w:rsidRPr="003D3F80">
        <w:rPr>
          <w:szCs w:val="24"/>
          <w:lang w:val="fr-FR"/>
        </w:rPr>
        <w:t xml:space="preserve"> </w:t>
      </w:r>
    </w:p>
    <w:p w:rsidR="002508ED" w:rsidRPr="003D3F80" w:rsidRDefault="00356108" w:rsidP="00A90205">
      <w:pPr>
        <w:pStyle w:val="ippara2"/>
        <w:widowControl/>
        <w:spacing w:after="200" w:line="276" w:lineRule="auto"/>
        <w:ind w:left="0" w:firstLine="0"/>
        <w:jc w:val="both"/>
        <w:rPr>
          <w:lang w:val="fr-FR"/>
        </w:rPr>
      </w:pPr>
      <w:r w:rsidRPr="003D3F80">
        <w:rPr>
          <w:b/>
          <w:i/>
          <w:lang w:val="fr-FR"/>
        </w:rPr>
        <w:t>Une conjonction de facteurs</w:t>
      </w:r>
      <w:r w:rsidR="006C60C3" w:rsidRPr="003D3F80">
        <w:rPr>
          <w:b/>
          <w:i/>
          <w:lang w:val="fr-FR"/>
        </w:rPr>
        <w:t>.</w:t>
      </w:r>
      <w:r w:rsidR="00EA1F93" w:rsidRPr="003D3F80">
        <w:rPr>
          <w:lang w:val="fr-FR"/>
        </w:rPr>
        <w:t xml:space="preserve"> </w:t>
      </w:r>
      <w:r w:rsidR="008471D3" w:rsidRPr="003D3F80">
        <w:rPr>
          <w:lang w:val="fr-FR"/>
        </w:rPr>
        <w:t>La Banque reconnaît l</w:t>
      </w:r>
      <w:r w:rsidR="001051C0">
        <w:rPr>
          <w:lang w:val="fr-FR"/>
        </w:rPr>
        <w:t>’</w:t>
      </w:r>
      <w:r w:rsidR="008471D3" w:rsidRPr="003D3F80">
        <w:rPr>
          <w:lang w:val="fr-FR"/>
        </w:rPr>
        <w:t>existence d</w:t>
      </w:r>
      <w:r w:rsidR="001051C0">
        <w:rPr>
          <w:lang w:val="fr-FR"/>
        </w:rPr>
        <w:t>’</w:t>
      </w:r>
      <w:r w:rsidR="008471D3" w:rsidRPr="003D3F80">
        <w:rPr>
          <w:lang w:val="fr-FR"/>
        </w:rPr>
        <w:t xml:space="preserve">une conjonction de facteurs internes et externes qui rend opportun </w:t>
      </w:r>
      <w:r w:rsidR="00CD632B">
        <w:rPr>
          <w:lang w:val="fr-FR"/>
        </w:rPr>
        <w:t>l’examen et la mise à jour</w:t>
      </w:r>
      <w:r w:rsidR="008471D3" w:rsidRPr="003D3F80">
        <w:rPr>
          <w:lang w:val="fr-FR"/>
        </w:rPr>
        <w:t xml:space="preserve"> des politiques de sauvegarde.</w:t>
      </w:r>
      <w:r w:rsidR="00B8501E" w:rsidRPr="003D3F80">
        <w:rPr>
          <w:lang w:val="fr-FR"/>
        </w:rPr>
        <w:t xml:space="preserve"> La direction note que, pour promouvoir le développement, il est impératif d</w:t>
      </w:r>
      <w:r w:rsidR="001051C0">
        <w:rPr>
          <w:lang w:val="fr-FR"/>
        </w:rPr>
        <w:t>’</w:t>
      </w:r>
      <w:r w:rsidR="00B8501E" w:rsidRPr="003D3F80">
        <w:rPr>
          <w:lang w:val="fr-FR"/>
        </w:rPr>
        <w:t>obtenir des résultats durables</w:t>
      </w:r>
      <w:r w:rsidR="00EE6633">
        <w:rPr>
          <w:lang w:val="fr-FR"/>
        </w:rPr>
        <w:t xml:space="preserve"> au </w:t>
      </w:r>
      <w:r w:rsidR="003165E2">
        <w:rPr>
          <w:lang w:val="fr-FR"/>
        </w:rPr>
        <w:t>plan environnemental et social</w:t>
      </w:r>
      <w:r w:rsidR="00B8501E" w:rsidRPr="003D3F80">
        <w:rPr>
          <w:lang w:val="fr-FR"/>
        </w:rPr>
        <w:t>, d</w:t>
      </w:r>
      <w:r w:rsidR="001051C0">
        <w:rPr>
          <w:lang w:val="fr-FR"/>
        </w:rPr>
        <w:t>’</w:t>
      </w:r>
      <w:r w:rsidR="00B8501E" w:rsidRPr="003D3F80">
        <w:rPr>
          <w:lang w:val="fr-FR"/>
        </w:rPr>
        <w:t>utiliser plus largement et de renforcer les institutions et dispositif</w:t>
      </w:r>
      <w:r w:rsidR="004913B1" w:rsidRPr="003D3F80">
        <w:rPr>
          <w:lang w:val="fr-FR"/>
        </w:rPr>
        <w:t>s</w:t>
      </w:r>
      <w:r w:rsidR="00B8501E" w:rsidRPr="003D3F80">
        <w:rPr>
          <w:lang w:val="fr-FR"/>
        </w:rPr>
        <w:t xml:space="preserve"> nationaux des emprunteurs, </w:t>
      </w:r>
      <w:r w:rsidR="004913B1" w:rsidRPr="003D3F80">
        <w:rPr>
          <w:lang w:val="fr-FR"/>
        </w:rPr>
        <w:t>de s</w:t>
      </w:r>
      <w:r w:rsidR="001051C0">
        <w:rPr>
          <w:lang w:val="fr-FR"/>
        </w:rPr>
        <w:t>’</w:t>
      </w:r>
      <w:r w:rsidR="004913B1" w:rsidRPr="003D3F80">
        <w:rPr>
          <w:lang w:val="fr-FR"/>
        </w:rPr>
        <w:t>attaquer aux problématiques naissantes au niveau national, régional et à celui du patrimoine commun de l</w:t>
      </w:r>
      <w:r w:rsidR="001051C0">
        <w:rPr>
          <w:lang w:val="fr-FR"/>
        </w:rPr>
        <w:t>’</w:t>
      </w:r>
      <w:r w:rsidR="004913B1" w:rsidRPr="003D3F80">
        <w:rPr>
          <w:lang w:val="fr-FR"/>
        </w:rPr>
        <w:t>humanité, et de s</w:t>
      </w:r>
      <w:r w:rsidR="001051C0">
        <w:rPr>
          <w:lang w:val="fr-FR"/>
        </w:rPr>
        <w:t>’</w:t>
      </w:r>
      <w:r w:rsidR="004913B1" w:rsidRPr="003D3F80">
        <w:rPr>
          <w:lang w:val="fr-FR"/>
        </w:rPr>
        <w:t>adapter à l</w:t>
      </w:r>
      <w:r w:rsidR="001051C0">
        <w:rPr>
          <w:lang w:val="fr-FR"/>
        </w:rPr>
        <w:t>’</w:t>
      </w:r>
      <w:r w:rsidR="004913B1" w:rsidRPr="003D3F80">
        <w:rPr>
          <w:lang w:val="fr-FR"/>
        </w:rPr>
        <w:t xml:space="preserve">évolution des opérations de la Banque. La direction sait aussi que la façon </w:t>
      </w:r>
      <w:r w:rsidR="00C00649" w:rsidRPr="003D3F80">
        <w:rPr>
          <w:lang w:val="fr-FR"/>
        </w:rPr>
        <w:t>d</w:t>
      </w:r>
      <w:r w:rsidR="001051C0">
        <w:rPr>
          <w:lang w:val="fr-FR"/>
        </w:rPr>
        <w:t>’</w:t>
      </w:r>
      <w:r w:rsidR="00C00649" w:rsidRPr="003D3F80">
        <w:rPr>
          <w:lang w:val="fr-FR"/>
        </w:rPr>
        <w:t xml:space="preserve">aborder les </w:t>
      </w:r>
      <w:r w:rsidR="004913B1" w:rsidRPr="003D3F80">
        <w:rPr>
          <w:lang w:val="fr-FR"/>
        </w:rPr>
        <w:t>problèmes environnementaux et sociaux a progressé au niveau régional et international</w:t>
      </w:r>
      <w:r w:rsidR="003165E2">
        <w:rPr>
          <w:lang w:val="fr-FR"/>
        </w:rPr>
        <w:t xml:space="preserve">, </w:t>
      </w:r>
      <w:r w:rsidR="004913B1" w:rsidRPr="003D3F80">
        <w:rPr>
          <w:lang w:val="fr-FR"/>
        </w:rPr>
        <w:t xml:space="preserve"> et n</w:t>
      </w:r>
      <w:r w:rsidR="001051C0">
        <w:rPr>
          <w:lang w:val="fr-FR"/>
        </w:rPr>
        <w:t>’</w:t>
      </w:r>
      <w:r w:rsidR="004913B1" w:rsidRPr="003D3F80">
        <w:rPr>
          <w:lang w:val="fr-FR"/>
        </w:rPr>
        <w:t xml:space="preserve">ignore pas que la communauté </w:t>
      </w:r>
      <w:r w:rsidR="00C00649" w:rsidRPr="003D3F80">
        <w:rPr>
          <w:lang w:val="fr-FR"/>
        </w:rPr>
        <w:t xml:space="preserve">des bailleurs de fonds </w:t>
      </w:r>
      <w:r w:rsidR="004913B1" w:rsidRPr="003D3F80">
        <w:rPr>
          <w:lang w:val="fr-FR"/>
        </w:rPr>
        <w:t xml:space="preserve">et la communauté internationale au sens large </w:t>
      </w:r>
      <w:r w:rsidR="00C00649" w:rsidRPr="003D3F80">
        <w:rPr>
          <w:lang w:val="fr-FR"/>
        </w:rPr>
        <w:t>se tournent aujourd</w:t>
      </w:r>
      <w:r w:rsidR="001051C0">
        <w:rPr>
          <w:lang w:val="fr-FR"/>
        </w:rPr>
        <w:t>’</w:t>
      </w:r>
      <w:r w:rsidR="00C00649" w:rsidRPr="003D3F80">
        <w:rPr>
          <w:lang w:val="fr-FR"/>
        </w:rPr>
        <w:t>hui vers de nouveaux modèles de développement durable</w:t>
      </w:r>
      <w:r w:rsidR="00983C84" w:rsidRPr="003D3F80">
        <w:rPr>
          <w:lang w:val="fr-FR"/>
        </w:rPr>
        <w:t xml:space="preserve">. La Banque a à cœur de travailler avec ses emprunteurs, ses partenaires de la communauté du développement, les institutions sœurs, les professionnels et les populations pour promouvoir un développement </w:t>
      </w:r>
      <w:r w:rsidR="003D3D86">
        <w:rPr>
          <w:lang w:val="fr-FR"/>
        </w:rPr>
        <w:t xml:space="preserve">durable </w:t>
      </w:r>
      <w:r w:rsidR="00EE6633">
        <w:rPr>
          <w:lang w:val="fr-FR"/>
        </w:rPr>
        <w:t>au</w:t>
      </w:r>
      <w:r w:rsidR="003D3D86">
        <w:rPr>
          <w:lang w:val="fr-FR"/>
        </w:rPr>
        <w:t xml:space="preserve"> plan environnemental et social, en tant que </w:t>
      </w:r>
      <w:r w:rsidR="00983C84" w:rsidRPr="003D3F80">
        <w:rPr>
          <w:lang w:val="fr-FR"/>
        </w:rPr>
        <w:t>bien public mondial.</w:t>
      </w:r>
    </w:p>
    <w:p w:rsidR="002508ED" w:rsidRPr="003D3F80" w:rsidRDefault="000F3F46" w:rsidP="00A90205">
      <w:pPr>
        <w:pStyle w:val="ippara2"/>
        <w:widowControl/>
        <w:spacing w:after="200" w:line="276" w:lineRule="auto"/>
        <w:ind w:left="0" w:firstLine="0"/>
        <w:jc w:val="both"/>
        <w:rPr>
          <w:lang w:val="fr-FR"/>
        </w:rPr>
      </w:pPr>
      <w:r w:rsidRPr="003D3F80">
        <w:rPr>
          <w:b/>
          <w:i/>
          <w:lang w:val="fr-FR"/>
        </w:rPr>
        <w:t>Évolution du profil des emprunteurs</w:t>
      </w:r>
      <w:r w:rsidR="00EA1F93" w:rsidRPr="003D3F80">
        <w:rPr>
          <w:b/>
          <w:i/>
          <w:lang w:val="fr-FR"/>
        </w:rPr>
        <w:t>.</w:t>
      </w:r>
      <w:r w:rsidR="00467DFC" w:rsidRPr="003D3F80">
        <w:rPr>
          <w:lang w:val="fr-FR"/>
        </w:rPr>
        <w:t xml:space="preserve"> </w:t>
      </w:r>
      <w:r w:rsidRPr="003D3F80">
        <w:rPr>
          <w:lang w:val="fr-FR"/>
        </w:rPr>
        <w:t>Le profil des emprunteurs de la Banque est aujourd</w:t>
      </w:r>
      <w:r w:rsidR="001051C0">
        <w:rPr>
          <w:lang w:val="fr-FR"/>
        </w:rPr>
        <w:t>’</w:t>
      </w:r>
      <w:r w:rsidRPr="003D3F80">
        <w:rPr>
          <w:lang w:val="fr-FR"/>
        </w:rPr>
        <w:t>hui beaucoup plus diversifié qu</w:t>
      </w:r>
      <w:r w:rsidR="001051C0">
        <w:rPr>
          <w:lang w:val="fr-FR"/>
        </w:rPr>
        <w:t>’</w:t>
      </w:r>
      <w:r w:rsidRPr="003D3F80">
        <w:rPr>
          <w:lang w:val="fr-FR"/>
        </w:rPr>
        <w:t>il ne l</w:t>
      </w:r>
      <w:r w:rsidR="001051C0">
        <w:rPr>
          <w:lang w:val="fr-FR"/>
        </w:rPr>
        <w:t>’</w:t>
      </w:r>
      <w:r w:rsidRPr="003D3F80">
        <w:rPr>
          <w:lang w:val="fr-FR"/>
        </w:rPr>
        <w:t xml:space="preserve">était lorsque les politiques </w:t>
      </w:r>
      <w:r w:rsidR="00B8295F" w:rsidRPr="003D3F80">
        <w:rPr>
          <w:lang w:val="fr-FR"/>
        </w:rPr>
        <w:t>de sauvegarde sont nées. Parmi c</w:t>
      </w:r>
      <w:r w:rsidRPr="003D3F80">
        <w:rPr>
          <w:lang w:val="fr-FR"/>
        </w:rPr>
        <w:t>es emprunteurs, on compte en effet des pays à revenu intermédiaire, qui ont des capacités et des institutions solides, des pays à faible revenu, dont la gouvernance et les institutions sont plus précaires, et des pays fragiles et touchés par</w:t>
      </w:r>
      <w:r w:rsidR="00350F0A">
        <w:rPr>
          <w:lang w:val="fr-FR"/>
        </w:rPr>
        <w:t xml:space="preserve"> des conflits</w:t>
      </w:r>
      <w:r w:rsidRPr="003D3F80">
        <w:rPr>
          <w:lang w:val="fr-FR"/>
        </w:rPr>
        <w:t>, où des interventions plus personnalisées et mieux coordonnées sont nécessaires. Chez certains, la constitution et/ou une législation très élaboré</w:t>
      </w:r>
      <w:r w:rsidR="00DA7FDD" w:rsidRPr="003D3F80">
        <w:rPr>
          <w:lang w:val="fr-FR"/>
        </w:rPr>
        <w:t>e</w:t>
      </w:r>
      <w:r w:rsidRPr="003D3F80">
        <w:rPr>
          <w:lang w:val="fr-FR"/>
        </w:rPr>
        <w:t xml:space="preserve"> protègent le citoyen et l</w:t>
      </w:r>
      <w:r w:rsidR="001051C0">
        <w:rPr>
          <w:lang w:val="fr-FR"/>
        </w:rPr>
        <w:t>’</w:t>
      </w:r>
      <w:r w:rsidRPr="003D3F80">
        <w:rPr>
          <w:lang w:val="fr-FR"/>
        </w:rPr>
        <w:t>environnement, chez d</w:t>
      </w:r>
      <w:r w:rsidR="001051C0">
        <w:rPr>
          <w:lang w:val="fr-FR"/>
        </w:rPr>
        <w:t>’</w:t>
      </w:r>
      <w:r w:rsidRPr="003D3F80">
        <w:rPr>
          <w:lang w:val="fr-FR"/>
        </w:rPr>
        <w:t>autres, la capacité technique ou institutionnel</w:t>
      </w:r>
      <w:r w:rsidR="00DA7FDD" w:rsidRPr="003D3F80">
        <w:rPr>
          <w:lang w:val="fr-FR"/>
        </w:rPr>
        <w:t>le</w:t>
      </w:r>
      <w:r w:rsidRPr="003D3F80">
        <w:rPr>
          <w:lang w:val="fr-FR"/>
        </w:rPr>
        <w:t xml:space="preserve"> à gérer les problèmes environnementaux et sociaux est en gestation. En outre, les organes de régulation de toute une gamme de pays </w:t>
      </w:r>
      <w:r w:rsidR="00DF155D" w:rsidRPr="003D3F80">
        <w:rPr>
          <w:lang w:val="fr-FR"/>
        </w:rPr>
        <w:lastRenderedPageBreak/>
        <w:t xml:space="preserve">expérimentent </w:t>
      </w:r>
      <w:r w:rsidR="00DA7FDD" w:rsidRPr="003D3F80">
        <w:rPr>
          <w:lang w:val="fr-FR"/>
        </w:rPr>
        <w:t xml:space="preserve">des </w:t>
      </w:r>
      <w:r w:rsidR="00DF155D" w:rsidRPr="003D3F80">
        <w:rPr>
          <w:lang w:val="fr-FR"/>
        </w:rPr>
        <w:t>outils d</w:t>
      </w:r>
      <w:r w:rsidR="001051C0">
        <w:rPr>
          <w:lang w:val="fr-FR"/>
        </w:rPr>
        <w:t>’</w:t>
      </w:r>
      <w:r w:rsidR="00DF155D" w:rsidRPr="003D3F80">
        <w:rPr>
          <w:lang w:val="fr-FR"/>
        </w:rPr>
        <w:t xml:space="preserve">incitation, </w:t>
      </w:r>
      <w:r w:rsidR="00DA7FDD" w:rsidRPr="003D3F80">
        <w:rPr>
          <w:lang w:val="fr-FR"/>
        </w:rPr>
        <w:t xml:space="preserve">des </w:t>
      </w:r>
      <w:r w:rsidR="00DF155D" w:rsidRPr="003D3F80">
        <w:rPr>
          <w:lang w:val="fr-FR"/>
        </w:rPr>
        <w:t xml:space="preserve">modèles économiques et </w:t>
      </w:r>
      <w:r w:rsidR="00DA7FDD" w:rsidRPr="003D3F80">
        <w:rPr>
          <w:lang w:val="fr-FR"/>
        </w:rPr>
        <w:t xml:space="preserve">des </w:t>
      </w:r>
      <w:r w:rsidR="00DF155D" w:rsidRPr="003D3F80">
        <w:rPr>
          <w:lang w:val="fr-FR"/>
        </w:rPr>
        <w:t>mécanismes de collaboration pour s</w:t>
      </w:r>
      <w:r w:rsidR="001051C0">
        <w:rPr>
          <w:lang w:val="fr-FR"/>
        </w:rPr>
        <w:t>’</w:t>
      </w:r>
      <w:r w:rsidR="00DF155D" w:rsidRPr="003D3F80">
        <w:rPr>
          <w:lang w:val="fr-FR"/>
        </w:rPr>
        <w:t xml:space="preserve">attaquer aux impacts et risques environnementaux et sociaux, parallèlement au </w:t>
      </w:r>
      <w:r w:rsidR="003D3D86">
        <w:rPr>
          <w:lang w:val="fr-FR"/>
        </w:rPr>
        <w:t xml:space="preserve">méthodes prescriptives </w:t>
      </w:r>
      <w:r w:rsidR="00DF155D" w:rsidRPr="003D3F80">
        <w:rPr>
          <w:lang w:val="fr-FR"/>
        </w:rPr>
        <w:t>existant</w:t>
      </w:r>
      <w:r w:rsidR="003D3D86">
        <w:rPr>
          <w:lang w:val="fr-FR"/>
        </w:rPr>
        <w:t>es</w:t>
      </w:r>
      <w:r w:rsidR="00DF155D" w:rsidRPr="003D3F80">
        <w:rPr>
          <w:lang w:val="fr-FR"/>
        </w:rPr>
        <w:t>.</w:t>
      </w:r>
    </w:p>
    <w:p w:rsidR="002508ED" w:rsidRPr="003D3F80" w:rsidRDefault="00B8295F" w:rsidP="00A90205">
      <w:pPr>
        <w:pStyle w:val="ippara2"/>
        <w:widowControl/>
        <w:spacing w:after="200" w:line="276" w:lineRule="auto"/>
        <w:ind w:left="0" w:firstLine="0"/>
        <w:jc w:val="both"/>
        <w:rPr>
          <w:lang w:val="fr-FR"/>
        </w:rPr>
      </w:pPr>
      <w:r w:rsidRPr="003D3F80">
        <w:rPr>
          <w:lang w:val="fr-FR"/>
        </w:rPr>
        <w:t>Cette évolution a modifié la façon dont la communauté du développement aborde l</w:t>
      </w:r>
      <w:r w:rsidR="001051C0">
        <w:rPr>
          <w:lang w:val="fr-FR"/>
        </w:rPr>
        <w:t>’</w:t>
      </w:r>
      <w:r w:rsidRPr="003D3F80">
        <w:rPr>
          <w:lang w:val="fr-FR"/>
        </w:rPr>
        <w:t xml:space="preserve">aide internationale. </w:t>
      </w:r>
      <w:r w:rsidR="000A2FB4">
        <w:rPr>
          <w:lang w:val="fr-FR"/>
        </w:rPr>
        <w:t>Afin</w:t>
      </w:r>
      <w:r w:rsidR="004C7356" w:rsidRPr="003D3F80">
        <w:rPr>
          <w:lang w:val="fr-FR"/>
        </w:rPr>
        <w:t xml:space="preserve"> </w:t>
      </w:r>
      <w:r w:rsidR="000A2FB4">
        <w:rPr>
          <w:lang w:val="fr-FR"/>
        </w:rPr>
        <w:t>d’</w:t>
      </w:r>
      <w:r w:rsidR="004C7356" w:rsidRPr="003D3F80">
        <w:rPr>
          <w:lang w:val="fr-FR"/>
        </w:rPr>
        <w:t>accroître l</w:t>
      </w:r>
      <w:r w:rsidR="001051C0">
        <w:rPr>
          <w:lang w:val="fr-FR"/>
        </w:rPr>
        <w:t>’</w:t>
      </w:r>
      <w:r w:rsidR="004C7356" w:rsidRPr="003D3F80">
        <w:rPr>
          <w:lang w:val="fr-FR"/>
        </w:rPr>
        <w:t xml:space="preserve">efficacité de cette aide </w:t>
      </w:r>
      <w:r w:rsidR="00877A8C" w:rsidRPr="003D3F80">
        <w:rPr>
          <w:lang w:val="fr-FR"/>
        </w:rPr>
        <w:t>e</w:t>
      </w:r>
      <w:r w:rsidR="004C7356" w:rsidRPr="003D3F80">
        <w:rPr>
          <w:lang w:val="fr-FR"/>
        </w:rPr>
        <w:t xml:space="preserve">t </w:t>
      </w:r>
      <w:r w:rsidR="000A2FB4">
        <w:rPr>
          <w:lang w:val="fr-FR"/>
        </w:rPr>
        <w:t xml:space="preserve">de </w:t>
      </w:r>
      <w:r w:rsidR="00877A8C" w:rsidRPr="003D3F80">
        <w:rPr>
          <w:lang w:val="fr-FR"/>
        </w:rPr>
        <w:t>mieux harmoniser</w:t>
      </w:r>
      <w:r w:rsidR="004C7356" w:rsidRPr="003D3F80">
        <w:rPr>
          <w:lang w:val="fr-FR"/>
        </w:rPr>
        <w:t xml:space="preserve"> l</w:t>
      </w:r>
      <w:r w:rsidR="001051C0">
        <w:rPr>
          <w:lang w:val="fr-FR"/>
        </w:rPr>
        <w:t>’</w:t>
      </w:r>
      <w:r w:rsidR="004C7356" w:rsidRPr="003D3F80">
        <w:rPr>
          <w:lang w:val="fr-FR"/>
        </w:rPr>
        <w:t xml:space="preserve">action </w:t>
      </w:r>
      <w:r w:rsidR="00877A8C" w:rsidRPr="003D3F80">
        <w:rPr>
          <w:lang w:val="fr-FR"/>
        </w:rPr>
        <w:t xml:space="preserve">des </w:t>
      </w:r>
      <w:r w:rsidR="004C7356" w:rsidRPr="003D3F80">
        <w:rPr>
          <w:lang w:val="fr-FR"/>
        </w:rPr>
        <w:t>bailleurs de fonds, on s</w:t>
      </w:r>
      <w:r w:rsidR="001051C0">
        <w:rPr>
          <w:lang w:val="fr-FR"/>
        </w:rPr>
        <w:t>’</w:t>
      </w:r>
      <w:r w:rsidR="004C7356" w:rsidRPr="003D3F80">
        <w:rPr>
          <w:lang w:val="fr-FR"/>
        </w:rPr>
        <w:t xml:space="preserve">est employé à éliminer et harmoniser les approches du développement </w:t>
      </w:r>
      <w:r w:rsidR="000A2FB4">
        <w:rPr>
          <w:lang w:val="fr-FR"/>
        </w:rPr>
        <w:t xml:space="preserve">durable </w:t>
      </w:r>
      <w:r w:rsidR="004F1770">
        <w:rPr>
          <w:lang w:val="fr-FR"/>
        </w:rPr>
        <w:t>au</w:t>
      </w:r>
      <w:r w:rsidR="000A2FB4">
        <w:rPr>
          <w:lang w:val="fr-FR"/>
        </w:rPr>
        <w:t xml:space="preserve"> plan environnemental et social</w:t>
      </w:r>
      <w:r w:rsidR="004C7356" w:rsidRPr="003D3F80">
        <w:rPr>
          <w:lang w:val="fr-FR"/>
        </w:rPr>
        <w:t xml:space="preserve"> </w:t>
      </w:r>
      <w:r w:rsidR="000A2FB4">
        <w:rPr>
          <w:lang w:val="fr-FR"/>
        </w:rPr>
        <w:t xml:space="preserve">ainsi que </w:t>
      </w:r>
      <w:r w:rsidR="004C7356" w:rsidRPr="003D3F80">
        <w:rPr>
          <w:lang w:val="fr-FR"/>
        </w:rPr>
        <w:t xml:space="preserve">les instruments des partenaires </w:t>
      </w:r>
      <w:r w:rsidR="000A2FB4">
        <w:rPr>
          <w:lang w:val="fr-FR"/>
        </w:rPr>
        <w:t xml:space="preserve">de développement </w:t>
      </w:r>
      <w:r w:rsidR="004C7356" w:rsidRPr="003D3F80">
        <w:rPr>
          <w:lang w:val="fr-FR"/>
        </w:rPr>
        <w:t>avec les dispositifs des pays emprunteurs, ainsi qu</w:t>
      </w:r>
      <w:r w:rsidR="001051C0">
        <w:rPr>
          <w:lang w:val="fr-FR"/>
        </w:rPr>
        <w:t>’</w:t>
      </w:r>
      <w:r w:rsidR="004C7356" w:rsidRPr="003D3F80">
        <w:rPr>
          <w:lang w:val="fr-FR"/>
        </w:rPr>
        <w:t xml:space="preserve">il ressort de la Déclaration de Paris </w:t>
      </w:r>
      <w:r w:rsidR="00AD5C00" w:rsidRPr="003D3F80">
        <w:rPr>
          <w:lang w:val="fr-FR"/>
        </w:rPr>
        <w:t>(2005)</w:t>
      </w:r>
      <w:r w:rsidR="00E53177" w:rsidRPr="003D3F80">
        <w:rPr>
          <w:vertAlign w:val="superscript"/>
          <w:lang w:val="fr-FR"/>
        </w:rPr>
        <w:footnoteReference w:id="6"/>
      </w:r>
      <w:r w:rsidR="00AD5C00" w:rsidRPr="003D3F80">
        <w:rPr>
          <w:lang w:val="fr-FR"/>
        </w:rPr>
        <w:t xml:space="preserve"> </w:t>
      </w:r>
      <w:r w:rsidR="00BA3785" w:rsidRPr="003D3F80">
        <w:rPr>
          <w:lang w:val="fr-FR"/>
        </w:rPr>
        <w:t>et du Programme d</w:t>
      </w:r>
      <w:r w:rsidR="001051C0">
        <w:rPr>
          <w:lang w:val="fr-FR"/>
        </w:rPr>
        <w:t>’</w:t>
      </w:r>
      <w:r w:rsidR="00BA3785" w:rsidRPr="003D3F80">
        <w:rPr>
          <w:lang w:val="fr-FR"/>
        </w:rPr>
        <w:t>action d</w:t>
      </w:r>
      <w:r w:rsidR="001051C0">
        <w:rPr>
          <w:lang w:val="fr-FR"/>
        </w:rPr>
        <w:t>’</w:t>
      </w:r>
      <w:r w:rsidR="00BA3785" w:rsidRPr="003D3F80">
        <w:rPr>
          <w:lang w:val="fr-FR"/>
        </w:rPr>
        <w:t xml:space="preserve">Accra </w:t>
      </w:r>
      <w:r w:rsidR="00AD5C00" w:rsidRPr="003D3F80">
        <w:rPr>
          <w:lang w:val="fr-FR"/>
        </w:rPr>
        <w:t>(2008)</w:t>
      </w:r>
      <w:r w:rsidR="00C32A25" w:rsidRPr="003D3F80">
        <w:rPr>
          <w:rStyle w:val="FootnoteReference"/>
          <w:lang w:val="fr-FR"/>
        </w:rPr>
        <w:footnoteReference w:id="7"/>
      </w:r>
      <w:r w:rsidR="00BA3785" w:rsidRPr="003D3F80">
        <w:rPr>
          <w:lang w:val="fr-FR"/>
        </w:rPr>
        <w:t>, et que le confirme le Forum de haut niveau de Busan sur l</w:t>
      </w:r>
      <w:r w:rsidR="001051C0">
        <w:rPr>
          <w:lang w:val="fr-FR"/>
        </w:rPr>
        <w:t>’</w:t>
      </w:r>
      <w:r w:rsidR="00BA3785" w:rsidRPr="003D3F80">
        <w:rPr>
          <w:lang w:val="fr-FR"/>
        </w:rPr>
        <w:t>efficacité de l</w:t>
      </w:r>
      <w:r w:rsidR="001051C0">
        <w:rPr>
          <w:lang w:val="fr-FR"/>
        </w:rPr>
        <w:t>’</w:t>
      </w:r>
      <w:r w:rsidR="00BA3785" w:rsidRPr="003D3F80">
        <w:rPr>
          <w:lang w:val="fr-FR"/>
        </w:rPr>
        <w:t xml:space="preserve">aide </w:t>
      </w:r>
      <w:r w:rsidR="00AD5C00" w:rsidRPr="003D3F80">
        <w:rPr>
          <w:lang w:val="fr-FR"/>
        </w:rPr>
        <w:t>(2011)</w:t>
      </w:r>
      <w:r w:rsidR="000F262B" w:rsidRPr="003D3F80">
        <w:rPr>
          <w:rStyle w:val="FootnoteReference"/>
          <w:lang w:val="fr-FR"/>
        </w:rPr>
        <w:footnoteReference w:id="8"/>
      </w:r>
      <w:r w:rsidR="00BA3785" w:rsidRPr="003D3F80">
        <w:rPr>
          <w:lang w:val="fr-FR"/>
        </w:rPr>
        <w:t>.</w:t>
      </w:r>
      <w:r w:rsidR="0095163E" w:rsidRPr="003D3F80">
        <w:rPr>
          <w:lang w:val="fr-FR"/>
        </w:rPr>
        <w:t xml:space="preserve"> </w:t>
      </w:r>
      <w:r w:rsidR="00877A8C" w:rsidRPr="003D3F80">
        <w:rPr>
          <w:lang w:val="fr-FR"/>
        </w:rPr>
        <w:t xml:space="preserve">La Banque a également relevé ces nouveaux défis du développement </w:t>
      </w:r>
      <w:r w:rsidR="000A2FB4">
        <w:rPr>
          <w:lang w:val="fr-FR"/>
        </w:rPr>
        <w:t xml:space="preserve">durable </w:t>
      </w:r>
      <w:r w:rsidR="004F1770">
        <w:rPr>
          <w:lang w:val="fr-FR"/>
        </w:rPr>
        <w:t>au</w:t>
      </w:r>
      <w:r w:rsidR="000A2FB4">
        <w:rPr>
          <w:lang w:val="fr-FR"/>
        </w:rPr>
        <w:t xml:space="preserve"> plan environnemental et social</w:t>
      </w:r>
      <w:r w:rsidR="00877A8C" w:rsidRPr="003D3F80">
        <w:rPr>
          <w:lang w:val="fr-FR"/>
        </w:rPr>
        <w:t xml:space="preserve"> en adoptant un programme pilote d</w:t>
      </w:r>
      <w:r w:rsidR="001051C0">
        <w:rPr>
          <w:lang w:val="fr-FR"/>
        </w:rPr>
        <w:t>’</w:t>
      </w:r>
      <w:r w:rsidR="00877A8C" w:rsidRPr="003D3F80">
        <w:rPr>
          <w:lang w:val="fr-FR"/>
        </w:rPr>
        <w:t xml:space="preserve">utilisation des </w:t>
      </w:r>
      <w:r w:rsidR="000A2FB4">
        <w:rPr>
          <w:lang w:val="fr-FR"/>
        </w:rPr>
        <w:t>systèmes</w:t>
      </w:r>
      <w:r w:rsidR="00877A8C" w:rsidRPr="003D3F80">
        <w:rPr>
          <w:lang w:val="fr-FR"/>
        </w:rPr>
        <w:t xml:space="preserve"> des pays emprunteurs</w:t>
      </w:r>
      <w:r w:rsidR="008E6047" w:rsidRPr="003D3F80">
        <w:rPr>
          <w:vertAlign w:val="superscript"/>
          <w:lang w:val="fr-FR"/>
        </w:rPr>
        <w:footnoteReference w:id="9"/>
      </w:r>
      <w:r w:rsidR="000A2FB4">
        <w:rPr>
          <w:lang w:val="fr-FR"/>
        </w:rPr>
        <w:t>.</w:t>
      </w:r>
      <w:r w:rsidR="0095163E" w:rsidRPr="003D3F80">
        <w:rPr>
          <w:lang w:val="fr-FR"/>
        </w:rPr>
        <w:t xml:space="preserve"> </w:t>
      </w:r>
      <w:r w:rsidR="005848E7" w:rsidRPr="003D3F80">
        <w:rPr>
          <w:lang w:val="fr-FR"/>
        </w:rPr>
        <w:t xml:space="preserve">Il </w:t>
      </w:r>
      <w:r w:rsidR="00877A8C" w:rsidRPr="003D3F80">
        <w:rPr>
          <w:lang w:val="fr-FR"/>
        </w:rPr>
        <w:t>s</w:t>
      </w:r>
      <w:r w:rsidR="001051C0">
        <w:rPr>
          <w:lang w:val="fr-FR"/>
        </w:rPr>
        <w:t>’</w:t>
      </w:r>
      <w:r w:rsidR="00877A8C" w:rsidRPr="003D3F80">
        <w:rPr>
          <w:lang w:val="fr-FR"/>
        </w:rPr>
        <w:t xml:space="preserve">agit ici </w:t>
      </w:r>
      <w:r w:rsidR="00CD1F23" w:rsidRPr="003D3F80">
        <w:rPr>
          <w:lang w:val="fr-FR"/>
        </w:rPr>
        <w:t>de s</w:t>
      </w:r>
      <w:r w:rsidR="001051C0">
        <w:rPr>
          <w:lang w:val="fr-FR"/>
        </w:rPr>
        <w:t>’</w:t>
      </w:r>
      <w:r w:rsidR="00CD1F23" w:rsidRPr="003D3F80">
        <w:rPr>
          <w:lang w:val="fr-FR"/>
        </w:rPr>
        <w:t xml:space="preserve">en remettre aux cadres et institutions juridiques des pays emprunteurs pour </w:t>
      </w:r>
      <w:r w:rsidR="005848E7" w:rsidRPr="003D3F80">
        <w:rPr>
          <w:lang w:val="fr-FR"/>
        </w:rPr>
        <w:t xml:space="preserve">traiter des questions </w:t>
      </w:r>
      <w:r w:rsidR="00CD1F23" w:rsidRPr="003D3F80">
        <w:rPr>
          <w:lang w:val="fr-FR"/>
        </w:rPr>
        <w:t>couvertes par les politiques de sauvegarde pendant la conception et de l</w:t>
      </w:r>
      <w:r w:rsidR="001051C0">
        <w:rPr>
          <w:lang w:val="fr-FR"/>
        </w:rPr>
        <w:t>’</w:t>
      </w:r>
      <w:r w:rsidR="00CD1F23" w:rsidRPr="003D3F80">
        <w:rPr>
          <w:lang w:val="fr-FR"/>
        </w:rPr>
        <w:t>exécution des projets</w:t>
      </w:r>
      <w:r w:rsidR="005848E7" w:rsidRPr="003D3F80">
        <w:rPr>
          <w:lang w:val="fr-FR"/>
        </w:rPr>
        <w:t>,</w:t>
      </w:r>
      <w:r w:rsidR="00CD1F23" w:rsidRPr="003D3F80">
        <w:rPr>
          <w:lang w:val="fr-FR"/>
        </w:rPr>
        <w:t xml:space="preserve"> </w:t>
      </w:r>
      <w:r w:rsidR="005848E7" w:rsidRPr="003D3F80">
        <w:rPr>
          <w:lang w:val="fr-FR"/>
        </w:rPr>
        <w:t xml:space="preserve">lorsque </w:t>
      </w:r>
      <w:r w:rsidR="00CD1F23" w:rsidRPr="003D3F80">
        <w:rPr>
          <w:lang w:val="fr-FR"/>
        </w:rPr>
        <w:t xml:space="preserve">la Banque juge que ces dispositifs couvrent </w:t>
      </w:r>
      <w:r w:rsidR="005848E7" w:rsidRPr="003D3F80">
        <w:rPr>
          <w:lang w:val="fr-FR"/>
        </w:rPr>
        <w:t xml:space="preserve">un champ comparable </w:t>
      </w:r>
      <w:r w:rsidR="00CD1F23" w:rsidRPr="003D3F80">
        <w:rPr>
          <w:lang w:val="fr-FR"/>
        </w:rPr>
        <w:t xml:space="preserve">et sont applicables. </w:t>
      </w:r>
      <w:r w:rsidR="005848E7" w:rsidRPr="003D3F80">
        <w:rPr>
          <w:lang w:val="fr-FR"/>
        </w:rPr>
        <w:t xml:space="preserve">Ciblant initialement </w:t>
      </w:r>
      <w:r w:rsidR="000A2FB4">
        <w:rPr>
          <w:lang w:val="fr-FR"/>
        </w:rPr>
        <w:t>d</w:t>
      </w:r>
      <w:r w:rsidR="005848E7" w:rsidRPr="003D3F80">
        <w:rPr>
          <w:lang w:val="fr-FR"/>
        </w:rPr>
        <w:t>es projets isolés, ces opérations pilotes ont ensuite été étendues aux programmes sectoriels</w:t>
      </w:r>
      <w:r w:rsidR="0078156C" w:rsidRPr="003D3F80">
        <w:rPr>
          <w:lang w:val="fr-FR"/>
        </w:rPr>
        <w:t xml:space="preserve">. La </w:t>
      </w:r>
      <w:r w:rsidR="005848E7" w:rsidRPr="003D3F80">
        <w:rPr>
          <w:lang w:val="fr-FR"/>
        </w:rPr>
        <w:t>Banque a aujourd</w:t>
      </w:r>
      <w:r w:rsidR="001051C0">
        <w:rPr>
          <w:lang w:val="fr-FR"/>
        </w:rPr>
        <w:t>’</w:t>
      </w:r>
      <w:r w:rsidR="005848E7" w:rsidRPr="003D3F80">
        <w:rPr>
          <w:lang w:val="fr-FR"/>
        </w:rPr>
        <w:t xml:space="preserve">hui </w:t>
      </w:r>
      <w:r w:rsidR="00263CC6">
        <w:rPr>
          <w:lang w:val="fr-FR"/>
        </w:rPr>
        <w:t xml:space="preserve">mis en place </w:t>
      </w:r>
      <w:r w:rsidR="005848E7" w:rsidRPr="003D3F80">
        <w:rPr>
          <w:lang w:val="fr-FR"/>
        </w:rPr>
        <w:t>de solides méthodes d</w:t>
      </w:r>
      <w:r w:rsidR="001051C0">
        <w:rPr>
          <w:lang w:val="fr-FR"/>
        </w:rPr>
        <w:t>’</w:t>
      </w:r>
      <w:r w:rsidR="005848E7" w:rsidRPr="003D3F80">
        <w:rPr>
          <w:lang w:val="fr-FR"/>
        </w:rPr>
        <w:t xml:space="preserve">examen des </w:t>
      </w:r>
      <w:r w:rsidR="00263CC6">
        <w:rPr>
          <w:lang w:val="fr-FR"/>
        </w:rPr>
        <w:t>systèmes</w:t>
      </w:r>
      <w:r w:rsidR="005848E7" w:rsidRPr="003D3F80">
        <w:rPr>
          <w:lang w:val="fr-FR"/>
        </w:rPr>
        <w:t xml:space="preserve"> nationaux. Les enseignements tirés de ce programme pilote</w:t>
      </w:r>
      <w:r w:rsidR="0078156C" w:rsidRPr="003D3F80">
        <w:rPr>
          <w:lang w:val="fr-FR"/>
        </w:rPr>
        <w:t>,</w:t>
      </w:r>
      <w:r w:rsidR="005848E7" w:rsidRPr="003D3F80">
        <w:rPr>
          <w:lang w:val="fr-FR"/>
        </w:rPr>
        <w:t xml:space="preserve"> parallèlement au travail de la Banque asiatique de développement </w:t>
      </w:r>
      <w:r w:rsidR="0078156C" w:rsidRPr="003D3F80">
        <w:rPr>
          <w:lang w:val="fr-FR"/>
        </w:rPr>
        <w:t>dans ce domaine</w:t>
      </w:r>
      <w:r w:rsidR="005848E7" w:rsidRPr="003D3F80">
        <w:rPr>
          <w:lang w:val="fr-FR"/>
        </w:rPr>
        <w:t>, nourrissent la réflexion de l</w:t>
      </w:r>
      <w:r w:rsidR="001051C0">
        <w:rPr>
          <w:lang w:val="fr-FR"/>
        </w:rPr>
        <w:t>’</w:t>
      </w:r>
      <w:r w:rsidR="005848E7" w:rsidRPr="003D3F80">
        <w:rPr>
          <w:lang w:val="fr-FR"/>
        </w:rPr>
        <w:t>institution sur la façon d</w:t>
      </w:r>
      <w:r w:rsidR="001051C0">
        <w:rPr>
          <w:lang w:val="fr-FR"/>
        </w:rPr>
        <w:t>’</w:t>
      </w:r>
      <w:r w:rsidR="005848E7" w:rsidRPr="003D3F80">
        <w:rPr>
          <w:lang w:val="fr-FR"/>
        </w:rPr>
        <w:t xml:space="preserve">aider les emprunteurs à renforcer leurs institutions et </w:t>
      </w:r>
      <w:r w:rsidR="00263CC6">
        <w:rPr>
          <w:lang w:val="fr-FR"/>
        </w:rPr>
        <w:t>systèmes</w:t>
      </w:r>
      <w:r w:rsidR="005848E7" w:rsidRPr="003D3F80">
        <w:rPr>
          <w:lang w:val="fr-FR"/>
        </w:rPr>
        <w:t xml:space="preserve"> nationaux.</w:t>
      </w:r>
    </w:p>
    <w:p w:rsidR="002508ED" w:rsidRPr="003D3F80" w:rsidRDefault="0078156C" w:rsidP="00A90205">
      <w:pPr>
        <w:pStyle w:val="ippara2"/>
        <w:widowControl/>
        <w:spacing w:after="200" w:line="276" w:lineRule="auto"/>
        <w:ind w:left="0" w:firstLine="0"/>
        <w:jc w:val="both"/>
        <w:rPr>
          <w:lang w:val="fr-FR"/>
        </w:rPr>
      </w:pPr>
      <w:r w:rsidRPr="003D3F80">
        <w:rPr>
          <w:b/>
          <w:i/>
          <w:lang w:val="fr-FR"/>
        </w:rPr>
        <w:t>Évolution du contexte externe</w:t>
      </w:r>
      <w:r w:rsidR="00EA1F93" w:rsidRPr="003D3F80">
        <w:rPr>
          <w:b/>
          <w:i/>
          <w:lang w:val="fr-FR"/>
        </w:rPr>
        <w:t>.</w:t>
      </w:r>
      <w:r w:rsidR="00467DFC" w:rsidRPr="003D3F80">
        <w:rPr>
          <w:lang w:val="fr-FR"/>
        </w:rPr>
        <w:t xml:space="preserve"> </w:t>
      </w:r>
      <w:r w:rsidRPr="003D3F80">
        <w:rPr>
          <w:lang w:val="fr-FR"/>
        </w:rPr>
        <w:t>On assiste depuis une vingtaine d</w:t>
      </w:r>
      <w:r w:rsidR="001051C0">
        <w:rPr>
          <w:lang w:val="fr-FR"/>
        </w:rPr>
        <w:t>’</w:t>
      </w:r>
      <w:r w:rsidRPr="003D3F80">
        <w:rPr>
          <w:lang w:val="fr-FR"/>
        </w:rPr>
        <w:t>années à une prise de conscience progressive de la valeur et de la vulnérabilité du patrimoine commun de l</w:t>
      </w:r>
      <w:r w:rsidR="001051C0">
        <w:rPr>
          <w:lang w:val="fr-FR"/>
        </w:rPr>
        <w:t>’</w:t>
      </w:r>
      <w:r w:rsidRPr="003D3F80">
        <w:rPr>
          <w:lang w:val="fr-FR"/>
        </w:rPr>
        <w:t xml:space="preserve">humanité (atmosphère et océans, notamment) et </w:t>
      </w:r>
      <w:r w:rsidR="00DA7FDD" w:rsidRPr="003D3F80">
        <w:rPr>
          <w:lang w:val="fr-FR"/>
        </w:rPr>
        <w:t xml:space="preserve">des </w:t>
      </w:r>
      <w:r w:rsidRPr="003D3F80">
        <w:rPr>
          <w:lang w:val="fr-FR"/>
        </w:rPr>
        <w:t xml:space="preserve">biens publics mondiaux tels que la biodiversité. Si des progrès ont été réalisés au niveau national, les dirigeants et les décideurs peinent à relever les défis </w:t>
      </w:r>
      <w:r w:rsidR="007E02AE" w:rsidRPr="003D3F80">
        <w:rPr>
          <w:lang w:val="fr-FR"/>
        </w:rPr>
        <w:t>environnementaux et sociaux au niveau mondial ou régional, et à trouver les moyens d</w:t>
      </w:r>
      <w:r w:rsidR="001051C0">
        <w:rPr>
          <w:lang w:val="fr-FR"/>
        </w:rPr>
        <w:t>’</w:t>
      </w:r>
      <w:r w:rsidR="007E02AE" w:rsidRPr="003D3F80">
        <w:rPr>
          <w:lang w:val="fr-FR"/>
        </w:rPr>
        <w:t xml:space="preserve">intégrer </w:t>
      </w:r>
      <w:r w:rsidR="00263CC6">
        <w:rPr>
          <w:lang w:val="fr-FR"/>
        </w:rPr>
        <w:t>les questions environnementales et sociales</w:t>
      </w:r>
      <w:r w:rsidR="007E02AE" w:rsidRPr="003D3F80">
        <w:rPr>
          <w:lang w:val="fr-FR"/>
        </w:rPr>
        <w:t xml:space="preserve"> </w:t>
      </w:r>
      <w:r w:rsidR="00263CC6">
        <w:rPr>
          <w:lang w:val="fr-FR"/>
        </w:rPr>
        <w:t>dans des</w:t>
      </w:r>
      <w:r w:rsidR="007E02AE" w:rsidRPr="003D3F80">
        <w:rPr>
          <w:lang w:val="fr-FR"/>
        </w:rPr>
        <w:t xml:space="preserve"> décisions et actions plurinationales. Le changement climatique, en particulier, </w:t>
      </w:r>
      <w:r w:rsidR="00DA1F6E" w:rsidRPr="003D3F80">
        <w:rPr>
          <w:lang w:val="fr-FR"/>
        </w:rPr>
        <w:t>a des effets de plus en plus négatifs sur le développement, contribuant à l</w:t>
      </w:r>
      <w:r w:rsidR="001051C0">
        <w:rPr>
          <w:lang w:val="fr-FR"/>
        </w:rPr>
        <w:t>’</w:t>
      </w:r>
      <w:r w:rsidR="00DA1F6E" w:rsidRPr="003D3F80">
        <w:rPr>
          <w:lang w:val="fr-FR"/>
        </w:rPr>
        <w:t>instabilité</w:t>
      </w:r>
      <w:r w:rsidR="00547568">
        <w:rPr>
          <w:lang w:val="fr-FR"/>
        </w:rPr>
        <w:t xml:space="preserve"> du temps </w:t>
      </w:r>
      <w:r w:rsidR="00DA1F6E" w:rsidRPr="003D3F80">
        <w:rPr>
          <w:lang w:val="fr-FR"/>
        </w:rPr>
        <w:t xml:space="preserve">et </w:t>
      </w:r>
      <w:r w:rsidR="00375F08" w:rsidRPr="003D3F80">
        <w:rPr>
          <w:lang w:val="fr-FR"/>
        </w:rPr>
        <w:t xml:space="preserve">à </w:t>
      </w:r>
      <w:r w:rsidR="00DA1F6E" w:rsidRPr="003D3F80">
        <w:rPr>
          <w:lang w:val="fr-FR"/>
        </w:rPr>
        <w:t>un accroissement des catastrophes naturelles comme les inondations et les épisodes de sécheresse. Cette situation crée également une instabilité des marchés des denrées alimentaires et menace</w:t>
      </w:r>
      <w:r w:rsidR="00A4753B">
        <w:rPr>
          <w:lang w:val="fr-FR"/>
        </w:rPr>
        <w:t>nt</w:t>
      </w:r>
      <w:r w:rsidR="00DA1F6E" w:rsidRPr="003D3F80">
        <w:rPr>
          <w:lang w:val="fr-FR"/>
        </w:rPr>
        <w:t xml:space="preserve"> </w:t>
      </w:r>
      <w:r w:rsidR="00A4753B">
        <w:rPr>
          <w:lang w:val="fr-FR"/>
        </w:rPr>
        <w:t>l</w:t>
      </w:r>
      <w:r w:rsidR="00DA7FDD" w:rsidRPr="003D3F80">
        <w:rPr>
          <w:lang w:val="fr-FR"/>
        </w:rPr>
        <w:t xml:space="preserve">es </w:t>
      </w:r>
      <w:r w:rsidR="00DA1F6E" w:rsidRPr="003D3F80">
        <w:rPr>
          <w:lang w:val="fr-FR"/>
        </w:rPr>
        <w:t xml:space="preserve">populations </w:t>
      </w:r>
      <w:r w:rsidR="00A4753B">
        <w:rPr>
          <w:lang w:val="fr-FR"/>
        </w:rPr>
        <w:t xml:space="preserve">qui sont </w:t>
      </w:r>
      <w:r w:rsidR="00DA1F6E" w:rsidRPr="003D3F80">
        <w:rPr>
          <w:lang w:val="fr-FR"/>
        </w:rPr>
        <w:t xml:space="preserve">déjà marginalisées ou vulnérables. Les questions liées au </w:t>
      </w:r>
      <w:r w:rsidR="00A4753B">
        <w:rPr>
          <w:lang w:val="fr-FR"/>
        </w:rPr>
        <w:t>foncier</w:t>
      </w:r>
      <w:r w:rsidR="00DA1F6E" w:rsidRPr="003D3F80">
        <w:rPr>
          <w:lang w:val="fr-FR"/>
        </w:rPr>
        <w:t xml:space="preserve">, </w:t>
      </w:r>
      <w:r w:rsidR="00375F08" w:rsidRPr="003D3F80">
        <w:rPr>
          <w:lang w:val="fr-FR"/>
        </w:rPr>
        <w:t xml:space="preserve">aux </w:t>
      </w:r>
      <w:r w:rsidR="00DA1F6E" w:rsidRPr="003D3F80">
        <w:rPr>
          <w:lang w:val="fr-FR"/>
        </w:rPr>
        <w:t xml:space="preserve">ressources naturelles et aux écosystèmes, </w:t>
      </w:r>
      <w:r w:rsidR="00375F08" w:rsidRPr="003D3F80">
        <w:rPr>
          <w:lang w:val="fr-FR"/>
        </w:rPr>
        <w:t>l</w:t>
      </w:r>
      <w:r w:rsidR="001051C0">
        <w:rPr>
          <w:lang w:val="fr-FR"/>
        </w:rPr>
        <w:t>’</w:t>
      </w:r>
      <w:r w:rsidR="00375F08" w:rsidRPr="003D3F80">
        <w:rPr>
          <w:lang w:val="fr-FR"/>
        </w:rPr>
        <w:t xml:space="preserve">urbanisation, les migrations forcées ou provoquées par </w:t>
      </w:r>
      <w:r w:rsidR="00A4753B">
        <w:rPr>
          <w:lang w:val="fr-FR"/>
        </w:rPr>
        <w:t>des</w:t>
      </w:r>
      <w:r w:rsidR="00375F08" w:rsidRPr="003D3F80">
        <w:rPr>
          <w:lang w:val="fr-FR"/>
        </w:rPr>
        <w:t xml:space="preserve"> </w:t>
      </w:r>
      <w:r w:rsidR="00A4753B">
        <w:rPr>
          <w:lang w:val="fr-FR"/>
        </w:rPr>
        <w:t>facteurs</w:t>
      </w:r>
      <w:r w:rsidR="00375F08" w:rsidRPr="003D3F80">
        <w:rPr>
          <w:lang w:val="fr-FR"/>
        </w:rPr>
        <w:t xml:space="preserve"> économique</w:t>
      </w:r>
      <w:r w:rsidR="00A4753B">
        <w:rPr>
          <w:lang w:val="fr-FR"/>
        </w:rPr>
        <w:t>s</w:t>
      </w:r>
      <w:r w:rsidR="00375F08" w:rsidRPr="003D3F80">
        <w:rPr>
          <w:lang w:val="fr-FR"/>
        </w:rPr>
        <w:t xml:space="preserve">, </w:t>
      </w:r>
      <w:r w:rsidR="00375F08" w:rsidRPr="003D3F80">
        <w:rPr>
          <w:lang w:val="fr-FR"/>
        </w:rPr>
        <w:lastRenderedPageBreak/>
        <w:t>la marginalisation et les inégalités, la crise alimentaire et énergétique ne sont que quelques-unes des grandes questions auxquelles les projets et programmes de la Banque sont aujourd</w:t>
      </w:r>
      <w:r w:rsidR="001051C0">
        <w:rPr>
          <w:lang w:val="fr-FR"/>
        </w:rPr>
        <w:t>’</w:t>
      </w:r>
      <w:r w:rsidR="00375F08" w:rsidRPr="003D3F80">
        <w:rPr>
          <w:lang w:val="fr-FR"/>
        </w:rPr>
        <w:t xml:space="preserve">hui confrontés. Ces graves problèmes font peser un risque important sur le développement </w:t>
      </w:r>
      <w:r w:rsidR="003C48C8" w:rsidRPr="003D3F80">
        <w:rPr>
          <w:lang w:val="fr-FR"/>
        </w:rPr>
        <w:t>pour les décennies à venir. L</w:t>
      </w:r>
      <w:r w:rsidR="001051C0">
        <w:rPr>
          <w:lang w:val="fr-FR"/>
        </w:rPr>
        <w:t>’</w:t>
      </w:r>
      <w:r w:rsidR="003C48C8" w:rsidRPr="003D3F80">
        <w:rPr>
          <w:lang w:val="fr-FR"/>
        </w:rPr>
        <w:t xml:space="preserve">examen et la mise à jour des politiques de sauvegarde en tiendront compte. </w:t>
      </w:r>
    </w:p>
    <w:p w:rsidR="002508ED" w:rsidRPr="003D3F80" w:rsidRDefault="003C48C8" w:rsidP="00A90205">
      <w:pPr>
        <w:pStyle w:val="ippara2"/>
        <w:widowControl/>
        <w:spacing w:after="200" w:line="276" w:lineRule="auto"/>
        <w:ind w:left="0" w:firstLine="0"/>
        <w:jc w:val="both"/>
        <w:rPr>
          <w:lang w:val="fr-FR"/>
        </w:rPr>
      </w:pPr>
      <w:r w:rsidRPr="003D3F80">
        <w:rPr>
          <w:b/>
          <w:i/>
          <w:lang w:val="fr-FR"/>
        </w:rPr>
        <w:t>Évolution des opérations de la Banque</w:t>
      </w:r>
      <w:r w:rsidR="00EA1F93" w:rsidRPr="003D3F80">
        <w:rPr>
          <w:b/>
          <w:i/>
          <w:lang w:val="fr-FR"/>
        </w:rPr>
        <w:t>.</w:t>
      </w:r>
      <w:r w:rsidR="00467DFC" w:rsidRPr="003D3F80">
        <w:rPr>
          <w:lang w:val="fr-FR"/>
        </w:rPr>
        <w:t xml:space="preserve"> </w:t>
      </w:r>
      <w:r w:rsidRPr="003D3F80">
        <w:rPr>
          <w:lang w:val="fr-FR"/>
        </w:rPr>
        <w:t xml:space="preserve">Au cours des dix dernières années, le type de projets et programmes que la Banque </w:t>
      </w:r>
      <w:r w:rsidR="00A4753B">
        <w:rPr>
          <w:lang w:val="fr-FR"/>
        </w:rPr>
        <w:t xml:space="preserve">finance </w:t>
      </w:r>
      <w:r w:rsidRPr="003D3F80">
        <w:rPr>
          <w:lang w:val="fr-FR"/>
        </w:rPr>
        <w:t xml:space="preserve">et </w:t>
      </w:r>
      <w:r w:rsidR="002C34EF" w:rsidRPr="003D3F80">
        <w:rPr>
          <w:lang w:val="fr-FR"/>
        </w:rPr>
        <w:t xml:space="preserve">la gamme des </w:t>
      </w:r>
      <w:r w:rsidRPr="003D3F80">
        <w:rPr>
          <w:lang w:val="fr-FR"/>
        </w:rPr>
        <w:t>instruments financiers qu</w:t>
      </w:r>
      <w:r w:rsidR="001051C0">
        <w:rPr>
          <w:lang w:val="fr-FR"/>
        </w:rPr>
        <w:t>’</w:t>
      </w:r>
      <w:r w:rsidRPr="003D3F80">
        <w:rPr>
          <w:lang w:val="fr-FR"/>
        </w:rPr>
        <w:t>elle utilise ont beaucoup changé. Outre les prêts d</w:t>
      </w:r>
      <w:r w:rsidR="001051C0">
        <w:rPr>
          <w:lang w:val="fr-FR"/>
        </w:rPr>
        <w:t>’</w:t>
      </w:r>
      <w:r w:rsidRPr="003D3F80">
        <w:rPr>
          <w:lang w:val="fr-FR"/>
        </w:rPr>
        <w:t>investissement, la Banque propose aujourd</w:t>
      </w:r>
      <w:r w:rsidR="001051C0">
        <w:rPr>
          <w:lang w:val="fr-FR"/>
        </w:rPr>
        <w:t>’</w:t>
      </w:r>
      <w:r w:rsidRPr="003D3F80">
        <w:rPr>
          <w:lang w:val="fr-FR"/>
        </w:rPr>
        <w:t xml:space="preserve">hui à ses emprunteurs des </w:t>
      </w:r>
      <w:r w:rsidR="00E8096F" w:rsidRPr="003D3F80">
        <w:rPr>
          <w:lang w:val="fr-FR"/>
        </w:rPr>
        <w:t xml:space="preserve">DPL (2004) </w:t>
      </w:r>
      <w:r w:rsidR="009D1374" w:rsidRPr="003D3F80">
        <w:rPr>
          <w:lang w:val="fr-FR"/>
        </w:rPr>
        <w:t xml:space="preserve">et des </w:t>
      </w:r>
      <w:r w:rsidR="00E8096F" w:rsidRPr="003D3F80">
        <w:rPr>
          <w:lang w:val="fr-FR"/>
        </w:rPr>
        <w:t>PforR</w:t>
      </w:r>
      <w:r w:rsidR="009D1374" w:rsidRPr="003D3F80">
        <w:rPr>
          <w:lang w:val="fr-FR"/>
        </w:rPr>
        <w:t xml:space="preserve"> (2012). Les prêts d</w:t>
      </w:r>
      <w:r w:rsidR="001051C0">
        <w:rPr>
          <w:lang w:val="fr-FR"/>
        </w:rPr>
        <w:t>’</w:t>
      </w:r>
      <w:r w:rsidR="009D1374" w:rsidRPr="003D3F80">
        <w:rPr>
          <w:lang w:val="fr-FR"/>
        </w:rPr>
        <w:t xml:space="preserve">investissement restent au cœur </w:t>
      </w:r>
      <w:r w:rsidR="00DA7FDD" w:rsidRPr="003D3F80">
        <w:rPr>
          <w:lang w:val="fr-FR"/>
        </w:rPr>
        <w:t xml:space="preserve">de ses </w:t>
      </w:r>
      <w:r w:rsidR="009D1374" w:rsidRPr="003D3F80">
        <w:rPr>
          <w:lang w:val="fr-FR"/>
        </w:rPr>
        <w:t>opérations: au cours des trois dernières années, les opérations d</w:t>
      </w:r>
      <w:r w:rsidR="001051C0">
        <w:rPr>
          <w:lang w:val="fr-FR"/>
        </w:rPr>
        <w:t>’</w:t>
      </w:r>
      <w:r w:rsidR="009D1374" w:rsidRPr="003D3F80">
        <w:rPr>
          <w:lang w:val="fr-FR"/>
        </w:rPr>
        <w:t xml:space="preserve">investissement </w:t>
      </w:r>
      <w:r w:rsidR="002C34EF" w:rsidRPr="003D3F80">
        <w:rPr>
          <w:lang w:val="fr-FR"/>
        </w:rPr>
        <w:t>représentaient</w:t>
      </w:r>
      <w:r w:rsidR="00DA7FDD" w:rsidRPr="003D3F80">
        <w:rPr>
          <w:lang w:val="fr-FR"/>
        </w:rPr>
        <w:t xml:space="preserve"> </w:t>
      </w:r>
      <w:r w:rsidR="009D1374" w:rsidRPr="003D3F80">
        <w:rPr>
          <w:lang w:val="fr-FR"/>
        </w:rPr>
        <w:t>82 % des projets de la Banque et 66 % de ses engagements</w:t>
      </w:r>
      <w:r w:rsidR="00E8096F" w:rsidRPr="003D3F80">
        <w:rPr>
          <w:lang w:val="fr-FR"/>
        </w:rPr>
        <w:t xml:space="preserve"> financiers</w:t>
      </w:r>
      <w:r w:rsidR="009D1374" w:rsidRPr="003D3F80">
        <w:rPr>
          <w:lang w:val="fr-FR"/>
        </w:rPr>
        <w:t>. Cela étant, les emprunteurs utilisent aujourd</w:t>
      </w:r>
      <w:r w:rsidR="001051C0">
        <w:rPr>
          <w:lang w:val="fr-FR"/>
        </w:rPr>
        <w:t>’</w:t>
      </w:r>
      <w:r w:rsidR="009D1374" w:rsidRPr="003D3F80">
        <w:rPr>
          <w:lang w:val="fr-FR"/>
        </w:rPr>
        <w:t>hui les prêts d</w:t>
      </w:r>
      <w:r w:rsidR="001051C0">
        <w:rPr>
          <w:lang w:val="fr-FR"/>
        </w:rPr>
        <w:t>’</w:t>
      </w:r>
      <w:r w:rsidR="009D1374" w:rsidRPr="003D3F80">
        <w:rPr>
          <w:lang w:val="fr-FR"/>
        </w:rPr>
        <w:t>investissement pour toute une gamme d</w:t>
      </w:r>
      <w:r w:rsidR="001051C0">
        <w:rPr>
          <w:lang w:val="fr-FR"/>
        </w:rPr>
        <w:t>’</w:t>
      </w:r>
      <w:r w:rsidR="009D1374" w:rsidRPr="003D3F80">
        <w:rPr>
          <w:lang w:val="fr-FR"/>
        </w:rPr>
        <w:t xml:space="preserve">opérations. </w:t>
      </w:r>
      <w:r w:rsidR="00D9311A" w:rsidRPr="003D3F80">
        <w:rPr>
          <w:lang w:val="fr-FR"/>
        </w:rPr>
        <w:t>Outre l</w:t>
      </w:r>
      <w:r w:rsidR="001051C0">
        <w:rPr>
          <w:lang w:val="fr-FR"/>
        </w:rPr>
        <w:t>’</w:t>
      </w:r>
      <w:r w:rsidR="00D9311A" w:rsidRPr="003D3F80">
        <w:rPr>
          <w:lang w:val="fr-FR"/>
        </w:rPr>
        <w:t>acquisition de biens physiques, tels que les infrastructures, les prêts d</w:t>
      </w:r>
      <w:r w:rsidR="001051C0">
        <w:rPr>
          <w:lang w:val="fr-FR"/>
        </w:rPr>
        <w:t>’</w:t>
      </w:r>
      <w:r w:rsidR="00D9311A" w:rsidRPr="003D3F80">
        <w:rPr>
          <w:lang w:val="fr-FR"/>
        </w:rPr>
        <w:t>investissement financent aussi le renforcement institutionnel, le développement social et l</w:t>
      </w:r>
      <w:r w:rsidR="001051C0">
        <w:rPr>
          <w:lang w:val="fr-FR"/>
        </w:rPr>
        <w:t>’</w:t>
      </w:r>
      <w:r w:rsidR="00D9311A" w:rsidRPr="003D3F80">
        <w:rPr>
          <w:lang w:val="fr-FR"/>
        </w:rPr>
        <w:t xml:space="preserve">amélioration des politiques publiques </w:t>
      </w:r>
      <w:r w:rsidR="00A4753B">
        <w:rPr>
          <w:lang w:val="fr-FR"/>
        </w:rPr>
        <w:t>afin d’a</w:t>
      </w:r>
      <w:r w:rsidR="002C34EF" w:rsidRPr="003D3F80">
        <w:rPr>
          <w:lang w:val="fr-FR"/>
        </w:rPr>
        <w:t xml:space="preserve">ttirer les </w:t>
      </w:r>
      <w:r w:rsidR="00D9311A" w:rsidRPr="003D3F80">
        <w:rPr>
          <w:lang w:val="fr-FR"/>
        </w:rPr>
        <w:t xml:space="preserve">capitaux privés. Grâce à la révision actuelle des procédures applicables </w:t>
      </w:r>
      <w:r w:rsidR="00301291" w:rsidRPr="003D3F80">
        <w:rPr>
          <w:lang w:val="fr-FR"/>
        </w:rPr>
        <w:t xml:space="preserve">à ces </w:t>
      </w:r>
      <w:r w:rsidR="00DA7FDD" w:rsidRPr="003D3F80">
        <w:rPr>
          <w:lang w:val="fr-FR"/>
        </w:rPr>
        <w:t>instruments de prêt</w:t>
      </w:r>
      <w:r w:rsidR="00D9311A" w:rsidRPr="003D3F80">
        <w:rPr>
          <w:lang w:val="fr-FR"/>
        </w:rPr>
        <w:t>, les emprunteurs auront la souplesse nécessaire pour s</w:t>
      </w:r>
      <w:r w:rsidR="001051C0">
        <w:rPr>
          <w:lang w:val="fr-FR"/>
        </w:rPr>
        <w:t>’</w:t>
      </w:r>
      <w:r w:rsidR="00D9311A" w:rsidRPr="003D3F80">
        <w:rPr>
          <w:lang w:val="fr-FR"/>
        </w:rPr>
        <w:t>adapter à différentes situations, les délais d</w:t>
      </w:r>
      <w:r w:rsidR="001051C0">
        <w:rPr>
          <w:lang w:val="fr-FR"/>
        </w:rPr>
        <w:t>’</w:t>
      </w:r>
      <w:r w:rsidR="00D9311A" w:rsidRPr="003D3F80">
        <w:rPr>
          <w:lang w:val="fr-FR"/>
        </w:rPr>
        <w:t>obtention seront plus courts et l</w:t>
      </w:r>
      <w:r w:rsidR="001051C0">
        <w:rPr>
          <w:lang w:val="fr-FR"/>
        </w:rPr>
        <w:t>’</w:t>
      </w:r>
      <w:r w:rsidR="00D9311A" w:rsidRPr="003D3F80">
        <w:rPr>
          <w:lang w:val="fr-FR"/>
        </w:rPr>
        <w:t>effort de développement aura plus d</w:t>
      </w:r>
      <w:r w:rsidR="001051C0">
        <w:rPr>
          <w:lang w:val="fr-FR"/>
        </w:rPr>
        <w:t>’</w:t>
      </w:r>
      <w:r w:rsidR="00D9311A" w:rsidRPr="003D3F80">
        <w:rPr>
          <w:lang w:val="fr-FR"/>
        </w:rPr>
        <w:t>impact</w:t>
      </w:r>
      <w:r w:rsidR="008F28C5" w:rsidRPr="003D3F80">
        <w:rPr>
          <w:vertAlign w:val="superscript"/>
          <w:lang w:val="fr-FR"/>
        </w:rPr>
        <w:footnoteReference w:id="10"/>
      </w:r>
      <w:r w:rsidR="00D9311A" w:rsidRPr="003D3F80">
        <w:rPr>
          <w:lang w:val="fr-FR"/>
        </w:rPr>
        <w:t>.</w:t>
      </w:r>
      <w:r w:rsidR="0095163E" w:rsidRPr="003D3F80">
        <w:rPr>
          <w:lang w:val="fr-FR"/>
        </w:rPr>
        <w:t xml:space="preserve"> </w:t>
      </w:r>
      <w:r w:rsidR="00301291" w:rsidRPr="003D3F80">
        <w:rPr>
          <w:lang w:val="fr-FR"/>
        </w:rPr>
        <w:t>Les politiques opérationnelles qui régissent les prêts à l</w:t>
      </w:r>
      <w:r w:rsidR="001051C0">
        <w:rPr>
          <w:lang w:val="fr-FR"/>
        </w:rPr>
        <w:t>’</w:t>
      </w:r>
      <w:r w:rsidR="00301291" w:rsidRPr="003D3F80">
        <w:rPr>
          <w:lang w:val="fr-FR"/>
        </w:rPr>
        <w:t xml:space="preserve">appui des politiques de développement et </w:t>
      </w:r>
      <w:r w:rsidR="00DA7FDD" w:rsidRPr="003D3F80">
        <w:rPr>
          <w:lang w:val="fr-FR"/>
        </w:rPr>
        <w:t xml:space="preserve">les </w:t>
      </w:r>
      <w:r w:rsidR="00301291" w:rsidRPr="003D3F80">
        <w:rPr>
          <w:lang w:val="fr-FR"/>
        </w:rPr>
        <w:t>prêts à l</w:t>
      </w:r>
      <w:r w:rsidR="001051C0">
        <w:rPr>
          <w:lang w:val="fr-FR"/>
        </w:rPr>
        <w:t>’</w:t>
      </w:r>
      <w:r w:rsidR="00301291" w:rsidRPr="003D3F80">
        <w:rPr>
          <w:lang w:val="fr-FR"/>
        </w:rPr>
        <w:t xml:space="preserve">appui de programmes pour les résultats comportent des dispositions </w:t>
      </w:r>
      <w:r w:rsidR="00E8096F" w:rsidRPr="003D3F80">
        <w:rPr>
          <w:lang w:val="fr-FR"/>
        </w:rPr>
        <w:t>spécifiques concernant les</w:t>
      </w:r>
      <w:r w:rsidR="00301291" w:rsidRPr="003D3F80">
        <w:rPr>
          <w:lang w:val="fr-FR"/>
        </w:rPr>
        <w:t xml:space="preserve"> </w:t>
      </w:r>
      <w:r w:rsidR="00E8096F" w:rsidRPr="003D3F80">
        <w:rPr>
          <w:lang w:val="fr-FR"/>
        </w:rPr>
        <w:t>normes environnementales et sociales</w:t>
      </w:r>
      <w:r w:rsidR="00301291" w:rsidRPr="003D3F80">
        <w:rPr>
          <w:lang w:val="fr-FR"/>
        </w:rPr>
        <w:t>. Elles seront examinées dans le cadre d</w:t>
      </w:r>
      <w:r w:rsidR="001051C0">
        <w:rPr>
          <w:lang w:val="fr-FR"/>
        </w:rPr>
        <w:t>’</w:t>
      </w:r>
      <w:r w:rsidR="00301291" w:rsidRPr="003D3F80">
        <w:rPr>
          <w:lang w:val="fr-FR"/>
        </w:rPr>
        <w:t>examens périodiques séparés des enseignements tirés de l</w:t>
      </w:r>
      <w:r w:rsidR="001051C0">
        <w:rPr>
          <w:lang w:val="fr-FR"/>
        </w:rPr>
        <w:t>’</w:t>
      </w:r>
      <w:r w:rsidR="00301291" w:rsidRPr="003D3F80">
        <w:rPr>
          <w:lang w:val="fr-FR"/>
        </w:rPr>
        <w:t>application de ces instruments. L</w:t>
      </w:r>
      <w:r w:rsidR="001051C0">
        <w:rPr>
          <w:lang w:val="fr-FR"/>
        </w:rPr>
        <w:t>’</w:t>
      </w:r>
      <w:r w:rsidR="00301291" w:rsidRPr="003D3F80">
        <w:rPr>
          <w:lang w:val="fr-FR"/>
        </w:rPr>
        <w:t>examen des politiques de sauvegarde applicable</w:t>
      </w:r>
      <w:r w:rsidR="00DA7FDD" w:rsidRPr="003D3F80">
        <w:rPr>
          <w:lang w:val="fr-FR"/>
        </w:rPr>
        <w:t>s</w:t>
      </w:r>
      <w:r w:rsidR="00301291" w:rsidRPr="003D3F80">
        <w:rPr>
          <w:lang w:val="fr-FR"/>
        </w:rPr>
        <w:t xml:space="preserve"> aux prêts d</w:t>
      </w:r>
      <w:r w:rsidR="001051C0">
        <w:rPr>
          <w:lang w:val="fr-FR"/>
        </w:rPr>
        <w:t>’</w:t>
      </w:r>
      <w:r w:rsidR="00301291" w:rsidRPr="003D3F80">
        <w:rPr>
          <w:lang w:val="fr-FR"/>
        </w:rPr>
        <w:t xml:space="preserve">investissement tiendra compte de cette évolution des opérations de la </w:t>
      </w:r>
      <w:r w:rsidR="002C34EF" w:rsidRPr="003D3F80">
        <w:rPr>
          <w:lang w:val="fr-FR"/>
        </w:rPr>
        <w:t>Banque</w:t>
      </w:r>
      <w:r w:rsidR="00301291" w:rsidRPr="003D3F80">
        <w:rPr>
          <w:lang w:val="fr-FR"/>
        </w:rPr>
        <w:t>, prenant acte du fait que tous les instruments de financement de l</w:t>
      </w:r>
      <w:r w:rsidR="001051C0">
        <w:rPr>
          <w:lang w:val="fr-FR"/>
        </w:rPr>
        <w:t>’</w:t>
      </w:r>
      <w:r w:rsidR="00301291" w:rsidRPr="003D3F80">
        <w:rPr>
          <w:lang w:val="fr-FR"/>
        </w:rPr>
        <w:t xml:space="preserve">institution </w:t>
      </w:r>
      <w:r w:rsidR="0082790E" w:rsidRPr="003D3F80">
        <w:rPr>
          <w:lang w:val="fr-FR"/>
        </w:rPr>
        <w:t>doivent contribuer à l</w:t>
      </w:r>
      <w:r w:rsidR="001051C0">
        <w:rPr>
          <w:lang w:val="fr-FR"/>
        </w:rPr>
        <w:t>’</w:t>
      </w:r>
      <w:r w:rsidR="0082790E" w:rsidRPr="003D3F80">
        <w:rPr>
          <w:lang w:val="fr-FR"/>
        </w:rPr>
        <w:t xml:space="preserve">obtention de résultats écologiquement et socialement durables. </w:t>
      </w:r>
    </w:p>
    <w:p w:rsidR="002508ED" w:rsidRPr="003D3F80" w:rsidRDefault="0082790E" w:rsidP="00A90205">
      <w:pPr>
        <w:pStyle w:val="ippara2"/>
        <w:widowControl/>
        <w:spacing w:after="200" w:line="276" w:lineRule="auto"/>
        <w:ind w:left="0" w:firstLine="0"/>
        <w:jc w:val="both"/>
        <w:rPr>
          <w:lang w:val="fr-FR"/>
        </w:rPr>
      </w:pPr>
      <w:r w:rsidRPr="003D3F80">
        <w:rPr>
          <w:b/>
          <w:i/>
          <w:lang w:val="fr-FR"/>
        </w:rPr>
        <w:t>Renforcement du rôle du secteur privé</w:t>
      </w:r>
      <w:r w:rsidR="00EA1F93" w:rsidRPr="003D3F80">
        <w:rPr>
          <w:b/>
          <w:i/>
          <w:lang w:val="fr-FR"/>
        </w:rPr>
        <w:t>.</w:t>
      </w:r>
      <w:r w:rsidR="00467DFC" w:rsidRPr="003D3F80">
        <w:rPr>
          <w:b/>
          <w:lang w:val="fr-FR"/>
        </w:rPr>
        <w:t xml:space="preserve"> </w:t>
      </w:r>
      <w:r w:rsidRPr="003D3F80">
        <w:rPr>
          <w:lang w:val="fr-FR"/>
        </w:rPr>
        <w:t>Le rôle du secteur privé a également évolué au cours des 20 dernières années. Les acteurs privés investissent aujourd</w:t>
      </w:r>
      <w:r w:rsidR="001051C0">
        <w:rPr>
          <w:lang w:val="fr-FR"/>
        </w:rPr>
        <w:t>’</w:t>
      </w:r>
      <w:r w:rsidRPr="003D3F80">
        <w:rPr>
          <w:lang w:val="fr-FR"/>
        </w:rPr>
        <w:t xml:space="preserve">hui de plus en plus sous forme de partenariats public-privé dans des secteurs qui contribuent au développement des pays. De ce fait, le secteur privé est devenu un client et </w:t>
      </w:r>
      <w:r w:rsidR="00DA7FDD" w:rsidRPr="003D3F80">
        <w:rPr>
          <w:lang w:val="fr-FR"/>
        </w:rPr>
        <w:t xml:space="preserve">un </w:t>
      </w:r>
      <w:r w:rsidRPr="003D3F80">
        <w:rPr>
          <w:lang w:val="fr-FR"/>
        </w:rPr>
        <w:t xml:space="preserve">partenaire importants des projets de développement financés par le Groupe de la Banque mondiale. </w:t>
      </w:r>
      <w:r w:rsidR="00D85841" w:rsidRPr="003D3F80">
        <w:rPr>
          <w:lang w:val="fr-FR"/>
        </w:rPr>
        <w:t>En 2006, l</w:t>
      </w:r>
      <w:r w:rsidR="001051C0">
        <w:rPr>
          <w:lang w:val="fr-FR"/>
        </w:rPr>
        <w:t>’</w:t>
      </w:r>
      <w:r w:rsidR="00D85841" w:rsidRPr="003D3F80">
        <w:rPr>
          <w:lang w:val="fr-FR"/>
        </w:rPr>
        <w:t>IFC a transformé ses politiques de sauvegarde en Normes de performance qui visent à aider l</w:t>
      </w:r>
      <w:r w:rsidR="001051C0">
        <w:rPr>
          <w:lang w:val="fr-FR"/>
        </w:rPr>
        <w:t>’</w:t>
      </w:r>
      <w:r w:rsidR="00D85841" w:rsidRPr="003D3F80">
        <w:rPr>
          <w:lang w:val="fr-FR"/>
        </w:rPr>
        <w:t>institution et ses clients à gérer les risques et à obtenir des résultats durables. Par cette transformation, l</w:t>
      </w:r>
      <w:r w:rsidR="001051C0">
        <w:rPr>
          <w:lang w:val="fr-FR"/>
        </w:rPr>
        <w:t>’</w:t>
      </w:r>
      <w:r w:rsidR="00D85841" w:rsidRPr="003D3F80">
        <w:rPr>
          <w:lang w:val="fr-FR"/>
        </w:rPr>
        <w:t>IFC donne moins d</w:t>
      </w:r>
      <w:r w:rsidR="001051C0">
        <w:rPr>
          <w:lang w:val="fr-FR"/>
        </w:rPr>
        <w:t>’</w:t>
      </w:r>
      <w:r w:rsidR="00D85841" w:rsidRPr="003D3F80">
        <w:rPr>
          <w:lang w:val="fr-FR"/>
        </w:rPr>
        <w:t>importance aux mesures obligatoires</w:t>
      </w:r>
      <w:r w:rsidR="00DA7FDD" w:rsidRPr="003D3F80">
        <w:rPr>
          <w:lang w:val="fr-FR"/>
        </w:rPr>
        <w:t xml:space="preserve">, mettant </w:t>
      </w:r>
      <w:r w:rsidR="00C13650">
        <w:rPr>
          <w:lang w:val="fr-FR"/>
        </w:rPr>
        <w:t xml:space="preserve">plutôt </w:t>
      </w:r>
      <w:r w:rsidR="00081DFE" w:rsidRPr="003D3F80">
        <w:rPr>
          <w:lang w:val="fr-FR"/>
        </w:rPr>
        <w:t>l</w:t>
      </w:r>
      <w:r w:rsidR="001051C0">
        <w:rPr>
          <w:lang w:val="fr-FR"/>
        </w:rPr>
        <w:t>’</w:t>
      </w:r>
      <w:r w:rsidR="00081DFE" w:rsidRPr="003D3F80">
        <w:rPr>
          <w:lang w:val="fr-FR"/>
        </w:rPr>
        <w:t>accent sur les mécanismes de gestion des risques environnementaux et sociaux des clients. Une masse critique d</w:t>
      </w:r>
      <w:r w:rsidR="001051C0">
        <w:rPr>
          <w:lang w:val="fr-FR"/>
        </w:rPr>
        <w:t>’</w:t>
      </w:r>
      <w:r w:rsidR="00081DFE" w:rsidRPr="003D3F80">
        <w:rPr>
          <w:lang w:val="fr-FR"/>
        </w:rPr>
        <w:t>institutions financières internationales travaillant sur des projets du secteur privé utilisent aujourd</w:t>
      </w:r>
      <w:r w:rsidR="001051C0">
        <w:rPr>
          <w:lang w:val="fr-FR"/>
        </w:rPr>
        <w:t>’</w:t>
      </w:r>
      <w:r w:rsidR="00081DFE" w:rsidRPr="003D3F80">
        <w:rPr>
          <w:lang w:val="fr-FR"/>
        </w:rPr>
        <w:t xml:space="preserve">hui ces Normes de performance, qui </w:t>
      </w:r>
      <w:r w:rsidR="00BE5BAA">
        <w:rPr>
          <w:lang w:val="fr-FR"/>
        </w:rPr>
        <w:t>s</w:t>
      </w:r>
      <w:r w:rsidR="00081DFE" w:rsidRPr="003D3F80">
        <w:rPr>
          <w:lang w:val="fr-FR"/>
        </w:rPr>
        <w:t xml:space="preserve">ont </w:t>
      </w:r>
      <w:r w:rsidR="00C13650">
        <w:rPr>
          <w:lang w:val="fr-FR"/>
        </w:rPr>
        <w:t xml:space="preserve">aussi </w:t>
      </w:r>
      <w:r w:rsidR="00081DFE" w:rsidRPr="003D3F80">
        <w:rPr>
          <w:lang w:val="fr-FR"/>
        </w:rPr>
        <w:t>appliquées par la MIGA depuis 2007. L</w:t>
      </w:r>
      <w:r w:rsidR="001051C0">
        <w:rPr>
          <w:lang w:val="fr-FR"/>
        </w:rPr>
        <w:t>’</w:t>
      </w:r>
      <w:r w:rsidR="002C34EF" w:rsidRPr="003D3F80">
        <w:rPr>
          <w:lang w:val="fr-FR"/>
        </w:rPr>
        <w:t>exercice </w:t>
      </w:r>
      <w:r w:rsidR="00081DFE" w:rsidRPr="003D3F80">
        <w:rPr>
          <w:lang w:val="fr-FR"/>
        </w:rPr>
        <w:t>13 verra aussi la Banque en faire de même lorsqu</w:t>
      </w:r>
      <w:r w:rsidR="001051C0">
        <w:rPr>
          <w:lang w:val="fr-FR"/>
        </w:rPr>
        <w:t>’</w:t>
      </w:r>
      <w:r w:rsidR="00081DFE" w:rsidRPr="003D3F80">
        <w:rPr>
          <w:lang w:val="fr-FR"/>
        </w:rPr>
        <w:t>elle financera ou appuiera des projets du secteur privé dans le cadre de partenariats public-privé dans le secteur des infrastructures et les domaines connexes</w:t>
      </w:r>
      <w:r w:rsidR="00263C05" w:rsidRPr="003D3F80">
        <w:rPr>
          <w:rStyle w:val="FootnoteReference"/>
          <w:bCs/>
          <w:color w:val="000000"/>
          <w:lang w:val="fr-FR"/>
        </w:rPr>
        <w:footnoteReference w:id="11"/>
      </w:r>
      <w:r w:rsidR="00081DFE" w:rsidRPr="003D3F80">
        <w:rPr>
          <w:lang w:val="fr-FR"/>
        </w:rPr>
        <w:t>.</w:t>
      </w:r>
      <w:r w:rsidR="00563E75" w:rsidRPr="003D3F80">
        <w:rPr>
          <w:lang w:val="fr-FR"/>
        </w:rPr>
        <w:t xml:space="preserve"> </w:t>
      </w:r>
      <w:r w:rsidR="00A615E9" w:rsidRPr="003D3F80">
        <w:rPr>
          <w:lang w:val="fr-FR"/>
        </w:rPr>
        <w:lastRenderedPageBreak/>
        <w:t>Bien que la Banque mondiale et le secteur privé aient des fonctions et attributions différentes de celles de l</w:t>
      </w:r>
      <w:r w:rsidR="001051C0">
        <w:rPr>
          <w:lang w:val="fr-FR"/>
        </w:rPr>
        <w:t>’</w:t>
      </w:r>
      <w:r w:rsidR="00A615E9" w:rsidRPr="003D3F80">
        <w:rPr>
          <w:lang w:val="fr-FR"/>
        </w:rPr>
        <w:t xml:space="preserve">IFC et du secteur privé, </w:t>
      </w:r>
      <w:r w:rsidR="00CD632B">
        <w:rPr>
          <w:lang w:val="fr-FR"/>
        </w:rPr>
        <w:t>l’examen et la mise à jour</w:t>
      </w:r>
      <w:r w:rsidR="00A615E9" w:rsidRPr="003D3F80">
        <w:rPr>
          <w:lang w:val="fr-FR"/>
        </w:rPr>
        <w:t xml:space="preserve"> des politiques de sauvegarde </w:t>
      </w:r>
      <w:r w:rsidR="00D12FF3" w:rsidRPr="003D3F80">
        <w:rPr>
          <w:lang w:val="fr-FR"/>
        </w:rPr>
        <w:t xml:space="preserve">environnementale et sociale </w:t>
      </w:r>
      <w:r w:rsidR="00A615E9" w:rsidRPr="003D3F80">
        <w:rPr>
          <w:lang w:val="fr-FR"/>
        </w:rPr>
        <w:t>pourrai</w:t>
      </w:r>
      <w:r w:rsidR="00C13650">
        <w:rPr>
          <w:lang w:val="fr-FR"/>
        </w:rPr>
        <w:t>en</w:t>
      </w:r>
      <w:r w:rsidR="00A615E9" w:rsidRPr="003D3F80">
        <w:rPr>
          <w:lang w:val="fr-FR"/>
        </w:rPr>
        <w:t xml:space="preserve">t gagner à évaluer dans quelle mesure il serait utile </w:t>
      </w:r>
      <w:r w:rsidR="00D12FF3" w:rsidRPr="003D3F80">
        <w:rPr>
          <w:lang w:val="fr-FR"/>
        </w:rPr>
        <w:t>de rapprocher la démarche de la Banque de la politique de l</w:t>
      </w:r>
      <w:r w:rsidR="001051C0">
        <w:rPr>
          <w:lang w:val="fr-FR"/>
        </w:rPr>
        <w:t>’</w:t>
      </w:r>
      <w:r w:rsidR="00D12FF3" w:rsidRPr="003D3F80">
        <w:rPr>
          <w:lang w:val="fr-FR"/>
        </w:rPr>
        <w:t>IFC en la matière</w:t>
      </w:r>
      <w:r w:rsidR="00B2504C" w:rsidRPr="003D3F80">
        <w:rPr>
          <w:lang w:val="fr-FR"/>
        </w:rPr>
        <w:t xml:space="preserve">, </w:t>
      </w:r>
      <w:r w:rsidR="00D12FF3" w:rsidRPr="003D3F80">
        <w:rPr>
          <w:lang w:val="fr-FR"/>
        </w:rPr>
        <w:t>de ses Normes de performance</w:t>
      </w:r>
      <w:r w:rsidR="00B2504C" w:rsidRPr="003D3F80">
        <w:rPr>
          <w:lang w:val="fr-FR"/>
        </w:rPr>
        <w:t xml:space="preserve"> et des autres initiatives qui y font référence.</w:t>
      </w:r>
    </w:p>
    <w:p w:rsidR="002508ED" w:rsidRPr="003D3F80" w:rsidRDefault="007E1E74" w:rsidP="00A90205">
      <w:pPr>
        <w:pStyle w:val="Heading3"/>
        <w:keepNext/>
        <w:widowControl/>
        <w:numPr>
          <w:ilvl w:val="0"/>
          <w:numId w:val="38"/>
        </w:numPr>
        <w:spacing w:before="0" w:after="200" w:line="276" w:lineRule="auto"/>
        <w:rPr>
          <w:szCs w:val="24"/>
          <w:lang w:val="fr-FR"/>
        </w:rPr>
      </w:pPr>
      <w:bookmarkStart w:id="4" w:name="_Toc338065567"/>
      <w:r w:rsidRPr="003D3F80">
        <w:rPr>
          <w:szCs w:val="24"/>
          <w:lang w:val="fr-FR"/>
        </w:rPr>
        <w:t>Objectifs de l</w:t>
      </w:r>
      <w:r w:rsidR="001051C0">
        <w:rPr>
          <w:szCs w:val="24"/>
          <w:lang w:val="fr-FR"/>
        </w:rPr>
        <w:t>’</w:t>
      </w:r>
      <w:r w:rsidRPr="003D3F80">
        <w:rPr>
          <w:szCs w:val="24"/>
          <w:lang w:val="fr-FR"/>
        </w:rPr>
        <w:t>examen et de la mise à jour</w:t>
      </w:r>
      <w:r w:rsidR="00BE5BAA">
        <w:rPr>
          <w:szCs w:val="24"/>
          <w:lang w:val="fr-FR"/>
        </w:rPr>
        <w:t xml:space="preserve"> des politiques de sauvegarde</w:t>
      </w:r>
      <w:bookmarkEnd w:id="4"/>
    </w:p>
    <w:p w:rsidR="002508ED" w:rsidRPr="003D3F80" w:rsidRDefault="0081394A" w:rsidP="00A90205">
      <w:pPr>
        <w:pStyle w:val="ippara2"/>
        <w:widowControl/>
        <w:spacing w:after="200" w:line="276" w:lineRule="auto"/>
        <w:ind w:left="0" w:firstLine="0"/>
        <w:jc w:val="both"/>
        <w:rPr>
          <w:lang w:val="fr-FR"/>
        </w:rPr>
      </w:pPr>
      <w:r>
        <w:rPr>
          <w:b/>
          <w:i/>
          <w:lang w:val="fr-FR"/>
        </w:rPr>
        <w:t>O</w:t>
      </w:r>
      <w:r w:rsidR="007E1E74" w:rsidRPr="003D3F80">
        <w:rPr>
          <w:b/>
          <w:i/>
          <w:lang w:val="fr-FR"/>
        </w:rPr>
        <w:t>bjectif</w:t>
      </w:r>
      <w:r>
        <w:rPr>
          <w:b/>
          <w:i/>
          <w:lang w:val="fr-FR"/>
        </w:rPr>
        <w:t xml:space="preserve"> principal</w:t>
      </w:r>
      <w:r w:rsidR="00841D08" w:rsidRPr="003D3F80">
        <w:rPr>
          <w:b/>
          <w:i/>
          <w:lang w:val="fr-FR"/>
        </w:rPr>
        <w:t>.</w:t>
      </w:r>
      <w:r w:rsidR="00467DFC" w:rsidRPr="003D3F80">
        <w:rPr>
          <w:lang w:val="fr-FR"/>
        </w:rPr>
        <w:t xml:space="preserve"> </w:t>
      </w:r>
      <w:r w:rsidR="007E1E74" w:rsidRPr="003D3F80">
        <w:rPr>
          <w:lang w:val="fr-FR"/>
        </w:rPr>
        <w:t>Ce</w:t>
      </w:r>
      <w:r w:rsidR="00B30D73">
        <w:rPr>
          <w:lang w:val="fr-FR"/>
        </w:rPr>
        <w:t xml:space="preserve">t </w:t>
      </w:r>
      <w:r w:rsidR="007E1E74" w:rsidRPr="003D3F80">
        <w:rPr>
          <w:lang w:val="fr-FR"/>
        </w:rPr>
        <w:t xml:space="preserve">examen </w:t>
      </w:r>
      <w:r w:rsidR="00B30D73">
        <w:rPr>
          <w:lang w:val="fr-FR"/>
        </w:rPr>
        <w:t xml:space="preserve">et </w:t>
      </w:r>
      <w:r w:rsidR="00BE5BAA">
        <w:rPr>
          <w:lang w:val="fr-FR"/>
        </w:rPr>
        <w:t xml:space="preserve">cette </w:t>
      </w:r>
      <w:r w:rsidR="00B30D73">
        <w:rPr>
          <w:lang w:val="fr-FR"/>
        </w:rPr>
        <w:t xml:space="preserve">mise à jour </w:t>
      </w:r>
      <w:r w:rsidR="007E1E74" w:rsidRPr="003D3F80">
        <w:rPr>
          <w:lang w:val="fr-FR"/>
        </w:rPr>
        <w:t>vise</w:t>
      </w:r>
      <w:r w:rsidR="00BE5BAA">
        <w:rPr>
          <w:lang w:val="fr-FR"/>
        </w:rPr>
        <w:t>nt</w:t>
      </w:r>
      <w:r w:rsidR="007E1E74" w:rsidRPr="003D3F80">
        <w:rPr>
          <w:lang w:val="fr-FR"/>
        </w:rPr>
        <w:t xml:space="preserve"> </w:t>
      </w:r>
      <w:r>
        <w:rPr>
          <w:lang w:val="fr-FR"/>
        </w:rPr>
        <w:t xml:space="preserve">surtout </w:t>
      </w:r>
      <w:r w:rsidR="007E1E74" w:rsidRPr="003D3F80">
        <w:rPr>
          <w:lang w:val="fr-FR"/>
        </w:rPr>
        <w:t xml:space="preserve">à </w:t>
      </w:r>
      <w:r w:rsidR="00E8096F" w:rsidRPr="003D3F80">
        <w:rPr>
          <w:lang w:val="fr-FR"/>
        </w:rPr>
        <w:t>renforcer l</w:t>
      </w:r>
      <w:r w:rsidR="001051C0">
        <w:rPr>
          <w:lang w:val="fr-FR"/>
        </w:rPr>
        <w:t>’</w:t>
      </w:r>
      <w:r w:rsidR="00E8096F" w:rsidRPr="003D3F80">
        <w:rPr>
          <w:lang w:val="fr-FR"/>
        </w:rPr>
        <w:t>efficacité des</w:t>
      </w:r>
      <w:r w:rsidR="007E1E74" w:rsidRPr="003D3F80">
        <w:rPr>
          <w:lang w:val="fr-FR"/>
        </w:rPr>
        <w:t xml:space="preserve"> politiques de sauvegarde </w:t>
      </w:r>
      <w:r>
        <w:rPr>
          <w:lang w:val="fr-FR"/>
        </w:rPr>
        <w:t>afin d’</w:t>
      </w:r>
      <w:r w:rsidR="00E8096F" w:rsidRPr="003D3F80">
        <w:rPr>
          <w:lang w:val="fr-FR"/>
        </w:rPr>
        <w:t>améliorer l</w:t>
      </w:r>
      <w:r w:rsidR="007E1E74" w:rsidRPr="003D3F80">
        <w:rPr>
          <w:lang w:val="fr-FR"/>
        </w:rPr>
        <w:t xml:space="preserve">es </w:t>
      </w:r>
      <w:r w:rsidR="00E8096F" w:rsidRPr="003D3F80">
        <w:rPr>
          <w:lang w:val="fr-FR"/>
        </w:rPr>
        <w:t xml:space="preserve">résultats </w:t>
      </w:r>
      <w:r>
        <w:rPr>
          <w:lang w:val="fr-FR"/>
        </w:rPr>
        <w:t>obtenus par les opérations de la Banque en matière de d</w:t>
      </w:r>
      <w:r w:rsidR="00E8096F" w:rsidRPr="003D3F80">
        <w:rPr>
          <w:lang w:val="fr-FR"/>
        </w:rPr>
        <w:t>éveloppement</w:t>
      </w:r>
      <w:r w:rsidR="007E1E74" w:rsidRPr="003D3F80">
        <w:rPr>
          <w:lang w:val="fr-FR"/>
        </w:rPr>
        <w:t xml:space="preserve">. </w:t>
      </w:r>
      <w:r w:rsidR="00D7694D" w:rsidRPr="003D3F80">
        <w:rPr>
          <w:lang w:val="fr-FR"/>
        </w:rPr>
        <w:t>L</w:t>
      </w:r>
      <w:r w:rsidR="001051C0">
        <w:rPr>
          <w:lang w:val="fr-FR"/>
        </w:rPr>
        <w:t>’</w:t>
      </w:r>
      <w:r w:rsidR="00D7694D" w:rsidRPr="003D3F80">
        <w:rPr>
          <w:lang w:val="fr-FR"/>
        </w:rPr>
        <w:t xml:space="preserve">exercice </w:t>
      </w:r>
      <w:r w:rsidR="007E1E74" w:rsidRPr="003D3F80">
        <w:rPr>
          <w:lang w:val="fr-FR"/>
        </w:rPr>
        <w:t xml:space="preserve">devrait déboucher sur un nouveau </w:t>
      </w:r>
      <w:r>
        <w:rPr>
          <w:lang w:val="fr-FR"/>
        </w:rPr>
        <w:t>cadre</w:t>
      </w:r>
      <w:r w:rsidR="007E1E74" w:rsidRPr="003D3F80">
        <w:rPr>
          <w:lang w:val="fr-FR"/>
        </w:rPr>
        <w:t xml:space="preserve"> intégré qui énoncera les objectifs poursuivis, définira les politiques opérationnelles pour les atteindre, et en exposera les modalités d</w:t>
      </w:r>
      <w:r w:rsidR="001051C0">
        <w:rPr>
          <w:lang w:val="fr-FR"/>
        </w:rPr>
        <w:t>’</w:t>
      </w:r>
      <w:r w:rsidR="007E1E74" w:rsidRPr="003D3F80">
        <w:rPr>
          <w:lang w:val="fr-FR"/>
        </w:rPr>
        <w:t xml:space="preserve">application. </w:t>
      </w:r>
      <w:r>
        <w:rPr>
          <w:lang w:val="fr-FR"/>
        </w:rPr>
        <w:t xml:space="preserve">L’examen et la mise à jour </w:t>
      </w:r>
      <w:r w:rsidR="00BE5BAA">
        <w:rPr>
          <w:lang w:val="fr-FR"/>
        </w:rPr>
        <w:t xml:space="preserve"> s'appuieront </w:t>
      </w:r>
      <w:r w:rsidR="007E1E74" w:rsidRPr="003D3F80">
        <w:rPr>
          <w:lang w:val="fr-FR"/>
        </w:rPr>
        <w:t xml:space="preserve">sur les grands principes qui régissent actuellement les politiques de sauvegarde, définira plus clairement les objectifs et les résultats recherchés, fera la distinction entre les politiques, les principes et les procédures, exploitera mieux les synergies entre les politiques, regroupera les politiques, éliminant celles qui font double emploi, </w:t>
      </w:r>
      <w:r w:rsidR="00D7694D" w:rsidRPr="003D3F80">
        <w:rPr>
          <w:lang w:val="fr-FR"/>
        </w:rPr>
        <w:t xml:space="preserve">et </w:t>
      </w:r>
      <w:r w:rsidR="007E1E74" w:rsidRPr="003D3F80">
        <w:rPr>
          <w:lang w:val="fr-FR"/>
        </w:rPr>
        <w:t>rationalisera les modal</w:t>
      </w:r>
      <w:r w:rsidR="00D7694D" w:rsidRPr="003D3F80">
        <w:rPr>
          <w:lang w:val="fr-FR"/>
        </w:rPr>
        <w:t>ités d</w:t>
      </w:r>
      <w:r w:rsidR="001051C0">
        <w:rPr>
          <w:lang w:val="fr-FR"/>
        </w:rPr>
        <w:t>’</w:t>
      </w:r>
      <w:r w:rsidR="00D7694D" w:rsidRPr="003D3F80">
        <w:rPr>
          <w:lang w:val="fr-FR"/>
        </w:rPr>
        <w:t xml:space="preserve">application conseillées. En outre, ce cadre </w:t>
      </w:r>
      <w:r w:rsidR="007E1E74" w:rsidRPr="003D3F80">
        <w:rPr>
          <w:lang w:val="fr-FR"/>
        </w:rPr>
        <w:t>circonscrira les fonctions et attributions d</w:t>
      </w:r>
      <w:r w:rsidR="00C12FC3" w:rsidRPr="003D3F80">
        <w:rPr>
          <w:lang w:val="fr-FR"/>
        </w:rPr>
        <w:t xml:space="preserve">e la Banque et des emprunteurs, qui sont </w:t>
      </w:r>
      <w:r w:rsidR="00C12FC3" w:rsidRPr="003D3F80">
        <w:rPr>
          <w:rFonts w:cs="Times New Roman"/>
          <w:lang w:val="fr-FR"/>
        </w:rPr>
        <w:t xml:space="preserve">distinctes mais complémentaires. Enfin, il comprendra </w:t>
      </w:r>
      <w:r w:rsidR="00A0300A">
        <w:rPr>
          <w:rFonts w:cs="Times New Roman"/>
          <w:lang w:val="fr-FR"/>
        </w:rPr>
        <w:t>l</w:t>
      </w:r>
      <w:r w:rsidR="00C12FC3" w:rsidRPr="003D3F80">
        <w:rPr>
          <w:rFonts w:cs="Times New Roman"/>
          <w:lang w:val="fr-FR"/>
        </w:rPr>
        <w:t xml:space="preserve">es systèmes et </w:t>
      </w:r>
      <w:r w:rsidR="007E1E74" w:rsidRPr="003D3F80">
        <w:rPr>
          <w:lang w:val="fr-FR"/>
        </w:rPr>
        <w:t xml:space="preserve">outils </w:t>
      </w:r>
      <w:r w:rsidR="00C12FC3" w:rsidRPr="003D3F80">
        <w:rPr>
          <w:lang w:val="fr-FR"/>
        </w:rPr>
        <w:t xml:space="preserve">qui </w:t>
      </w:r>
      <w:r w:rsidR="00EB1F21">
        <w:rPr>
          <w:lang w:val="fr-FR"/>
        </w:rPr>
        <w:t>en permettront l'application au jour le jour par la Banque et l'emprunteur</w:t>
      </w:r>
      <w:r w:rsidR="00C12FC3" w:rsidRPr="003D3F80">
        <w:rPr>
          <w:lang w:val="fr-FR"/>
        </w:rPr>
        <w:t xml:space="preserve">. </w:t>
      </w:r>
      <w:r w:rsidR="00A0300A">
        <w:rPr>
          <w:lang w:val="fr-FR"/>
        </w:rPr>
        <w:t>La démarche s</w:t>
      </w:r>
      <w:r w:rsidR="001051C0">
        <w:rPr>
          <w:lang w:val="fr-FR"/>
        </w:rPr>
        <w:t>’</w:t>
      </w:r>
      <w:r w:rsidR="00A0300A">
        <w:rPr>
          <w:lang w:val="fr-FR"/>
        </w:rPr>
        <w:t xml:space="preserve">inscrit dans le droit fil des initiatives </w:t>
      </w:r>
      <w:r w:rsidR="00A97DBA">
        <w:rPr>
          <w:lang w:val="fr-FR"/>
        </w:rPr>
        <w:t xml:space="preserve">qui ont été </w:t>
      </w:r>
      <w:r w:rsidR="00A0300A">
        <w:rPr>
          <w:lang w:val="fr-FR"/>
        </w:rPr>
        <w:t xml:space="preserve">prises </w:t>
      </w:r>
      <w:r w:rsidR="00A97DBA">
        <w:rPr>
          <w:lang w:val="fr-FR"/>
        </w:rPr>
        <w:t xml:space="preserve">ces dernières années </w:t>
      </w:r>
      <w:r w:rsidR="00A0300A">
        <w:rPr>
          <w:lang w:val="fr-FR"/>
        </w:rPr>
        <w:t>par l</w:t>
      </w:r>
      <w:r w:rsidR="001051C0">
        <w:rPr>
          <w:lang w:val="fr-FR"/>
        </w:rPr>
        <w:t>’</w:t>
      </w:r>
      <w:r w:rsidR="00A0300A">
        <w:rPr>
          <w:lang w:val="fr-FR"/>
        </w:rPr>
        <w:t>IFC, d</w:t>
      </w:r>
      <w:r w:rsidR="001051C0">
        <w:rPr>
          <w:lang w:val="fr-FR"/>
        </w:rPr>
        <w:t>’</w:t>
      </w:r>
      <w:r w:rsidR="00A0300A">
        <w:rPr>
          <w:lang w:val="fr-FR"/>
        </w:rPr>
        <w:t xml:space="preserve">autres banques multilatérales de développement (BMD), notamment la </w:t>
      </w:r>
      <w:r w:rsidR="00C12FC3" w:rsidRPr="003D3F80">
        <w:rPr>
          <w:lang w:val="fr-FR"/>
        </w:rPr>
        <w:t>B</w:t>
      </w:r>
      <w:r w:rsidR="00A0300A">
        <w:rPr>
          <w:lang w:val="fr-FR"/>
        </w:rPr>
        <w:t>AD</w:t>
      </w:r>
      <w:r w:rsidR="00C12FC3" w:rsidRPr="003D3F80">
        <w:rPr>
          <w:lang w:val="fr-FR"/>
        </w:rPr>
        <w:t xml:space="preserve">, </w:t>
      </w:r>
      <w:r w:rsidR="00A0300A">
        <w:rPr>
          <w:lang w:val="fr-FR"/>
        </w:rPr>
        <w:t>la BERD et la BID</w:t>
      </w:r>
      <w:r w:rsidR="00A97DBA">
        <w:rPr>
          <w:lang w:val="fr-FR"/>
        </w:rPr>
        <w:t>, et d</w:t>
      </w:r>
      <w:r w:rsidR="001051C0">
        <w:rPr>
          <w:lang w:val="fr-FR"/>
        </w:rPr>
        <w:t>’</w:t>
      </w:r>
      <w:r w:rsidR="00A97DBA">
        <w:rPr>
          <w:lang w:val="fr-FR"/>
        </w:rPr>
        <w:t>autres acteurs, et qui présentent de nouvelles caractéristiques telles que l</w:t>
      </w:r>
      <w:r w:rsidR="001051C0">
        <w:rPr>
          <w:lang w:val="fr-FR"/>
        </w:rPr>
        <w:t>’</w:t>
      </w:r>
      <w:r w:rsidR="00A97DBA">
        <w:rPr>
          <w:lang w:val="fr-FR"/>
        </w:rPr>
        <w:t>énoncé de principes fondamentaux, la claire définition des fonctions et attributions respectives du prêteur et de l</w:t>
      </w:r>
      <w:r w:rsidR="001051C0">
        <w:rPr>
          <w:lang w:val="fr-FR"/>
        </w:rPr>
        <w:t>’</w:t>
      </w:r>
      <w:r w:rsidR="00A97DBA">
        <w:rPr>
          <w:lang w:val="fr-FR"/>
        </w:rPr>
        <w:t xml:space="preserve">emprunteur, et la prise en compte </w:t>
      </w:r>
      <w:r>
        <w:rPr>
          <w:lang w:val="fr-FR"/>
        </w:rPr>
        <w:t>de manière intégrée</w:t>
      </w:r>
      <w:r w:rsidR="00A97DBA">
        <w:rPr>
          <w:lang w:val="fr-FR"/>
        </w:rPr>
        <w:t xml:space="preserve"> des questions environnementales et sociales.</w:t>
      </w:r>
    </w:p>
    <w:p w:rsidR="002508ED" w:rsidRPr="003D3F80" w:rsidRDefault="007E1E74" w:rsidP="00A90205">
      <w:pPr>
        <w:pStyle w:val="ippara2"/>
        <w:widowControl/>
        <w:spacing w:after="200" w:line="276" w:lineRule="auto"/>
        <w:ind w:left="0" w:firstLine="0"/>
        <w:jc w:val="both"/>
        <w:rPr>
          <w:lang w:val="fr-FR"/>
        </w:rPr>
      </w:pPr>
      <w:r w:rsidRPr="003D3F80">
        <w:rPr>
          <w:lang w:val="fr-FR"/>
        </w:rPr>
        <w:t xml:space="preserve">Du point de vue </w:t>
      </w:r>
      <w:r w:rsidR="00E70D13" w:rsidRPr="003D3F80">
        <w:rPr>
          <w:lang w:val="fr-FR"/>
        </w:rPr>
        <w:t>de l</w:t>
      </w:r>
      <w:r w:rsidR="001051C0">
        <w:rPr>
          <w:lang w:val="fr-FR"/>
        </w:rPr>
        <w:t>’</w:t>
      </w:r>
      <w:r w:rsidR="00E70D13" w:rsidRPr="003D3F80">
        <w:rPr>
          <w:lang w:val="fr-FR"/>
        </w:rPr>
        <w:t>efficacité opérationnelle de</w:t>
      </w:r>
      <w:r w:rsidRPr="003D3F80">
        <w:rPr>
          <w:lang w:val="fr-FR"/>
        </w:rPr>
        <w:t xml:space="preserve"> la Banque</w:t>
      </w:r>
      <w:r w:rsidR="00E70D13" w:rsidRPr="003D3F80">
        <w:rPr>
          <w:lang w:val="fr-FR"/>
        </w:rPr>
        <w:t xml:space="preserve"> et de l</w:t>
      </w:r>
      <w:r w:rsidR="001051C0">
        <w:rPr>
          <w:lang w:val="fr-FR"/>
        </w:rPr>
        <w:t>’</w:t>
      </w:r>
      <w:r w:rsidR="00E70D13" w:rsidRPr="003D3F80">
        <w:rPr>
          <w:lang w:val="fr-FR"/>
        </w:rPr>
        <w:t>efficacité de son action de développement</w:t>
      </w:r>
      <w:r w:rsidRPr="003D3F80">
        <w:rPr>
          <w:lang w:val="fr-FR"/>
        </w:rPr>
        <w:t xml:space="preserve">, </w:t>
      </w:r>
      <w:r w:rsidR="00CD632B">
        <w:rPr>
          <w:lang w:val="fr-FR"/>
        </w:rPr>
        <w:t xml:space="preserve">l’examen et la mise à jour </w:t>
      </w:r>
      <w:r w:rsidRPr="003D3F80">
        <w:rPr>
          <w:lang w:val="fr-FR"/>
        </w:rPr>
        <w:t>des politiques de sauvegarde vise</w:t>
      </w:r>
      <w:r w:rsidR="00350F0A">
        <w:rPr>
          <w:lang w:val="fr-FR"/>
        </w:rPr>
        <w:t>nt</w:t>
      </w:r>
      <w:r w:rsidRPr="003D3F80">
        <w:rPr>
          <w:lang w:val="fr-FR"/>
        </w:rPr>
        <w:t xml:space="preserve"> à permettre à l</w:t>
      </w:r>
      <w:r w:rsidR="001051C0">
        <w:rPr>
          <w:lang w:val="fr-FR"/>
        </w:rPr>
        <w:t>’</w:t>
      </w:r>
      <w:r w:rsidRPr="003D3F80">
        <w:rPr>
          <w:lang w:val="fr-FR"/>
        </w:rPr>
        <w:t>institution d</w:t>
      </w:r>
      <w:r w:rsidR="001051C0">
        <w:rPr>
          <w:lang w:val="fr-FR"/>
        </w:rPr>
        <w:t>’</w:t>
      </w:r>
      <w:r w:rsidRPr="003D3F80">
        <w:rPr>
          <w:lang w:val="fr-FR"/>
        </w:rPr>
        <w:t>obtenir les résultats suivants : redynamiser son partenariat avec les emprunteurs</w:t>
      </w:r>
      <w:r w:rsidR="002C34EF" w:rsidRPr="003D3F80">
        <w:rPr>
          <w:lang w:val="fr-FR"/>
        </w:rPr>
        <w:t> ;</w:t>
      </w:r>
      <w:r w:rsidRPr="003D3F80">
        <w:rPr>
          <w:lang w:val="fr-FR"/>
        </w:rPr>
        <w:t xml:space="preserve"> aider à affronter les risques environnementaux et sociaux des</w:t>
      </w:r>
      <w:r w:rsidR="00EE2956" w:rsidRPr="003D3F80">
        <w:rPr>
          <w:lang w:val="fr-FR"/>
        </w:rPr>
        <w:t xml:space="preserve"> dix </w:t>
      </w:r>
      <w:r w:rsidRPr="003D3F80">
        <w:rPr>
          <w:lang w:val="fr-FR"/>
        </w:rPr>
        <w:t>prochaines années</w:t>
      </w:r>
      <w:r w:rsidR="002C34EF" w:rsidRPr="003D3F80">
        <w:rPr>
          <w:lang w:val="fr-FR"/>
        </w:rPr>
        <w:t> ;</w:t>
      </w:r>
      <w:r w:rsidRPr="003D3F80">
        <w:rPr>
          <w:lang w:val="fr-FR"/>
        </w:rPr>
        <w:t xml:space="preserve"> </w:t>
      </w:r>
      <w:r w:rsidR="00EE2956" w:rsidRPr="003D3F80">
        <w:rPr>
          <w:lang w:val="fr-FR"/>
        </w:rPr>
        <w:t>accroître l</w:t>
      </w:r>
      <w:r w:rsidR="001051C0">
        <w:rPr>
          <w:lang w:val="fr-FR"/>
        </w:rPr>
        <w:t>’</w:t>
      </w:r>
      <w:r w:rsidR="00EE2956" w:rsidRPr="003D3F80">
        <w:rPr>
          <w:lang w:val="fr-FR"/>
        </w:rPr>
        <w:t>efficacité du point de vue des coûts et des résultats, et réduire les délais</w:t>
      </w:r>
      <w:r w:rsidR="002C34EF" w:rsidRPr="003D3F80">
        <w:rPr>
          <w:lang w:val="fr-FR"/>
        </w:rPr>
        <w:t> ;</w:t>
      </w:r>
      <w:r w:rsidR="00EE2956" w:rsidRPr="003D3F80">
        <w:rPr>
          <w:lang w:val="fr-FR"/>
        </w:rPr>
        <w:t xml:space="preserve"> et</w:t>
      </w:r>
      <w:r w:rsidR="00FD5DCA">
        <w:rPr>
          <w:lang w:val="fr-FR"/>
        </w:rPr>
        <w:t xml:space="preserve"> </w:t>
      </w:r>
      <w:r w:rsidR="00EE2956" w:rsidRPr="003D3F80">
        <w:rPr>
          <w:lang w:val="fr-FR"/>
        </w:rPr>
        <w:t>promouvoir l</w:t>
      </w:r>
      <w:r w:rsidR="001051C0">
        <w:rPr>
          <w:lang w:val="fr-FR"/>
        </w:rPr>
        <w:t>’</w:t>
      </w:r>
      <w:r w:rsidR="00EE2956" w:rsidRPr="003D3F80">
        <w:rPr>
          <w:lang w:val="fr-FR"/>
        </w:rPr>
        <w:t>harmonisation, l</w:t>
      </w:r>
      <w:r w:rsidR="001051C0">
        <w:rPr>
          <w:lang w:val="fr-FR"/>
        </w:rPr>
        <w:t>’</w:t>
      </w:r>
      <w:r w:rsidR="00EE2956" w:rsidRPr="003D3F80">
        <w:rPr>
          <w:lang w:val="fr-FR"/>
        </w:rPr>
        <w:t>homogénéité et l</w:t>
      </w:r>
      <w:r w:rsidR="001051C0">
        <w:rPr>
          <w:lang w:val="fr-FR"/>
        </w:rPr>
        <w:t>’</w:t>
      </w:r>
      <w:r w:rsidR="00EE2956" w:rsidRPr="003D3F80">
        <w:rPr>
          <w:lang w:val="fr-FR"/>
        </w:rPr>
        <w:t>alignement des politiques.</w:t>
      </w:r>
    </w:p>
    <w:p w:rsidR="002508ED" w:rsidRPr="00161482" w:rsidRDefault="00EE2956" w:rsidP="00161482">
      <w:pPr>
        <w:pStyle w:val="ippara2"/>
        <w:widowControl/>
        <w:spacing w:after="200" w:line="276" w:lineRule="auto"/>
        <w:ind w:left="0" w:firstLine="0"/>
        <w:jc w:val="both"/>
        <w:rPr>
          <w:lang w:val="fr-FR"/>
        </w:rPr>
      </w:pPr>
      <w:r w:rsidRPr="00E916CB">
        <w:rPr>
          <w:b/>
          <w:i/>
          <w:color w:val="000000"/>
          <w:lang w:val="fr-FR"/>
        </w:rPr>
        <w:t>Partenariat redynamisé avec les emprunteurs</w:t>
      </w:r>
      <w:r w:rsidR="00C556D5">
        <w:rPr>
          <w:b/>
          <w:i/>
          <w:color w:val="000000"/>
          <w:lang w:val="fr-FR"/>
        </w:rPr>
        <w:t>.</w:t>
      </w:r>
      <w:r w:rsidR="00C556D5">
        <w:rPr>
          <w:lang w:val="fr-FR"/>
        </w:rPr>
        <w:t xml:space="preserve"> La Banque cherche à insuffler une vigueur nouvelle à un partenariat solidement</w:t>
      </w:r>
      <w:r w:rsidR="00350F0A">
        <w:rPr>
          <w:lang w:val="fr-FR"/>
        </w:rPr>
        <w:t xml:space="preserve"> ancré </w:t>
      </w:r>
      <w:r w:rsidR="00C556D5">
        <w:rPr>
          <w:lang w:val="fr-FR"/>
        </w:rPr>
        <w:t>dans une volonté commune de mener d</w:t>
      </w:r>
      <w:r w:rsidRPr="00E916CB">
        <w:rPr>
          <w:lang w:val="fr-FR"/>
        </w:rPr>
        <w:t>es projets et programmes</w:t>
      </w:r>
      <w:r w:rsidR="00EB1F21">
        <w:rPr>
          <w:lang w:val="fr-FR"/>
        </w:rPr>
        <w:t xml:space="preserve"> ayant </w:t>
      </w:r>
      <w:r w:rsidR="00FD5DCA" w:rsidRPr="00E916CB">
        <w:rPr>
          <w:lang w:val="fr-FR"/>
        </w:rPr>
        <w:t>des résultats durables</w:t>
      </w:r>
      <w:r w:rsidR="00EB1F21">
        <w:rPr>
          <w:lang w:val="fr-FR"/>
        </w:rPr>
        <w:t xml:space="preserve"> au plan </w:t>
      </w:r>
      <w:r w:rsidR="00FD5DCA" w:rsidRPr="00E916CB">
        <w:rPr>
          <w:lang w:val="fr-FR"/>
        </w:rPr>
        <w:t>environnemental et soc</w:t>
      </w:r>
      <w:r w:rsidR="00C556D5">
        <w:rPr>
          <w:lang w:val="fr-FR"/>
        </w:rPr>
        <w:t>ial,</w:t>
      </w:r>
      <w:r w:rsidR="00350F0A">
        <w:rPr>
          <w:lang w:val="fr-FR"/>
        </w:rPr>
        <w:t xml:space="preserve"> avec une meilleure définition des </w:t>
      </w:r>
      <w:r w:rsidRPr="00161482">
        <w:rPr>
          <w:lang w:val="fr-FR"/>
        </w:rPr>
        <w:t>responsabilités de chaque partenaire. Un tel partenariat permettrait de mie</w:t>
      </w:r>
      <w:r w:rsidRPr="00E916CB">
        <w:rPr>
          <w:lang w:val="fr-FR"/>
        </w:rPr>
        <w:t xml:space="preserve">ux mobiliser la capacité grandissante </w:t>
      </w:r>
      <w:r w:rsidR="00C556D5">
        <w:rPr>
          <w:lang w:val="fr-FR"/>
        </w:rPr>
        <w:t xml:space="preserve">de </w:t>
      </w:r>
      <w:r w:rsidR="00026607" w:rsidRPr="00161482">
        <w:rPr>
          <w:lang w:val="fr-FR"/>
        </w:rPr>
        <w:t>nombreux emprunteurs à recenser et gérer les risques et impacts environnementaux et sociaux, afin d</w:t>
      </w:r>
      <w:r w:rsidR="001051C0" w:rsidRPr="00E916CB">
        <w:rPr>
          <w:lang w:val="fr-FR"/>
        </w:rPr>
        <w:t>’</w:t>
      </w:r>
      <w:r w:rsidR="00C556D5">
        <w:rPr>
          <w:lang w:val="fr-FR"/>
        </w:rPr>
        <w:t xml:space="preserve">accroître l’efficacité du développement. </w:t>
      </w:r>
      <w:r w:rsidR="00C556D5">
        <w:rPr>
          <w:lang w:val="fr-FR"/>
        </w:rPr>
        <w:lastRenderedPageBreak/>
        <w:t xml:space="preserve">Lorsque </w:t>
      </w:r>
      <w:r w:rsidR="00161482">
        <w:rPr>
          <w:lang w:val="fr-FR"/>
        </w:rPr>
        <w:t>la capacité de l’emprunteur</w:t>
      </w:r>
      <w:r w:rsidR="00026607" w:rsidRPr="00161482">
        <w:rPr>
          <w:lang w:val="fr-FR"/>
        </w:rPr>
        <w:t xml:space="preserve"> aptitude fait défaut, la Banque pourrait mener des programmes spécialement adaptés de développement des capacités et des institutions pour renforcer les dispositifs et les s</w:t>
      </w:r>
      <w:r w:rsidR="00161482">
        <w:rPr>
          <w:lang w:val="fr-FR"/>
        </w:rPr>
        <w:t>ystèmes</w:t>
      </w:r>
      <w:r w:rsidR="00026607" w:rsidRPr="00161482">
        <w:rPr>
          <w:lang w:val="fr-FR"/>
        </w:rPr>
        <w:t xml:space="preserve"> de l</w:t>
      </w:r>
      <w:r w:rsidR="001051C0" w:rsidRPr="00E916CB">
        <w:rPr>
          <w:lang w:val="fr-FR"/>
        </w:rPr>
        <w:t>’</w:t>
      </w:r>
      <w:r w:rsidR="00C556D5">
        <w:rPr>
          <w:lang w:val="fr-FR"/>
        </w:rPr>
        <w:t>empr</w:t>
      </w:r>
      <w:r w:rsidR="00026607" w:rsidRPr="00161482">
        <w:rPr>
          <w:lang w:val="fr-FR"/>
        </w:rPr>
        <w:t xml:space="preserve">unteur. </w:t>
      </w:r>
      <w:r w:rsidR="009609BE" w:rsidRPr="00E916CB">
        <w:rPr>
          <w:lang w:val="fr-FR"/>
        </w:rPr>
        <w:t xml:space="preserve">Cette démarche </w:t>
      </w:r>
      <w:r w:rsidR="009609BE" w:rsidRPr="00161482">
        <w:rPr>
          <w:lang w:val="fr-FR"/>
        </w:rPr>
        <w:t>va dans le sens de l</w:t>
      </w:r>
      <w:r w:rsidR="001051C0" w:rsidRPr="00161482">
        <w:rPr>
          <w:lang w:val="fr-FR"/>
        </w:rPr>
        <w:t>’</w:t>
      </w:r>
      <w:r w:rsidR="009609BE" w:rsidRPr="00161482">
        <w:rPr>
          <w:lang w:val="fr-FR"/>
        </w:rPr>
        <w:t>évolution de la communauté internationale du développement qui se tourne aujourd</w:t>
      </w:r>
      <w:r w:rsidR="001051C0" w:rsidRPr="00161482">
        <w:rPr>
          <w:lang w:val="fr-FR"/>
        </w:rPr>
        <w:t>’</w:t>
      </w:r>
      <w:r w:rsidR="009609BE" w:rsidRPr="00161482">
        <w:rPr>
          <w:lang w:val="fr-FR"/>
        </w:rPr>
        <w:t xml:space="preserve">hui </w:t>
      </w:r>
      <w:r w:rsidR="00531D99" w:rsidRPr="00161482">
        <w:rPr>
          <w:lang w:val="fr-FR"/>
        </w:rPr>
        <w:t>vers un modèle d</w:t>
      </w:r>
      <w:r w:rsidR="001051C0" w:rsidRPr="00161482">
        <w:rPr>
          <w:lang w:val="fr-FR"/>
        </w:rPr>
        <w:t>’</w:t>
      </w:r>
      <w:r w:rsidR="00531D99" w:rsidRPr="00161482">
        <w:rPr>
          <w:lang w:val="fr-FR"/>
        </w:rPr>
        <w:t>accompagnement et de collaboration entre les institutions de financement et les emprunteurs. Bien que</w:t>
      </w:r>
      <w:r w:rsidR="001D0DD1">
        <w:rPr>
          <w:lang w:val="fr-FR"/>
        </w:rPr>
        <w:t xml:space="preserve"> ce recentrage </w:t>
      </w:r>
      <w:r w:rsidR="00531D99" w:rsidRPr="00161482">
        <w:rPr>
          <w:lang w:val="fr-FR"/>
        </w:rPr>
        <w:t xml:space="preserve">soit complexe et ne puisse se traduire dans les opérations de la Banque </w:t>
      </w:r>
      <w:r w:rsidR="00A23401" w:rsidRPr="00161482">
        <w:rPr>
          <w:lang w:val="fr-FR"/>
        </w:rPr>
        <w:t xml:space="preserve">par le seul jeu </w:t>
      </w:r>
      <w:r w:rsidR="00531D99" w:rsidRPr="00161482">
        <w:rPr>
          <w:lang w:val="fr-FR"/>
        </w:rPr>
        <w:t>d</w:t>
      </w:r>
      <w:r w:rsidR="001051C0" w:rsidRPr="00161482">
        <w:rPr>
          <w:lang w:val="fr-FR"/>
        </w:rPr>
        <w:t>’</w:t>
      </w:r>
      <w:r w:rsidR="00531D99" w:rsidRPr="00161482">
        <w:rPr>
          <w:lang w:val="fr-FR"/>
        </w:rPr>
        <w:t>une révision des politiques</w:t>
      </w:r>
      <w:r w:rsidR="00A23401" w:rsidRPr="00161482">
        <w:rPr>
          <w:lang w:val="fr-FR"/>
        </w:rPr>
        <w:t xml:space="preserve">, un </w:t>
      </w:r>
      <w:r w:rsidR="00161482">
        <w:rPr>
          <w:lang w:val="fr-FR"/>
        </w:rPr>
        <w:t>cadre</w:t>
      </w:r>
      <w:r w:rsidR="00A23401" w:rsidRPr="00161482">
        <w:rPr>
          <w:lang w:val="fr-FR"/>
        </w:rPr>
        <w:t xml:space="preserve"> intégré pourrait :</w:t>
      </w:r>
      <w:r w:rsidR="00531D99" w:rsidRPr="00161482">
        <w:rPr>
          <w:lang w:val="fr-FR"/>
        </w:rPr>
        <w:t xml:space="preserve"> </w:t>
      </w:r>
      <w:r w:rsidR="00FD7879" w:rsidRPr="00161482">
        <w:rPr>
          <w:bCs/>
          <w:lang w:val="fr-FR"/>
        </w:rPr>
        <w:t>a</w:t>
      </w:r>
      <w:r w:rsidR="001965D2" w:rsidRPr="00161482">
        <w:rPr>
          <w:bCs/>
          <w:lang w:val="fr-FR"/>
        </w:rPr>
        <w:t xml:space="preserve">) </w:t>
      </w:r>
      <w:r w:rsidR="00A23401" w:rsidRPr="00161482">
        <w:rPr>
          <w:bCs/>
          <w:lang w:val="fr-FR"/>
        </w:rPr>
        <w:t>faire naître une vision commune des résultats</w:t>
      </w:r>
      <w:r w:rsidR="001D0DD1">
        <w:rPr>
          <w:bCs/>
          <w:lang w:val="fr-FR"/>
        </w:rPr>
        <w:t xml:space="preserve"> durables à obtenir au plan environnemental et social</w:t>
      </w:r>
      <w:r w:rsidR="00A23401" w:rsidRPr="00161482">
        <w:rPr>
          <w:bCs/>
          <w:lang w:val="fr-FR"/>
        </w:rPr>
        <w:t>, et véhiculer les valeurs qui sous-tendent les opérations de la Banque</w:t>
      </w:r>
      <w:r w:rsidR="002C34EF" w:rsidRPr="00161482">
        <w:rPr>
          <w:bCs/>
          <w:lang w:val="fr-FR"/>
        </w:rPr>
        <w:t> ;</w:t>
      </w:r>
      <w:r w:rsidR="00A23401" w:rsidRPr="00161482">
        <w:rPr>
          <w:bCs/>
          <w:lang w:val="fr-FR"/>
        </w:rPr>
        <w:t xml:space="preserve"> </w:t>
      </w:r>
      <w:r w:rsidR="00FD7879" w:rsidRPr="00161482">
        <w:rPr>
          <w:bCs/>
          <w:lang w:val="fr-FR"/>
        </w:rPr>
        <w:t>b</w:t>
      </w:r>
      <w:r w:rsidR="001965D2" w:rsidRPr="00161482">
        <w:rPr>
          <w:bCs/>
          <w:lang w:val="fr-FR"/>
        </w:rPr>
        <w:t xml:space="preserve">) </w:t>
      </w:r>
      <w:r w:rsidR="008B295B" w:rsidRPr="00161482">
        <w:rPr>
          <w:bCs/>
          <w:lang w:val="fr-FR"/>
        </w:rPr>
        <w:t>resserrer davantage les liens entre les institutions nationales et la Banque, et aider les pays à promouvoir un développement</w:t>
      </w:r>
      <w:r w:rsidR="001D0DD1">
        <w:rPr>
          <w:bCs/>
          <w:lang w:val="fr-FR"/>
        </w:rPr>
        <w:t xml:space="preserve"> durable au plan environnemental et social</w:t>
      </w:r>
      <w:r w:rsidR="002C34EF" w:rsidRPr="00161482">
        <w:rPr>
          <w:bCs/>
          <w:lang w:val="fr-FR"/>
        </w:rPr>
        <w:t> ;</w:t>
      </w:r>
      <w:r w:rsidR="008B295B" w:rsidRPr="00E916CB">
        <w:rPr>
          <w:bCs/>
          <w:lang w:val="fr-FR"/>
        </w:rPr>
        <w:t xml:space="preserve"> et </w:t>
      </w:r>
      <w:r w:rsidR="00C556D5">
        <w:rPr>
          <w:bCs/>
          <w:lang w:val="fr-FR"/>
        </w:rPr>
        <w:t>c) aider la Banque à</w:t>
      </w:r>
      <w:r w:rsidR="008B295B" w:rsidRPr="00E916CB">
        <w:rPr>
          <w:bCs/>
          <w:lang w:val="fr-FR"/>
        </w:rPr>
        <w:t xml:space="preserve"> préparer et mener des programmes mieux adaptés de renforcement des capacités et des institutions des pays, et à transférer les acquis en la matière</w:t>
      </w:r>
      <w:r w:rsidR="00ED3E26" w:rsidRPr="00E916CB">
        <w:rPr>
          <w:lang w:val="fr-FR"/>
        </w:rPr>
        <w:t>.</w:t>
      </w:r>
      <w:r w:rsidR="0095163E" w:rsidRPr="00E916CB">
        <w:rPr>
          <w:lang w:val="fr-FR"/>
        </w:rPr>
        <w:t xml:space="preserve"> </w:t>
      </w:r>
    </w:p>
    <w:p w:rsidR="002508ED" w:rsidRPr="003D3F80" w:rsidRDefault="008B295B" w:rsidP="00A90205">
      <w:pPr>
        <w:pStyle w:val="ippara2"/>
        <w:widowControl/>
        <w:spacing w:after="200" w:line="276" w:lineRule="auto"/>
        <w:ind w:left="0" w:firstLine="0"/>
        <w:jc w:val="both"/>
        <w:rPr>
          <w:lang w:val="fr-FR"/>
        </w:rPr>
      </w:pPr>
      <w:r w:rsidRPr="003D3F80">
        <w:rPr>
          <w:b/>
          <w:bCs/>
          <w:i/>
          <w:color w:val="000000"/>
          <w:lang w:val="fr-FR"/>
        </w:rPr>
        <w:t>Aider à affronter les risques environnementaux et sociaux des dix prochaines années</w:t>
      </w:r>
      <w:r w:rsidR="000C0C23" w:rsidRPr="003D3F80">
        <w:rPr>
          <w:b/>
          <w:bCs/>
          <w:i/>
          <w:lang w:val="fr-FR"/>
        </w:rPr>
        <w:t>.</w:t>
      </w:r>
      <w:r w:rsidR="000C0C23" w:rsidRPr="003D3F80">
        <w:rPr>
          <w:bCs/>
          <w:lang w:val="fr-FR"/>
        </w:rPr>
        <w:t xml:space="preserve"> </w:t>
      </w:r>
      <w:r w:rsidR="0098145A" w:rsidRPr="003D3F80">
        <w:rPr>
          <w:bCs/>
          <w:lang w:val="fr-FR"/>
        </w:rPr>
        <w:t xml:space="preserve">Un </w:t>
      </w:r>
      <w:r w:rsidR="00E916CB">
        <w:rPr>
          <w:bCs/>
          <w:lang w:val="fr-FR"/>
        </w:rPr>
        <w:t>cadre</w:t>
      </w:r>
      <w:r w:rsidR="0098145A" w:rsidRPr="003D3F80">
        <w:rPr>
          <w:bCs/>
          <w:lang w:val="fr-FR"/>
        </w:rPr>
        <w:t xml:space="preserve"> intégré pourrait montrer comment il peut être possible d</w:t>
      </w:r>
      <w:r w:rsidR="001051C0">
        <w:rPr>
          <w:bCs/>
          <w:lang w:val="fr-FR"/>
        </w:rPr>
        <w:t>’</w:t>
      </w:r>
      <w:r w:rsidR="0098145A" w:rsidRPr="003D3F80">
        <w:rPr>
          <w:bCs/>
          <w:lang w:val="fr-FR"/>
        </w:rPr>
        <w:t xml:space="preserve">évaluer et de gérer les risques et impacts environnementaux et sociaux qui existent ou </w:t>
      </w:r>
      <w:r w:rsidR="00DA7FDD" w:rsidRPr="003D3F80">
        <w:rPr>
          <w:bCs/>
          <w:lang w:val="fr-FR"/>
        </w:rPr>
        <w:t>se font jour</w:t>
      </w:r>
      <w:r w:rsidR="0098145A" w:rsidRPr="003D3F80">
        <w:rPr>
          <w:bCs/>
          <w:lang w:val="fr-FR"/>
        </w:rPr>
        <w:t xml:space="preserve">. </w:t>
      </w:r>
      <w:r w:rsidR="005D28D7" w:rsidRPr="003D3F80">
        <w:rPr>
          <w:bCs/>
          <w:lang w:val="fr-FR"/>
        </w:rPr>
        <w:t>Au nombre de ces méfaits, on peut citer le changement climatique, l</w:t>
      </w:r>
      <w:r w:rsidR="001051C0">
        <w:rPr>
          <w:bCs/>
          <w:lang w:val="fr-FR"/>
        </w:rPr>
        <w:t>’</w:t>
      </w:r>
      <w:r w:rsidR="005D28D7" w:rsidRPr="003D3F80">
        <w:rPr>
          <w:bCs/>
          <w:lang w:val="fr-FR"/>
        </w:rPr>
        <w:t>appauvrissement de la biodiversité, l</w:t>
      </w:r>
      <w:r w:rsidR="001051C0">
        <w:rPr>
          <w:bCs/>
          <w:lang w:val="fr-FR"/>
        </w:rPr>
        <w:t>’</w:t>
      </w:r>
      <w:r w:rsidR="005D28D7" w:rsidRPr="003D3F80">
        <w:rPr>
          <w:bCs/>
          <w:lang w:val="fr-FR"/>
        </w:rPr>
        <w:t xml:space="preserve">acidification des océans, les migrations forcées ou provoquées par la situation économique, et les épidémies. </w:t>
      </w:r>
      <w:r w:rsidR="00F54D4F" w:rsidRPr="003D3F80">
        <w:rPr>
          <w:bCs/>
          <w:lang w:val="fr-FR"/>
        </w:rPr>
        <w:t xml:space="preserve">Certains </w:t>
      </w:r>
      <w:r w:rsidR="00DA7FDD" w:rsidRPr="003D3F80">
        <w:rPr>
          <w:bCs/>
          <w:lang w:val="fr-FR"/>
        </w:rPr>
        <w:t xml:space="preserve">de ses impacts </w:t>
      </w:r>
      <w:r w:rsidR="00F54D4F" w:rsidRPr="003D3F80">
        <w:rPr>
          <w:bCs/>
          <w:lang w:val="fr-FR"/>
        </w:rPr>
        <w:t>peuvent affecter le patrimoine commun de l</w:t>
      </w:r>
      <w:r w:rsidR="001051C0">
        <w:rPr>
          <w:bCs/>
          <w:lang w:val="fr-FR"/>
        </w:rPr>
        <w:t>’</w:t>
      </w:r>
      <w:r w:rsidR="00F54D4F" w:rsidRPr="003D3F80">
        <w:rPr>
          <w:bCs/>
          <w:lang w:val="fr-FR"/>
        </w:rPr>
        <w:t>humanité, d</w:t>
      </w:r>
      <w:r w:rsidR="001051C0">
        <w:rPr>
          <w:bCs/>
          <w:lang w:val="fr-FR"/>
        </w:rPr>
        <w:t>’</w:t>
      </w:r>
      <w:r w:rsidR="00F54D4F" w:rsidRPr="003D3F80">
        <w:rPr>
          <w:bCs/>
          <w:lang w:val="fr-FR"/>
        </w:rPr>
        <w:t xml:space="preserve">autres peuvent être de nature régionale ou nationale. Avec un nouveau </w:t>
      </w:r>
      <w:r w:rsidR="00E916CB">
        <w:rPr>
          <w:bCs/>
          <w:lang w:val="fr-FR"/>
        </w:rPr>
        <w:t>cadre</w:t>
      </w:r>
      <w:r w:rsidR="00F54D4F" w:rsidRPr="003D3F80">
        <w:rPr>
          <w:bCs/>
          <w:lang w:val="fr-FR"/>
        </w:rPr>
        <w:t xml:space="preserve"> intégré, la Banque, ses emprunteurs et les partenaires de la communauté du développement pourraient disposer d</w:t>
      </w:r>
      <w:r w:rsidR="001051C0">
        <w:rPr>
          <w:bCs/>
          <w:lang w:val="fr-FR"/>
        </w:rPr>
        <w:t>’</w:t>
      </w:r>
      <w:r w:rsidR="00F54D4F" w:rsidRPr="003D3F80">
        <w:rPr>
          <w:bCs/>
          <w:lang w:val="fr-FR"/>
        </w:rPr>
        <w:t xml:space="preserve">un outil fraîchement mis à jour pour prendre en compte les impacts et risques généraux et particuliers correspondant à ces méfaits existants ou émergents. En outre, </w:t>
      </w:r>
      <w:r w:rsidR="00DA7FDD" w:rsidRPr="003D3F80">
        <w:rPr>
          <w:bCs/>
          <w:lang w:val="fr-FR"/>
        </w:rPr>
        <w:t xml:space="preserve">un tel </w:t>
      </w:r>
      <w:r w:rsidR="00E916CB">
        <w:rPr>
          <w:bCs/>
          <w:lang w:val="fr-FR"/>
        </w:rPr>
        <w:t>cadre</w:t>
      </w:r>
      <w:r w:rsidR="00DA7FDD" w:rsidRPr="003D3F80">
        <w:rPr>
          <w:bCs/>
          <w:lang w:val="fr-FR"/>
        </w:rPr>
        <w:t xml:space="preserve"> </w:t>
      </w:r>
      <w:r w:rsidR="00F54D4F" w:rsidRPr="003D3F80">
        <w:rPr>
          <w:bCs/>
          <w:lang w:val="fr-FR"/>
        </w:rPr>
        <w:t xml:space="preserve">pourrait comporter certains aspects </w:t>
      </w:r>
      <w:r w:rsidR="00AE2F36" w:rsidRPr="003D3F80">
        <w:rPr>
          <w:bCs/>
          <w:lang w:val="fr-FR"/>
        </w:rPr>
        <w:t xml:space="preserve">des </w:t>
      </w:r>
      <w:r w:rsidR="00F54D4F" w:rsidRPr="003D3F80">
        <w:rPr>
          <w:bCs/>
          <w:lang w:val="fr-FR"/>
        </w:rPr>
        <w:t xml:space="preserve">modes de gestion des risques </w:t>
      </w:r>
      <w:r w:rsidR="00AE2F36" w:rsidRPr="003D3F80">
        <w:rPr>
          <w:bCs/>
          <w:lang w:val="fr-FR"/>
        </w:rPr>
        <w:t>et d</w:t>
      </w:r>
      <w:r w:rsidR="001051C0">
        <w:rPr>
          <w:bCs/>
          <w:lang w:val="fr-FR"/>
        </w:rPr>
        <w:t>’</w:t>
      </w:r>
      <w:r w:rsidR="00AE2F36" w:rsidRPr="003D3F80">
        <w:rPr>
          <w:bCs/>
          <w:lang w:val="fr-FR"/>
        </w:rPr>
        <w:t xml:space="preserve">évaluation des dimensions environnementales et sociales qui ne font pas partie des politiques de sauvegarde actuelles, mais qui </w:t>
      </w:r>
      <w:r w:rsidR="00DA7FDD" w:rsidRPr="003D3F80">
        <w:rPr>
          <w:bCs/>
          <w:lang w:val="fr-FR"/>
        </w:rPr>
        <w:t xml:space="preserve">sont déjà appliqués avec succès </w:t>
      </w:r>
      <w:r w:rsidR="00AE2F36" w:rsidRPr="003D3F80">
        <w:rPr>
          <w:bCs/>
          <w:lang w:val="fr-FR"/>
        </w:rPr>
        <w:t xml:space="preserve">par des institutions publiques et privées ou qui font autorité au plan international. </w:t>
      </w:r>
    </w:p>
    <w:p w:rsidR="002508ED" w:rsidRPr="003D3F80" w:rsidRDefault="008B295B" w:rsidP="00A90205">
      <w:pPr>
        <w:pStyle w:val="ippara2"/>
        <w:widowControl/>
        <w:spacing w:after="200" w:line="276" w:lineRule="auto"/>
        <w:ind w:left="0" w:firstLine="0"/>
        <w:jc w:val="both"/>
        <w:rPr>
          <w:lang w:val="fr-FR"/>
        </w:rPr>
      </w:pPr>
      <w:r w:rsidRPr="003D3F80">
        <w:rPr>
          <w:b/>
          <w:i/>
          <w:color w:val="000000"/>
          <w:lang w:val="fr-FR"/>
        </w:rPr>
        <w:t>Accroître l</w:t>
      </w:r>
      <w:r w:rsidR="001051C0">
        <w:rPr>
          <w:b/>
          <w:i/>
          <w:color w:val="000000"/>
          <w:lang w:val="fr-FR"/>
        </w:rPr>
        <w:t>’</w:t>
      </w:r>
      <w:r w:rsidRPr="003D3F80">
        <w:rPr>
          <w:b/>
          <w:i/>
          <w:color w:val="000000"/>
          <w:lang w:val="fr-FR"/>
        </w:rPr>
        <w:t>efficacité du point de vue des coûts et des résultats, et réduire les délais</w:t>
      </w:r>
      <w:r w:rsidR="005D5612" w:rsidRPr="003D3F80">
        <w:rPr>
          <w:b/>
          <w:i/>
          <w:lang w:val="fr-FR"/>
        </w:rPr>
        <w:t>.</w:t>
      </w:r>
      <w:r w:rsidR="00467DFC" w:rsidRPr="003D3F80">
        <w:rPr>
          <w:lang w:val="fr-FR"/>
        </w:rPr>
        <w:t xml:space="preserve"> </w:t>
      </w:r>
      <w:r w:rsidR="00AE2F36" w:rsidRPr="003D3F80">
        <w:rPr>
          <w:lang w:val="fr-FR"/>
        </w:rPr>
        <w:t xml:space="preserve">Avec un </w:t>
      </w:r>
      <w:r w:rsidR="00E916CB">
        <w:rPr>
          <w:lang w:val="fr-FR"/>
        </w:rPr>
        <w:t>cadre</w:t>
      </w:r>
      <w:r w:rsidR="00AE2F36" w:rsidRPr="003D3F80">
        <w:rPr>
          <w:lang w:val="fr-FR"/>
        </w:rPr>
        <w:t xml:space="preserve"> intégré</w:t>
      </w:r>
      <w:r w:rsidR="00383D60" w:rsidRPr="003D3F80">
        <w:rPr>
          <w:lang w:val="fr-FR"/>
        </w:rPr>
        <w:t>,</w:t>
      </w:r>
      <w:r w:rsidR="00AE2F36" w:rsidRPr="003D3F80">
        <w:rPr>
          <w:lang w:val="fr-FR"/>
        </w:rPr>
        <w:t xml:space="preserve"> les mécanismes de décision et la gestion des risques gagnerai</w:t>
      </w:r>
      <w:r w:rsidR="00383D60" w:rsidRPr="003D3F80">
        <w:rPr>
          <w:lang w:val="fr-FR"/>
        </w:rPr>
        <w:t>en</w:t>
      </w:r>
      <w:r w:rsidR="00AE2F36" w:rsidRPr="003D3F80">
        <w:rPr>
          <w:lang w:val="fr-FR"/>
        </w:rPr>
        <w:t>t en qualité et en rapidité, les fonctions et attributions des acteurs concernés seraient mieux définies</w:t>
      </w:r>
      <w:r w:rsidR="00383D60" w:rsidRPr="003D3F80">
        <w:rPr>
          <w:lang w:val="fr-FR"/>
        </w:rPr>
        <w:t>,</w:t>
      </w:r>
      <w:r w:rsidR="00AE2F36" w:rsidRPr="003D3F80">
        <w:rPr>
          <w:lang w:val="fr-FR"/>
        </w:rPr>
        <w:t xml:space="preserve"> et le travail de suivi et de supervision serait renforcé. </w:t>
      </w:r>
      <w:r w:rsidR="00383D60" w:rsidRPr="003D3F80">
        <w:rPr>
          <w:lang w:val="fr-FR"/>
        </w:rPr>
        <w:t xml:space="preserve">Plus précisément, un tel </w:t>
      </w:r>
      <w:r w:rsidR="00E916CB">
        <w:rPr>
          <w:lang w:val="fr-FR"/>
        </w:rPr>
        <w:t>cadre</w:t>
      </w:r>
      <w:r w:rsidR="00383D60" w:rsidRPr="003D3F80">
        <w:rPr>
          <w:lang w:val="fr-FR"/>
        </w:rPr>
        <w:t xml:space="preserve"> pourrait présenter plusieurs avantages opérationnels : </w:t>
      </w:r>
    </w:p>
    <w:p w:rsidR="002508ED" w:rsidRPr="003D3F80" w:rsidRDefault="00383D60" w:rsidP="00A90205">
      <w:pPr>
        <w:pStyle w:val="BodyText"/>
        <w:widowControl/>
        <w:numPr>
          <w:ilvl w:val="0"/>
          <w:numId w:val="9"/>
        </w:numPr>
        <w:spacing w:before="0" w:after="200" w:line="276" w:lineRule="auto"/>
        <w:ind w:left="720"/>
        <w:rPr>
          <w:lang w:val="fr-FR"/>
        </w:rPr>
      </w:pPr>
      <w:r w:rsidRPr="003D3F80">
        <w:rPr>
          <w:i/>
          <w:lang w:val="fr-FR"/>
        </w:rPr>
        <w:t xml:space="preserve">Meilleur ciblage des résultats </w:t>
      </w:r>
      <w:r w:rsidR="00522B61" w:rsidRPr="003D3F80">
        <w:rPr>
          <w:i/>
          <w:lang w:val="fr-FR"/>
        </w:rPr>
        <w:t>–</w:t>
      </w:r>
      <w:r w:rsidR="00467DFC" w:rsidRPr="003D3F80">
        <w:rPr>
          <w:lang w:val="fr-FR"/>
        </w:rPr>
        <w:t xml:space="preserve"> </w:t>
      </w:r>
      <w:r w:rsidRPr="003D3F80">
        <w:rPr>
          <w:lang w:val="fr-FR"/>
        </w:rPr>
        <w:t xml:space="preserve">Le </w:t>
      </w:r>
      <w:r w:rsidR="00E916CB">
        <w:rPr>
          <w:lang w:val="fr-FR"/>
        </w:rPr>
        <w:t>cadre</w:t>
      </w:r>
      <w:r w:rsidRPr="003D3F80">
        <w:rPr>
          <w:lang w:val="fr-FR"/>
        </w:rPr>
        <w:t xml:space="preserve"> permettrait de davantage mettre l</w:t>
      </w:r>
      <w:r w:rsidR="001051C0">
        <w:rPr>
          <w:lang w:val="fr-FR"/>
        </w:rPr>
        <w:t>’</w:t>
      </w:r>
      <w:r w:rsidRPr="003D3F80">
        <w:rPr>
          <w:lang w:val="fr-FR"/>
        </w:rPr>
        <w:t>accent sur les effets recherchés du développement durable, fournissant des outils de mesure des résultats, comme des indicateurs, pour aider les équipes responsables des projets à se concentrer sur les résultats à obtenir</w:t>
      </w:r>
      <w:r w:rsidR="00A85D2B" w:rsidRPr="003D3F80">
        <w:rPr>
          <w:lang w:val="fr-FR"/>
        </w:rPr>
        <w:t>.</w:t>
      </w:r>
    </w:p>
    <w:p w:rsidR="002508ED" w:rsidRPr="003D3F80" w:rsidRDefault="00383D60" w:rsidP="00A90205">
      <w:pPr>
        <w:pStyle w:val="BodyText"/>
        <w:widowControl/>
        <w:numPr>
          <w:ilvl w:val="0"/>
          <w:numId w:val="9"/>
        </w:numPr>
        <w:spacing w:before="0" w:after="200" w:line="276" w:lineRule="auto"/>
        <w:ind w:left="720"/>
        <w:rPr>
          <w:lang w:val="fr-FR"/>
        </w:rPr>
      </w:pPr>
      <w:r w:rsidRPr="003D3F80">
        <w:rPr>
          <w:i/>
          <w:lang w:val="fr-FR"/>
        </w:rPr>
        <w:t xml:space="preserve">Définition plus claire des fonctions et attributions </w:t>
      </w:r>
      <w:r w:rsidR="00522B61" w:rsidRPr="003D3F80">
        <w:rPr>
          <w:i/>
          <w:lang w:val="fr-FR"/>
        </w:rPr>
        <w:t>–</w:t>
      </w:r>
      <w:r w:rsidR="00EA1F93" w:rsidRPr="003D3F80">
        <w:rPr>
          <w:i/>
          <w:lang w:val="fr-FR"/>
        </w:rPr>
        <w:t xml:space="preserve"> </w:t>
      </w:r>
      <w:r w:rsidRPr="003D3F80">
        <w:rPr>
          <w:lang w:val="fr-FR"/>
        </w:rPr>
        <w:t xml:space="preserve">Le </w:t>
      </w:r>
      <w:r w:rsidR="00E916CB">
        <w:rPr>
          <w:lang w:val="fr-FR"/>
        </w:rPr>
        <w:t>cadre</w:t>
      </w:r>
      <w:r w:rsidRPr="003D3F80">
        <w:rPr>
          <w:lang w:val="fr-FR"/>
        </w:rPr>
        <w:t xml:space="preserve"> permettrait de </w:t>
      </w:r>
      <w:r w:rsidR="00A017F1" w:rsidRPr="003D3F80">
        <w:rPr>
          <w:lang w:val="fr-FR"/>
        </w:rPr>
        <w:t xml:space="preserve">différencier </w:t>
      </w:r>
      <w:r w:rsidRPr="003D3F80">
        <w:rPr>
          <w:lang w:val="fr-FR"/>
        </w:rPr>
        <w:t xml:space="preserve">les fonctions et attributions distinctes mais complémentaires de la Banque et des </w:t>
      </w:r>
      <w:r w:rsidRPr="003D3F80">
        <w:rPr>
          <w:lang w:val="fr-FR"/>
        </w:rPr>
        <w:lastRenderedPageBreak/>
        <w:t>emprunteurs</w:t>
      </w:r>
      <w:r w:rsidR="00A017F1" w:rsidRPr="003D3F80">
        <w:rPr>
          <w:lang w:val="fr-FR"/>
        </w:rPr>
        <w:t>, mais aussi des autres parties concernées telles que les partenaires de la communauté du développement, pour ce qui est de promouvoir un développement écologiquement et socialement durable tout au long du cycle des projets et des programmes</w:t>
      </w:r>
      <w:r w:rsidR="00BC59A0" w:rsidRPr="003D3F80">
        <w:rPr>
          <w:lang w:val="fr-FR"/>
        </w:rPr>
        <w:t>.</w:t>
      </w:r>
    </w:p>
    <w:p w:rsidR="002508ED" w:rsidRPr="003D3F80" w:rsidRDefault="00A017F1" w:rsidP="00A90205">
      <w:pPr>
        <w:pStyle w:val="BodyText"/>
        <w:widowControl/>
        <w:numPr>
          <w:ilvl w:val="0"/>
          <w:numId w:val="9"/>
        </w:numPr>
        <w:spacing w:before="0" w:after="200" w:line="276" w:lineRule="auto"/>
        <w:ind w:left="720"/>
        <w:rPr>
          <w:lang w:val="fr-FR"/>
        </w:rPr>
      </w:pPr>
      <w:r w:rsidRPr="003D3F80">
        <w:rPr>
          <w:i/>
          <w:lang w:val="fr-FR"/>
        </w:rPr>
        <w:t xml:space="preserve">Meilleure gestion des risques </w:t>
      </w:r>
      <w:r w:rsidR="00522B61" w:rsidRPr="003D3F80">
        <w:rPr>
          <w:i/>
          <w:lang w:val="fr-FR"/>
        </w:rPr>
        <w:t xml:space="preserve">– </w:t>
      </w:r>
      <w:r w:rsidR="00E00357" w:rsidRPr="003D3F80">
        <w:rPr>
          <w:lang w:val="fr-FR"/>
        </w:rPr>
        <w:t xml:space="preserve">Le </w:t>
      </w:r>
      <w:r w:rsidR="00E916CB">
        <w:rPr>
          <w:lang w:val="fr-FR"/>
        </w:rPr>
        <w:t>cadre</w:t>
      </w:r>
      <w:r w:rsidR="00E00357" w:rsidRPr="003D3F80">
        <w:rPr>
          <w:lang w:val="fr-FR"/>
        </w:rPr>
        <w:t xml:space="preserve"> permettrait de passer prudemment à un mode de gestion et de réduction des risques tout au long de la vie d</w:t>
      </w:r>
      <w:r w:rsidR="001051C0">
        <w:rPr>
          <w:lang w:val="fr-FR"/>
        </w:rPr>
        <w:t>’</w:t>
      </w:r>
      <w:r w:rsidR="00E00357" w:rsidRPr="003D3F80">
        <w:rPr>
          <w:lang w:val="fr-FR"/>
        </w:rPr>
        <w:t>une opération, qui serait proportionnel à l</w:t>
      </w:r>
      <w:r w:rsidR="001051C0">
        <w:rPr>
          <w:lang w:val="fr-FR"/>
        </w:rPr>
        <w:t>’</w:t>
      </w:r>
      <w:r w:rsidR="00E00357" w:rsidRPr="003D3F80">
        <w:rPr>
          <w:lang w:val="fr-FR"/>
        </w:rPr>
        <w:t xml:space="preserve">importance des risques en question. La Banque pourrait passer un mode de gestion de son portefeuille davantage basé sur le risque en adoptant des indicateurs permettant de contrôler et mesurer les menaces considérées de telle sorte que les décisions pourraient être </w:t>
      </w:r>
      <w:r w:rsidR="002C34EF" w:rsidRPr="003D3F80">
        <w:rPr>
          <w:lang w:val="fr-FR"/>
        </w:rPr>
        <w:t>prises</w:t>
      </w:r>
      <w:r w:rsidR="00E00357" w:rsidRPr="003D3F80">
        <w:rPr>
          <w:lang w:val="fr-FR"/>
        </w:rPr>
        <w:t xml:space="preserve"> sur la base de facteurs prédéterminés de tolérance au risque. Le passage à ce mode de gestion aiderait la Banque à obtenir des résultats écologiquement et socialement plus durables. Il permettrait aussi aux équipes chargées des projets </w:t>
      </w:r>
      <w:r w:rsidR="00B76DF2" w:rsidRPr="003D3F80">
        <w:rPr>
          <w:lang w:val="fr-FR"/>
        </w:rPr>
        <w:t>d</w:t>
      </w:r>
      <w:r w:rsidR="001051C0">
        <w:rPr>
          <w:lang w:val="fr-FR"/>
        </w:rPr>
        <w:t>’</w:t>
      </w:r>
      <w:r w:rsidR="00B76DF2" w:rsidRPr="003D3F80">
        <w:rPr>
          <w:lang w:val="fr-FR"/>
        </w:rPr>
        <w:t>évaluer plus précisément les coûts de la réalisation des objectifs et du respect des règles des politiques pour le projet ou le programme en question. Il s</w:t>
      </w:r>
      <w:r w:rsidR="001051C0">
        <w:rPr>
          <w:lang w:val="fr-FR"/>
        </w:rPr>
        <w:t>’</w:t>
      </w:r>
      <w:r w:rsidR="00B76DF2" w:rsidRPr="003D3F80">
        <w:rPr>
          <w:lang w:val="fr-FR"/>
        </w:rPr>
        <w:t>agit d</w:t>
      </w:r>
      <w:r w:rsidR="001051C0">
        <w:rPr>
          <w:lang w:val="fr-FR"/>
        </w:rPr>
        <w:t>’</w:t>
      </w:r>
      <w:r w:rsidR="00B76DF2" w:rsidRPr="003D3F80">
        <w:rPr>
          <w:lang w:val="fr-FR"/>
        </w:rPr>
        <w:t>une tâche complexe qui passerait aussi par un alignement des incitations internes</w:t>
      </w:r>
      <w:r w:rsidR="00DA7FDD" w:rsidRPr="003D3F80">
        <w:rPr>
          <w:lang w:val="fr-FR"/>
        </w:rPr>
        <w:t>,</w:t>
      </w:r>
      <w:r w:rsidR="00B76DF2" w:rsidRPr="003D3F80">
        <w:rPr>
          <w:lang w:val="fr-FR"/>
        </w:rPr>
        <w:t xml:space="preserve"> accordant la même importance à la préparation et l</w:t>
      </w:r>
      <w:r w:rsidR="001051C0">
        <w:rPr>
          <w:lang w:val="fr-FR"/>
        </w:rPr>
        <w:t>’</w:t>
      </w:r>
      <w:r w:rsidR="00B76DF2" w:rsidRPr="003D3F80">
        <w:rPr>
          <w:lang w:val="fr-FR"/>
        </w:rPr>
        <w:t xml:space="preserve">exécution des projets. </w:t>
      </w:r>
    </w:p>
    <w:p w:rsidR="002508ED" w:rsidRPr="003D3F80" w:rsidRDefault="008B295B" w:rsidP="00A90205">
      <w:pPr>
        <w:pStyle w:val="ippara2"/>
        <w:widowControl/>
        <w:spacing w:after="200" w:line="276" w:lineRule="auto"/>
        <w:ind w:left="0" w:firstLine="0"/>
        <w:jc w:val="both"/>
        <w:rPr>
          <w:lang w:val="fr-FR"/>
        </w:rPr>
      </w:pPr>
      <w:r w:rsidRPr="003D3F80">
        <w:rPr>
          <w:b/>
          <w:bCs/>
          <w:i/>
          <w:color w:val="000000"/>
          <w:lang w:val="fr-FR"/>
        </w:rPr>
        <w:t>Promouvoir l</w:t>
      </w:r>
      <w:r w:rsidR="001051C0">
        <w:rPr>
          <w:b/>
          <w:bCs/>
          <w:i/>
          <w:color w:val="000000"/>
          <w:lang w:val="fr-FR"/>
        </w:rPr>
        <w:t>’</w:t>
      </w:r>
      <w:r w:rsidRPr="003D3F80">
        <w:rPr>
          <w:b/>
          <w:bCs/>
          <w:i/>
          <w:color w:val="000000"/>
          <w:lang w:val="fr-FR"/>
        </w:rPr>
        <w:t>harmonisation, l</w:t>
      </w:r>
      <w:r w:rsidR="001051C0">
        <w:rPr>
          <w:b/>
          <w:bCs/>
          <w:i/>
          <w:color w:val="000000"/>
          <w:lang w:val="fr-FR"/>
        </w:rPr>
        <w:t>’</w:t>
      </w:r>
      <w:r w:rsidRPr="003D3F80">
        <w:rPr>
          <w:b/>
          <w:bCs/>
          <w:i/>
          <w:color w:val="000000"/>
          <w:lang w:val="fr-FR"/>
        </w:rPr>
        <w:t>homogénéité et l</w:t>
      </w:r>
      <w:r w:rsidR="001051C0">
        <w:rPr>
          <w:b/>
          <w:bCs/>
          <w:i/>
          <w:color w:val="000000"/>
          <w:lang w:val="fr-FR"/>
        </w:rPr>
        <w:t>’</w:t>
      </w:r>
      <w:r w:rsidRPr="003D3F80">
        <w:rPr>
          <w:b/>
          <w:bCs/>
          <w:i/>
          <w:color w:val="000000"/>
          <w:lang w:val="fr-FR"/>
        </w:rPr>
        <w:t>alignement des politiques</w:t>
      </w:r>
      <w:r w:rsidR="006814DE" w:rsidRPr="003D3F80">
        <w:rPr>
          <w:b/>
          <w:bCs/>
          <w:i/>
          <w:color w:val="000000"/>
          <w:lang w:val="fr-FR"/>
        </w:rPr>
        <w:t xml:space="preserve">. </w:t>
      </w:r>
      <w:r w:rsidR="00CD632B">
        <w:rPr>
          <w:bCs/>
          <w:color w:val="000000"/>
          <w:lang w:val="fr-FR"/>
        </w:rPr>
        <w:t xml:space="preserve">L’examen et la mise à jour </w:t>
      </w:r>
      <w:r w:rsidR="00DA7FDD" w:rsidRPr="003D3F80">
        <w:rPr>
          <w:bCs/>
          <w:color w:val="000000"/>
          <w:lang w:val="fr-FR"/>
        </w:rPr>
        <w:t xml:space="preserve">des politiques de sauvegarde </w:t>
      </w:r>
      <w:r w:rsidR="00B04BD1" w:rsidRPr="003D3F80">
        <w:rPr>
          <w:bCs/>
          <w:color w:val="000000"/>
          <w:lang w:val="fr-FR"/>
        </w:rPr>
        <w:t>permettr</w:t>
      </w:r>
      <w:r w:rsidR="000A2FB4">
        <w:rPr>
          <w:bCs/>
          <w:color w:val="000000"/>
          <w:lang w:val="fr-FR"/>
        </w:rPr>
        <w:t>ont</w:t>
      </w:r>
      <w:r w:rsidR="00B04BD1" w:rsidRPr="003D3F80">
        <w:rPr>
          <w:bCs/>
          <w:color w:val="000000"/>
          <w:lang w:val="fr-FR"/>
        </w:rPr>
        <w:t xml:space="preserve"> de déterm</w:t>
      </w:r>
      <w:r w:rsidR="00C12FC3" w:rsidRPr="003D3F80">
        <w:rPr>
          <w:bCs/>
          <w:color w:val="000000"/>
          <w:lang w:val="fr-FR"/>
        </w:rPr>
        <w:t xml:space="preserve">iner les avantages que présentent </w:t>
      </w:r>
      <w:r w:rsidR="00B04BD1" w:rsidRPr="003D3F80">
        <w:rPr>
          <w:bCs/>
          <w:color w:val="000000"/>
          <w:lang w:val="fr-FR"/>
        </w:rPr>
        <w:t>l</w:t>
      </w:r>
      <w:r w:rsidR="001051C0">
        <w:rPr>
          <w:bCs/>
          <w:color w:val="000000"/>
          <w:lang w:val="fr-FR"/>
        </w:rPr>
        <w:t>’</w:t>
      </w:r>
      <w:r w:rsidR="00B04BD1" w:rsidRPr="003D3F80">
        <w:rPr>
          <w:bCs/>
          <w:color w:val="000000"/>
          <w:lang w:val="fr-FR"/>
        </w:rPr>
        <w:t xml:space="preserve">harmonisation et la mise en correspondance </w:t>
      </w:r>
      <w:r w:rsidR="00DA7FDD" w:rsidRPr="003D3F80">
        <w:rPr>
          <w:bCs/>
          <w:color w:val="000000"/>
          <w:lang w:val="fr-FR"/>
        </w:rPr>
        <w:t xml:space="preserve">de ces politiques </w:t>
      </w:r>
      <w:r w:rsidR="00B04BD1" w:rsidRPr="003D3F80">
        <w:rPr>
          <w:bCs/>
          <w:color w:val="000000"/>
          <w:lang w:val="fr-FR"/>
        </w:rPr>
        <w:t>avec les aspects voulus des autre</w:t>
      </w:r>
      <w:r w:rsidR="00DA7FDD" w:rsidRPr="003D3F80">
        <w:rPr>
          <w:bCs/>
          <w:color w:val="000000"/>
          <w:lang w:val="fr-FR"/>
        </w:rPr>
        <w:t>s</w:t>
      </w:r>
      <w:r w:rsidR="00B04BD1" w:rsidRPr="003D3F80">
        <w:rPr>
          <w:bCs/>
          <w:color w:val="000000"/>
          <w:lang w:val="fr-FR"/>
        </w:rPr>
        <w:t xml:space="preserve"> </w:t>
      </w:r>
      <w:r w:rsidR="002C34EF" w:rsidRPr="003D3F80">
        <w:rPr>
          <w:bCs/>
          <w:color w:val="000000"/>
          <w:lang w:val="fr-FR"/>
        </w:rPr>
        <w:t>dispositifs</w:t>
      </w:r>
      <w:r w:rsidR="00B04BD1" w:rsidRPr="003D3F80">
        <w:rPr>
          <w:bCs/>
          <w:color w:val="000000"/>
          <w:lang w:val="fr-FR"/>
        </w:rPr>
        <w:t xml:space="preserve"> du même type et des méthodes faisant autorité au plan mondial. Il sera l</w:t>
      </w:r>
      <w:r w:rsidR="001051C0">
        <w:rPr>
          <w:bCs/>
          <w:color w:val="000000"/>
          <w:lang w:val="fr-FR"/>
        </w:rPr>
        <w:t>’</w:t>
      </w:r>
      <w:r w:rsidR="00B04BD1" w:rsidRPr="003D3F80">
        <w:rPr>
          <w:bCs/>
          <w:color w:val="000000"/>
          <w:lang w:val="fr-FR"/>
        </w:rPr>
        <w:t xml:space="preserve">occasion de prendre note des modifications que les autres BMD ont récemment </w:t>
      </w:r>
      <w:r w:rsidR="002C34EF" w:rsidRPr="003D3F80">
        <w:rPr>
          <w:bCs/>
          <w:color w:val="000000"/>
          <w:lang w:val="fr-FR"/>
        </w:rPr>
        <w:t>apportées</w:t>
      </w:r>
      <w:r w:rsidR="00B04BD1" w:rsidRPr="003D3F80">
        <w:rPr>
          <w:bCs/>
          <w:color w:val="000000"/>
          <w:lang w:val="fr-FR"/>
        </w:rPr>
        <w:t xml:space="preserve"> </w:t>
      </w:r>
      <w:r w:rsidR="00DA7FDD" w:rsidRPr="003D3F80">
        <w:rPr>
          <w:bCs/>
          <w:color w:val="000000"/>
          <w:lang w:val="fr-FR"/>
        </w:rPr>
        <w:t xml:space="preserve">à </w:t>
      </w:r>
      <w:r w:rsidR="00B04BD1" w:rsidRPr="003D3F80">
        <w:rPr>
          <w:bCs/>
          <w:color w:val="000000"/>
          <w:lang w:val="fr-FR"/>
        </w:rPr>
        <w:t xml:space="preserve">leurs principes de sauvegarde, notamment ceux qui concernent à la fois les emprunteurs </w:t>
      </w:r>
      <w:r w:rsidR="00DA7FDD" w:rsidRPr="003D3F80">
        <w:rPr>
          <w:bCs/>
          <w:color w:val="000000"/>
          <w:lang w:val="fr-FR"/>
        </w:rPr>
        <w:t xml:space="preserve">des </w:t>
      </w:r>
      <w:r w:rsidR="00B04BD1" w:rsidRPr="003D3F80">
        <w:rPr>
          <w:bCs/>
          <w:color w:val="000000"/>
          <w:lang w:val="fr-FR"/>
        </w:rPr>
        <w:t xml:space="preserve">secteurs public et privé. Au sein du Groupe de la Banque mondiale, </w:t>
      </w:r>
      <w:r w:rsidR="00CD632B">
        <w:rPr>
          <w:bCs/>
          <w:color w:val="000000"/>
          <w:lang w:val="fr-FR"/>
        </w:rPr>
        <w:t xml:space="preserve">l’examen et la mise à jour </w:t>
      </w:r>
      <w:r w:rsidR="001D0DD1" w:rsidRPr="003D3F80">
        <w:rPr>
          <w:bCs/>
          <w:color w:val="000000"/>
          <w:lang w:val="fr-FR"/>
        </w:rPr>
        <w:t>tirer</w:t>
      </w:r>
      <w:r w:rsidR="001D0DD1">
        <w:rPr>
          <w:bCs/>
          <w:color w:val="000000"/>
          <w:lang w:val="fr-FR"/>
        </w:rPr>
        <w:t>ont</w:t>
      </w:r>
      <w:r w:rsidR="001D0DD1" w:rsidRPr="003D3F80">
        <w:rPr>
          <w:bCs/>
          <w:color w:val="000000"/>
          <w:lang w:val="fr-FR"/>
        </w:rPr>
        <w:t xml:space="preserve"> </w:t>
      </w:r>
      <w:r w:rsidR="00B04BD1" w:rsidRPr="003D3F80">
        <w:rPr>
          <w:bCs/>
          <w:color w:val="000000"/>
          <w:lang w:val="fr-FR"/>
        </w:rPr>
        <w:t>parti de l</w:t>
      </w:r>
      <w:r w:rsidR="001051C0">
        <w:rPr>
          <w:bCs/>
          <w:color w:val="000000"/>
          <w:lang w:val="fr-FR"/>
        </w:rPr>
        <w:t>’</w:t>
      </w:r>
      <w:r w:rsidR="00B04BD1" w:rsidRPr="003D3F80">
        <w:rPr>
          <w:bCs/>
          <w:color w:val="000000"/>
          <w:lang w:val="fr-FR"/>
        </w:rPr>
        <w:t>application par la Banque des Normes de performance aux projets du secteur privé financé</w:t>
      </w:r>
      <w:r w:rsidR="00DA7FDD" w:rsidRPr="003D3F80">
        <w:rPr>
          <w:bCs/>
          <w:color w:val="000000"/>
          <w:lang w:val="fr-FR"/>
        </w:rPr>
        <w:t>s</w:t>
      </w:r>
      <w:r w:rsidR="00B04BD1" w:rsidRPr="003D3F80">
        <w:rPr>
          <w:bCs/>
          <w:color w:val="000000"/>
          <w:lang w:val="fr-FR"/>
        </w:rPr>
        <w:t xml:space="preserve"> ou appuyé</w:t>
      </w:r>
      <w:r w:rsidR="00DA7FDD" w:rsidRPr="003D3F80">
        <w:rPr>
          <w:bCs/>
          <w:color w:val="000000"/>
          <w:lang w:val="fr-FR"/>
        </w:rPr>
        <w:t>s</w:t>
      </w:r>
      <w:r w:rsidR="00B04BD1" w:rsidRPr="003D3F80">
        <w:rPr>
          <w:bCs/>
          <w:color w:val="000000"/>
          <w:lang w:val="fr-FR"/>
        </w:rPr>
        <w:t xml:space="preserve"> par l</w:t>
      </w:r>
      <w:r w:rsidR="001051C0">
        <w:rPr>
          <w:bCs/>
          <w:color w:val="000000"/>
          <w:lang w:val="fr-FR"/>
        </w:rPr>
        <w:t>’</w:t>
      </w:r>
      <w:r w:rsidR="00B04BD1" w:rsidRPr="003D3F80">
        <w:rPr>
          <w:bCs/>
          <w:color w:val="000000"/>
          <w:lang w:val="fr-FR"/>
        </w:rPr>
        <w:t>institution. En outre, l</w:t>
      </w:r>
      <w:r w:rsidR="001051C0">
        <w:rPr>
          <w:bCs/>
          <w:color w:val="000000"/>
          <w:lang w:val="fr-FR"/>
        </w:rPr>
        <w:t>’</w:t>
      </w:r>
      <w:r w:rsidR="00B04BD1" w:rsidRPr="003D3F80">
        <w:rPr>
          <w:bCs/>
          <w:color w:val="000000"/>
          <w:lang w:val="fr-FR"/>
        </w:rPr>
        <w:t>exercice tiendra compte des approches du développement durable appliquées par d</w:t>
      </w:r>
      <w:r w:rsidR="001051C0">
        <w:rPr>
          <w:bCs/>
          <w:color w:val="000000"/>
          <w:lang w:val="fr-FR"/>
        </w:rPr>
        <w:t>’</w:t>
      </w:r>
      <w:r w:rsidR="00B04BD1" w:rsidRPr="003D3F80">
        <w:rPr>
          <w:bCs/>
          <w:color w:val="000000"/>
          <w:lang w:val="fr-FR"/>
        </w:rPr>
        <w:t xml:space="preserve">autres, notamment les initiatives des secteurs privé et public qui font référence aux Normes de performance </w:t>
      </w:r>
      <w:r w:rsidR="006814DE" w:rsidRPr="003D3F80">
        <w:rPr>
          <w:lang w:val="fr-FR"/>
        </w:rPr>
        <w:t>(</w:t>
      </w:r>
      <w:r w:rsidR="00B04BD1" w:rsidRPr="003D3F80">
        <w:rPr>
          <w:lang w:val="fr-FR"/>
        </w:rPr>
        <w:t>Principes d</w:t>
      </w:r>
      <w:r w:rsidR="001051C0">
        <w:rPr>
          <w:lang w:val="fr-FR"/>
        </w:rPr>
        <w:t>’</w:t>
      </w:r>
      <w:r w:rsidR="00B04BD1" w:rsidRPr="003D3F80">
        <w:rPr>
          <w:lang w:val="fr-FR"/>
        </w:rPr>
        <w:t>Équateur, Approche commune de l</w:t>
      </w:r>
      <w:r w:rsidR="001051C0">
        <w:rPr>
          <w:lang w:val="fr-FR"/>
        </w:rPr>
        <w:t>’</w:t>
      </w:r>
      <w:r w:rsidR="00B04BD1" w:rsidRPr="003D3F80">
        <w:rPr>
          <w:lang w:val="fr-FR"/>
        </w:rPr>
        <w:t>OCDE pour les organismes de crédit à l</w:t>
      </w:r>
      <w:r w:rsidR="001051C0">
        <w:rPr>
          <w:lang w:val="fr-FR"/>
        </w:rPr>
        <w:t>’</w:t>
      </w:r>
      <w:r w:rsidR="00B04BD1" w:rsidRPr="003D3F80">
        <w:rPr>
          <w:lang w:val="fr-FR"/>
        </w:rPr>
        <w:t>exportation, institutions financières européennes pour le développement, par exemple), les organismes compétents Nations Unies, les autres</w:t>
      </w:r>
      <w:r w:rsidR="00DA7FDD" w:rsidRPr="003D3F80">
        <w:rPr>
          <w:lang w:val="fr-FR"/>
        </w:rPr>
        <w:t xml:space="preserve"> </w:t>
      </w:r>
      <w:r w:rsidR="00B04BD1" w:rsidRPr="003D3F80">
        <w:rPr>
          <w:lang w:val="fr-FR"/>
        </w:rPr>
        <w:t>BMD, les bailleurs d</w:t>
      </w:r>
      <w:r w:rsidR="001051C0">
        <w:rPr>
          <w:lang w:val="fr-FR"/>
        </w:rPr>
        <w:t>’</w:t>
      </w:r>
      <w:r w:rsidR="00B04BD1" w:rsidRPr="003D3F80">
        <w:rPr>
          <w:lang w:val="fr-FR"/>
        </w:rPr>
        <w:t>aide bilatérale et les gouvernements membres</w:t>
      </w:r>
      <w:r w:rsidR="00F137F1" w:rsidRPr="003D3F80">
        <w:rPr>
          <w:lang w:val="fr-FR"/>
        </w:rPr>
        <w:t>.</w:t>
      </w:r>
      <w:r w:rsidR="000F6A2C" w:rsidRPr="003D3F80">
        <w:rPr>
          <w:lang w:val="fr-FR"/>
        </w:rPr>
        <w:t xml:space="preserve"> </w:t>
      </w:r>
    </w:p>
    <w:p w:rsidR="00C12FC3" w:rsidRPr="003D3F80" w:rsidRDefault="00A97DBA" w:rsidP="00A90205">
      <w:pPr>
        <w:pStyle w:val="ippara2"/>
        <w:widowControl/>
        <w:spacing w:after="200" w:line="276" w:lineRule="auto"/>
        <w:ind w:left="0" w:firstLine="0"/>
        <w:jc w:val="both"/>
        <w:rPr>
          <w:lang w:val="fr-FR"/>
        </w:rPr>
      </w:pPr>
      <w:r>
        <w:rPr>
          <w:b/>
          <w:i/>
          <w:lang w:val="fr-FR"/>
        </w:rPr>
        <w:t>Rendre les opérations de la Banque plus transparentes</w:t>
      </w:r>
      <w:r w:rsidR="00C12FC3" w:rsidRPr="003D3F80">
        <w:rPr>
          <w:b/>
          <w:i/>
          <w:lang w:val="fr-FR"/>
        </w:rPr>
        <w:t>.</w:t>
      </w:r>
      <w:r w:rsidR="00C12FC3" w:rsidRPr="003D3F80">
        <w:rPr>
          <w:lang w:val="fr-FR"/>
        </w:rPr>
        <w:t xml:space="preserve"> </w:t>
      </w:r>
      <w:r>
        <w:rPr>
          <w:lang w:val="fr-FR"/>
        </w:rPr>
        <w:t>Enfin, la direction note que ce processus d</w:t>
      </w:r>
      <w:r w:rsidR="00B30D73">
        <w:rPr>
          <w:lang w:val="fr-FR"/>
        </w:rPr>
        <w:t>’</w:t>
      </w:r>
      <w:r>
        <w:rPr>
          <w:lang w:val="fr-FR"/>
        </w:rPr>
        <w:t xml:space="preserve">examen et de mise à jour des politiques de sauvegarde se déroule alors que </w:t>
      </w:r>
      <w:r w:rsidR="00B831CA">
        <w:rPr>
          <w:lang w:val="fr-FR"/>
        </w:rPr>
        <w:t xml:space="preserve">les opérations de la Banque sous </w:t>
      </w:r>
      <w:r>
        <w:rPr>
          <w:lang w:val="fr-FR"/>
        </w:rPr>
        <w:t>tous le</w:t>
      </w:r>
      <w:r w:rsidR="00B831CA">
        <w:rPr>
          <w:lang w:val="fr-FR"/>
        </w:rPr>
        <w:t>ur</w:t>
      </w:r>
      <w:r>
        <w:rPr>
          <w:lang w:val="fr-FR"/>
        </w:rPr>
        <w:t xml:space="preserve">s aspects </w:t>
      </w:r>
      <w:r w:rsidR="00B831CA">
        <w:rPr>
          <w:lang w:val="fr-FR"/>
        </w:rPr>
        <w:t xml:space="preserve">sont plus transparentes que jamais. Cette </w:t>
      </w:r>
      <w:r w:rsidR="00C12FC3" w:rsidRPr="003D3F80">
        <w:rPr>
          <w:lang w:val="fr-FR"/>
        </w:rPr>
        <w:t>transparenc</w:t>
      </w:r>
      <w:r w:rsidR="00B831CA">
        <w:rPr>
          <w:lang w:val="fr-FR"/>
        </w:rPr>
        <w:t>e devrait faciliter le processus</w:t>
      </w:r>
      <w:r w:rsidR="001D0DD1">
        <w:rPr>
          <w:lang w:val="fr-FR"/>
        </w:rPr>
        <w:t xml:space="preserve"> d'examen </w:t>
      </w:r>
      <w:r w:rsidR="00B831CA">
        <w:rPr>
          <w:lang w:val="fr-FR"/>
        </w:rPr>
        <w:t xml:space="preserve">et de mise à jour, ainsi que la réalisation des objectifs visant à élaborer un cadre intégré. </w:t>
      </w:r>
    </w:p>
    <w:p w:rsidR="00362A53" w:rsidRPr="003D3F80" w:rsidRDefault="00362A53" w:rsidP="00362A53">
      <w:pPr>
        <w:pStyle w:val="Heading3"/>
        <w:keepNext/>
        <w:widowControl/>
        <w:numPr>
          <w:ilvl w:val="0"/>
          <w:numId w:val="38"/>
        </w:numPr>
        <w:spacing w:before="0" w:after="200" w:line="276" w:lineRule="auto"/>
        <w:rPr>
          <w:szCs w:val="24"/>
          <w:lang w:val="fr-FR"/>
        </w:rPr>
      </w:pPr>
      <w:bookmarkStart w:id="5" w:name="_Toc338065568"/>
      <w:r w:rsidRPr="003D3F80">
        <w:rPr>
          <w:szCs w:val="24"/>
          <w:lang w:val="fr-FR"/>
        </w:rPr>
        <w:lastRenderedPageBreak/>
        <w:t>Champ du processus d</w:t>
      </w:r>
      <w:r w:rsidR="00B30D73">
        <w:rPr>
          <w:szCs w:val="24"/>
          <w:lang w:val="fr-FR"/>
        </w:rPr>
        <w:t>’</w:t>
      </w:r>
      <w:r w:rsidRPr="003D3F80">
        <w:rPr>
          <w:szCs w:val="24"/>
          <w:lang w:val="fr-FR"/>
        </w:rPr>
        <w:t>examen</w:t>
      </w:r>
      <w:r w:rsidR="00B30D73">
        <w:rPr>
          <w:szCs w:val="24"/>
          <w:lang w:val="fr-FR"/>
        </w:rPr>
        <w:t xml:space="preserve"> et de mise à jour</w:t>
      </w:r>
      <w:bookmarkEnd w:id="5"/>
    </w:p>
    <w:p w:rsidR="00362A53" w:rsidRPr="003D3F80" w:rsidRDefault="00362A53" w:rsidP="00362A53">
      <w:pPr>
        <w:pStyle w:val="ippara2"/>
        <w:widowControl/>
        <w:spacing w:after="200" w:line="276" w:lineRule="auto"/>
        <w:ind w:left="0" w:firstLine="0"/>
        <w:jc w:val="both"/>
        <w:rPr>
          <w:lang w:val="fr-FR"/>
        </w:rPr>
      </w:pPr>
      <w:r w:rsidRPr="003D3F80">
        <w:rPr>
          <w:b/>
          <w:i/>
          <w:lang w:val="fr-FR"/>
        </w:rPr>
        <w:t>Champ d</w:t>
      </w:r>
      <w:r w:rsidR="001051C0">
        <w:rPr>
          <w:b/>
          <w:i/>
          <w:lang w:val="fr-FR"/>
        </w:rPr>
        <w:t>’</w:t>
      </w:r>
      <w:r w:rsidRPr="003D3F80">
        <w:rPr>
          <w:b/>
          <w:i/>
          <w:lang w:val="fr-FR"/>
        </w:rPr>
        <w:t>application.</w:t>
      </w:r>
      <w:r w:rsidRPr="003D3F80">
        <w:rPr>
          <w:lang w:val="fr-FR"/>
        </w:rPr>
        <w:t xml:space="preserve"> Comme on l</w:t>
      </w:r>
      <w:r w:rsidR="001051C0">
        <w:rPr>
          <w:lang w:val="fr-FR"/>
        </w:rPr>
        <w:t>’</w:t>
      </w:r>
      <w:r w:rsidRPr="003D3F80">
        <w:rPr>
          <w:lang w:val="fr-FR"/>
        </w:rPr>
        <w:t xml:space="preserve">a vu au paragraphe 19 ci-dessus, </w:t>
      </w:r>
      <w:r w:rsidR="00CD632B">
        <w:rPr>
          <w:lang w:val="fr-FR"/>
        </w:rPr>
        <w:t xml:space="preserve">l’examen et la mise à jour </w:t>
      </w:r>
      <w:r w:rsidRPr="003D3F80">
        <w:rPr>
          <w:lang w:val="fr-FR"/>
        </w:rPr>
        <w:t>des politiques de sauvegarde devrai</w:t>
      </w:r>
      <w:r w:rsidR="000A2FB4">
        <w:rPr>
          <w:lang w:val="fr-FR"/>
        </w:rPr>
        <w:t>en</w:t>
      </w:r>
      <w:r w:rsidRPr="003D3F80">
        <w:rPr>
          <w:lang w:val="fr-FR"/>
        </w:rPr>
        <w:t xml:space="preserve">t déboucher sur un </w:t>
      </w:r>
      <w:r w:rsidR="00E916CB">
        <w:rPr>
          <w:lang w:val="fr-FR"/>
        </w:rPr>
        <w:t>cadre intégré</w:t>
      </w:r>
      <w:r w:rsidRPr="003D3F80">
        <w:rPr>
          <w:lang w:val="fr-FR"/>
        </w:rPr>
        <w:t xml:space="preserve"> qui définira la manière dont tous les instruments de la Banque peuvent permettre d</w:t>
      </w:r>
      <w:r w:rsidR="001051C0">
        <w:rPr>
          <w:lang w:val="fr-FR"/>
        </w:rPr>
        <w:t>’</w:t>
      </w:r>
      <w:r w:rsidRPr="003D3F80">
        <w:rPr>
          <w:lang w:val="fr-FR"/>
        </w:rPr>
        <w:t>obtenir de meilleurs résultats au plan du développement. Dans ce cadre, les révisions envisagées porteront en premier lieu sur l</w:t>
      </w:r>
      <w:r w:rsidR="001051C0">
        <w:rPr>
          <w:lang w:val="fr-FR"/>
        </w:rPr>
        <w:t>’</w:t>
      </w:r>
      <w:r w:rsidRPr="003D3F80">
        <w:rPr>
          <w:lang w:val="fr-FR"/>
        </w:rPr>
        <w:t>application des politiques de sauvegarde aux prêts d</w:t>
      </w:r>
      <w:r w:rsidR="001051C0">
        <w:rPr>
          <w:lang w:val="fr-FR"/>
        </w:rPr>
        <w:t>’</w:t>
      </w:r>
      <w:r w:rsidRPr="003D3F80">
        <w:rPr>
          <w:lang w:val="fr-FR"/>
        </w:rPr>
        <w:t>investissement étant donné l</w:t>
      </w:r>
      <w:r w:rsidR="001051C0">
        <w:rPr>
          <w:lang w:val="fr-FR"/>
        </w:rPr>
        <w:t>’</w:t>
      </w:r>
      <w:r w:rsidRPr="003D3F80">
        <w:rPr>
          <w:lang w:val="fr-FR"/>
        </w:rPr>
        <w:t>importance de cet instrument pour la Banque et ses emprunteurs. La base des politiques de sauvegarde concernées est donc la suivante :</w:t>
      </w:r>
    </w:p>
    <w:p w:rsidR="00362A53" w:rsidRPr="003D3F80" w:rsidRDefault="00362A53" w:rsidP="00362A53">
      <w:pPr>
        <w:pStyle w:val="BodyText"/>
        <w:widowControl/>
        <w:numPr>
          <w:ilvl w:val="0"/>
          <w:numId w:val="9"/>
        </w:numPr>
        <w:spacing w:before="0" w:after="200" w:line="276" w:lineRule="auto"/>
        <w:ind w:left="720"/>
        <w:rPr>
          <w:lang w:val="fr-FR"/>
        </w:rPr>
      </w:pPr>
      <w:r w:rsidRPr="003D3F80">
        <w:rPr>
          <w:lang w:val="fr-FR"/>
        </w:rPr>
        <w:t>Huit politiques de sauvegarde environnementale et sociale (cf. encadré 1 ci-dessous) ;</w:t>
      </w:r>
    </w:p>
    <w:p w:rsidR="00362A53" w:rsidRPr="003D3F80" w:rsidRDefault="00362A53" w:rsidP="00362A53">
      <w:pPr>
        <w:pStyle w:val="BodyText"/>
        <w:widowControl/>
        <w:numPr>
          <w:ilvl w:val="0"/>
          <w:numId w:val="9"/>
        </w:numPr>
        <w:spacing w:before="0" w:after="200" w:line="276" w:lineRule="auto"/>
        <w:ind w:left="720"/>
        <w:rPr>
          <w:lang w:val="fr-FR"/>
        </w:rPr>
      </w:pPr>
      <w:r w:rsidRPr="003D3F80">
        <w:rPr>
          <w:lang w:val="fr-FR"/>
        </w:rPr>
        <w:t>L</w:t>
      </w:r>
      <w:r w:rsidR="001D0DD1" w:rsidRPr="001D0DD1">
        <w:rPr>
          <w:lang w:val="fr-FR"/>
        </w:rPr>
        <w:t xml:space="preserve">’OP 4.00 </w:t>
      </w:r>
      <w:r w:rsidR="001D0DD1" w:rsidRPr="001D0DD1">
        <w:rPr>
          <w:i/>
          <w:lang w:val="fr-FR"/>
        </w:rPr>
        <w:t>Politique pilote d'utilisation des systèmes de l'emprunteur pour les politiques de sauvegarde environnementale et sociale</w:t>
      </w:r>
      <w:r w:rsidR="001D0DD1" w:rsidRPr="001D0DD1">
        <w:rPr>
          <w:lang w:val="fr-FR"/>
        </w:rPr>
        <w:t xml:space="preserve"> (« Utilisation des systèmes de l'emprunteur</w:t>
      </w:r>
      <w:r w:rsidR="00350F0A">
        <w:rPr>
          <w:lang w:val="fr-FR"/>
        </w:rPr>
        <w:t> </w:t>
      </w:r>
      <w:r w:rsidR="001D0DD1" w:rsidRPr="001D0DD1">
        <w:rPr>
          <w:lang w:val="fr-FR"/>
        </w:rPr>
        <w:t>»)</w:t>
      </w:r>
      <w:r w:rsidRPr="003D3F80">
        <w:rPr>
          <w:lang w:val="fr-FR"/>
        </w:rPr>
        <w:t>.</w:t>
      </w:r>
    </w:p>
    <w:tbl>
      <w:tblPr>
        <w:tblW w:w="9356" w:type="dxa"/>
        <w:tblInd w:w="250" w:type="dxa"/>
        <w:tblLayout w:type="fixed"/>
        <w:tblLook w:val="04A0" w:firstRow="1" w:lastRow="0" w:firstColumn="1" w:lastColumn="0" w:noHBand="0" w:noVBand="1"/>
      </w:tblPr>
      <w:tblGrid>
        <w:gridCol w:w="9356"/>
      </w:tblGrid>
      <w:tr w:rsidR="00362A53" w:rsidRPr="003D3F80">
        <w:tc>
          <w:tcPr>
            <w:tcW w:w="9356" w:type="dxa"/>
          </w:tcPr>
          <w:p w:rsidR="00362A53" w:rsidRPr="003D3F80" w:rsidRDefault="00362A53" w:rsidP="00342113">
            <w:pPr>
              <w:keepNext/>
              <w:keepLines/>
              <w:widowControl/>
              <w:spacing w:after="200" w:line="276" w:lineRule="auto"/>
              <w:rPr>
                <w:rFonts w:cs="Times New Roman"/>
                <w:b/>
                <w:bCs/>
                <w:szCs w:val="24"/>
                <w:lang w:val="fr-FR"/>
              </w:rPr>
            </w:pPr>
            <w:r w:rsidRPr="003D3F80">
              <w:rPr>
                <w:rFonts w:cs="Times New Roman"/>
                <w:b/>
                <w:bCs/>
                <w:szCs w:val="24"/>
                <w:lang w:val="fr-FR"/>
              </w:rPr>
              <w:t>Encadré 1 : Base des politiques de sauvegarde environnementale et sociale</w:t>
            </w:r>
          </w:p>
          <w:tbl>
            <w:tblPr>
              <w:tblW w:w="9673" w:type="dxa"/>
              <w:tblLayout w:type="fixed"/>
              <w:tblLook w:val="04A0" w:firstRow="1" w:lastRow="0" w:firstColumn="1" w:lastColumn="0" w:noHBand="0" w:noVBand="1"/>
            </w:tblPr>
            <w:tblGrid>
              <w:gridCol w:w="4570"/>
              <w:gridCol w:w="5103"/>
            </w:tblGrid>
            <w:tr w:rsidR="00362A53" w:rsidRPr="003D3F80">
              <w:tc>
                <w:tcPr>
                  <w:tcW w:w="4570" w:type="dxa"/>
                </w:tcPr>
                <w:p w:rsidR="00362A53" w:rsidRPr="003D3F80" w:rsidRDefault="00362A53" w:rsidP="00342113">
                  <w:pPr>
                    <w:pStyle w:val="NormalWeb"/>
                    <w:keepNext/>
                    <w:keepLines/>
                    <w:widowControl/>
                    <w:numPr>
                      <w:ilvl w:val="0"/>
                      <w:numId w:val="1"/>
                    </w:numPr>
                    <w:spacing w:before="0" w:beforeAutospacing="0" w:after="200" w:afterAutospacing="0" w:line="276" w:lineRule="auto"/>
                    <w:ind w:left="318" w:right="284" w:hanging="284"/>
                    <w:rPr>
                      <w:b/>
                      <w:bCs/>
                      <w:szCs w:val="22"/>
                      <w:lang w:val="fr-FR"/>
                    </w:rPr>
                  </w:pPr>
                  <w:r w:rsidRPr="003D3F80">
                    <w:rPr>
                      <w:b/>
                      <w:bCs/>
                      <w:sz w:val="22"/>
                      <w:szCs w:val="22"/>
                      <w:lang w:val="fr-FR"/>
                    </w:rPr>
                    <w:t xml:space="preserve">OP 4.01, Évaluation environnementale </w:t>
                  </w:r>
                </w:p>
                <w:p w:rsidR="00362A53" w:rsidRPr="003D3F80" w:rsidRDefault="00362A53" w:rsidP="00342113">
                  <w:pPr>
                    <w:pStyle w:val="NormalWeb"/>
                    <w:keepNext/>
                    <w:keepLines/>
                    <w:widowControl/>
                    <w:numPr>
                      <w:ilvl w:val="0"/>
                      <w:numId w:val="1"/>
                    </w:numPr>
                    <w:spacing w:before="0" w:beforeAutospacing="0" w:after="200" w:afterAutospacing="0" w:line="276" w:lineRule="auto"/>
                    <w:ind w:left="318" w:right="284" w:hanging="284"/>
                    <w:rPr>
                      <w:b/>
                      <w:bCs/>
                      <w:szCs w:val="22"/>
                      <w:lang w:val="fr-FR"/>
                    </w:rPr>
                  </w:pPr>
                  <w:r w:rsidRPr="003D3F80">
                    <w:rPr>
                      <w:b/>
                      <w:bCs/>
                      <w:sz w:val="22"/>
                      <w:szCs w:val="22"/>
                      <w:lang w:val="fr-FR"/>
                    </w:rPr>
                    <w:t>OP 4.04, Habitats naturels</w:t>
                  </w:r>
                </w:p>
                <w:p w:rsidR="00362A53" w:rsidRPr="003D3F80" w:rsidRDefault="00362A53" w:rsidP="00342113">
                  <w:pPr>
                    <w:pStyle w:val="NormalWeb"/>
                    <w:keepNext/>
                    <w:keepLines/>
                    <w:widowControl/>
                    <w:numPr>
                      <w:ilvl w:val="0"/>
                      <w:numId w:val="1"/>
                    </w:numPr>
                    <w:spacing w:before="0" w:beforeAutospacing="0" w:after="200" w:afterAutospacing="0" w:line="276" w:lineRule="auto"/>
                    <w:ind w:left="318" w:right="284" w:hanging="284"/>
                    <w:rPr>
                      <w:b/>
                      <w:szCs w:val="22"/>
                      <w:lang w:val="fr-FR"/>
                    </w:rPr>
                  </w:pPr>
                  <w:r w:rsidRPr="003D3F80">
                    <w:rPr>
                      <w:b/>
                      <w:bCs/>
                      <w:sz w:val="22"/>
                      <w:szCs w:val="22"/>
                      <w:lang w:val="fr-FR"/>
                    </w:rPr>
                    <w:t xml:space="preserve">OP </w:t>
                  </w:r>
                  <w:r w:rsidRPr="003D3F80">
                    <w:rPr>
                      <w:b/>
                      <w:sz w:val="22"/>
                      <w:szCs w:val="22"/>
                      <w:lang w:val="fr-FR"/>
                    </w:rPr>
                    <w:t xml:space="preserve">4.09, Lutte antiparasitaire </w:t>
                  </w:r>
                </w:p>
                <w:p w:rsidR="00362A53" w:rsidRPr="003D3F80" w:rsidRDefault="00362A53" w:rsidP="00B30D73">
                  <w:pPr>
                    <w:pStyle w:val="NormalWeb"/>
                    <w:keepNext/>
                    <w:keepLines/>
                    <w:widowControl/>
                    <w:numPr>
                      <w:ilvl w:val="0"/>
                      <w:numId w:val="8"/>
                    </w:numPr>
                    <w:spacing w:before="0" w:beforeAutospacing="0" w:after="200" w:afterAutospacing="0" w:line="276" w:lineRule="auto"/>
                    <w:ind w:left="318" w:right="284" w:hanging="284"/>
                    <w:rPr>
                      <w:b/>
                      <w:bCs/>
                      <w:szCs w:val="22"/>
                      <w:lang w:val="fr-FR"/>
                    </w:rPr>
                  </w:pPr>
                  <w:r w:rsidRPr="003D3F80">
                    <w:rPr>
                      <w:b/>
                      <w:bCs/>
                      <w:sz w:val="22"/>
                      <w:szCs w:val="22"/>
                      <w:lang w:val="fr-FR"/>
                    </w:rPr>
                    <w:t>OP 4.10, Populations autochtones</w:t>
                  </w:r>
                </w:p>
              </w:tc>
              <w:tc>
                <w:tcPr>
                  <w:tcW w:w="5103" w:type="dxa"/>
                </w:tcPr>
                <w:p w:rsidR="00362A53" w:rsidRPr="003D3F80" w:rsidRDefault="00362A53" w:rsidP="00342113">
                  <w:pPr>
                    <w:pStyle w:val="NormalWeb"/>
                    <w:keepNext/>
                    <w:keepLines/>
                    <w:widowControl/>
                    <w:numPr>
                      <w:ilvl w:val="0"/>
                      <w:numId w:val="2"/>
                    </w:numPr>
                    <w:tabs>
                      <w:tab w:val="clear" w:pos="720"/>
                    </w:tabs>
                    <w:spacing w:before="0" w:beforeAutospacing="0" w:after="200" w:afterAutospacing="0" w:line="276" w:lineRule="auto"/>
                    <w:ind w:left="568" w:hanging="284"/>
                    <w:rPr>
                      <w:b/>
                      <w:bCs/>
                      <w:szCs w:val="22"/>
                      <w:lang w:val="fr-FR"/>
                    </w:rPr>
                  </w:pPr>
                  <w:r w:rsidRPr="003D3F80">
                    <w:rPr>
                      <w:b/>
                      <w:bCs/>
                      <w:sz w:val="22"/>
                      <w:szCs w:val="22"/>
                      <w:lang w:val="fr-FR"/>
                    </w:rPr>
                    <w:t xml:space="preserve">OP 4.11, Patrimoine physique et culturel </w:t>
                  </w:r>
                </w:p>
                <w:p w:rsidR="00362A53" w:rsidRPr="003D3F80" w:rsidRDefault="00362A53" w:rsidP="005B1514">
                  <w:pPr>
                    <w:pStyle w:val="NormalWeb"/>
                    <w:keepNext/>
                    <w:keepLines/>
                    <w:widowControl/>
                    <w:numPr>
                      <w:ilvl w:val="0"/>
                      <w:numId w:val="2"/>
                    </w:numPr>
                    <w:tabs>
                      <w:tab w:val="clear" w:pos="720"/>
                    </w:tabs>
                    <w:spacing w:before="0" w:beforeAutospacing="0" w:after="200" w:afterAutospacing="0" w:line="276" w:lineRule="auto"/>
                    <w:ind w:left="568" w:hanging="284"/>
                    <w:rPr>
                      <w:b/>
                      <w:bCs/>
                      <w:szCs w:val="22"/>
                      <w:lang w:val="fr-FR"/>
                    </w:rPr>
                  </w:pPr>
                  <w:r w:rsidRPr="00B30D73">
                    <w:rPr>
                      <w:b/>
                      <w:bCs/>
                      <w:sz w:val="22"/>
                      <w:szCs w:val="22"/>
                      <w:lang w:val="fr-FR"/>
                    </w:rPr>
                    <w:t xml:space="preserve">OP 4.12, Réinstallation </w:t>
                  </w:r>
                  <w:r w:rsidR="00C556D5">
                    <w:rPr>
                      <w:b/>
                      <w:bCs/>
                      <w:sz w:val="22"/>
                      <w:lang w:val="fr-FR"/>
                    </w:rPr>
                    <w:t>forcée</w:t>
                  </w:r>
                </w:p>
                <w:p w:rsidR="00362A53" w:rsidRPr="00C13650" w:rsidRDefault="00362A53" w:rsidP="00B30D73">
                  <w:pPr>
                    <w:pStyle w:val="NormalWeb"/>
                    <w:keepNext/>
                    <w:keepLines/>
                    <w:widowControl/>
                    <w:numPr>
                      <w:ilvl w:val="0"/>
                      <w:numId w:val="2"/>
                    </w:numPr>
                    <w:tabs>
                      <w:tab w:val="clear" w:pos="720"/>
                    </w:tabs>
                    <w:spacing w:before="0" w:beforeAutospacing="0" w:after="200" w:afterAutospacing="0" w:line="276" w:lineRule="auto"/>
                    <w:ind w:left="568" w:hanging="284"/>
                    <w:rPr>
                      <w:b/>
                      <w:bCs/>
                      <w:szCs w:val="22"/>
                      <w:lang w:val="fr-FR"/>
                    </w:rPr>
                  </w:pPr>
                  <w:r w:rsidRPr="005B1514">
                    <w:rPr>
                      <w:b/>
                      <w:sz w:val="22"/>
                      <w:szCs w:val="22"/>
                      <w:lang w:val="fr-FR"/>
                    </w:rPr>
                    <w:t>O</w:t>
                  </w:r>
                  <w:r w:rsidRPr="00B30D73">
                    <w:rPr>
                      <w:b/>
                      <w:sz w:val="22"/>
                      <w:szCs w:val="22"/>
                      <w:lang w:val="fr-FR"/>
                    </w:rPr>
                    <w:t>P 4.36, Forêts</w:t>
                  </w:r>
                  <w:r w:rsidRPr="00B30D73">
                    <w:rPr>
                      <w:b/>
                      <w:bCs/>
                      <w:sz w:val="22"/>
                      <w:szCs w:val="22"/>
                      <w:lang w:val="fr-FR"/>
                    </w:rPr>
                    <w:t xml:space="preserve"> </w:t>
                  </w:r>
                </w:p>
                <w:p w:rsidR="00362A53" w:rsidRPr="003D3F80" w:rsidRDefault="00362A53" w:rsidP="00B30D73">
                  <w:pPr>
                    <w:pStyle w:val="NormalWeb"/>
                    <w:keepNext/>
                    <w:keepLines/>
                    <w:widowControl/>
                    <w:numPr>
                      <w:ilvl w:val="0"/>
                      <w:numId w:val="2"/>
                    </w:numPr>
                    <w:tabs>
                      <w:tab w:val="clear" w:pos="720"/>
                    </w:tabs>
                    <w:spacing w:before="0" w:beforeAutospacing="0" w:after="200" w:afterAutospacing="0" w:line="276" w:lineRule="auto"/>
                    <w:ind w:left="568" w:hanging="284"/>
                    <w:rPr>
                      <w:b/>
                      <w:bCs/>
                      <w:szCs w:val="22"/>
                      <w:lang w:val="fr-FR"/>
                    </w:rPr>
                  </w:pPr>
                  <w:r w:rsidRPr="003D3F80">
                    <w:rPr>
                      <w:b/>
                      <w:bCs/>
                      <w:sz w:val="22"/>
                      <w:szCs w:val="22"/>
                      <w:lang w:val="fr-FR"/>
                    </w:rPr>
                    <w:t>OP 4.37, Sécurité des barrages</w:t>
                  </w:r>
                </w:p>
              </w:tc>
            </w:tr>
          </w:tbl>
          <w:p w:rsidR="00362A53" w:rsidRPr="003D3F80" w:rsidRDefault="00362A53" w:rsidP="00342113">
            <w:pPr>
              <w:pStyle w:val="ListParagraph"/>
              <w:keepNext/>
              <w:keepLines/>
              <w:widowControl/>
              <w:autoSpaceDE w:val="0"/>
              <w:autoSpaceDN w:val="0"/>
              <w:adjustRightInd w:val="0"/>
              <w:spacing w:before="0" w:after="200" w:line="276" w:lineRule="auto"/>
              <w:ind w:left="1800" w:right="547"/>
              <w:contextualSpacing w:val="0"/>
              <w:jc w:val="both"/>
              <w:rPr>
                <w:lang w:val="fr-FR"/>
              </w:rPr>
            </w:pPr>
          </w:p>
        </w:tc>
      </w:tr>
    </w:tbl>
    <w:p w:rsidR="00362A53" w:rsidRPr="003D3F80" w:rsidRDefault="00362A53" w:rsidP="00362A53">
      <w:pPr>
        <w:keepNext/>
        <w:keepLines/>
        <w:widowControl/>
        <w:autoSpaceDE w:val="0"/>
        <w:autoSpaceDN w:val="0"/>
        <w:adjustRightInd w:val="0"/>
        <w:spacing w:after="200" w:line="276" w:lineRule="auto"/>
        <w:ind w:right="547"/>
        <w:jc w:val="both"/>
        <w:rPr>
          <w:rFonts w:cs="Times New Roman"/>
          <w:b/>
          <w:bCs/>
          <w:i/>
          <w:szCs w:val="24"/>
          <w:lang w:val="fr-FR"/>
        </w:rPr>
      </w:pPr>
    </w:p>
    <w:p w:rsidR="00362A53" w:rsidRPr="003D3F80" w:rsidRDefault="00362A53" w:rsidP="00362A53">
      <w:pPr>
        <w:pStyle w:val="ippara2"/>
        <w:widowControl/>
        <w:spacing w:after="200" w:line="276" w:lineRule="auto"/>
        <w:ind w:left="0" w:firstLine="0"/>
        <w:jc w:val="both"/>
        <w:rPr>
          <w:rFonts w:cs="Times New Roman"/>
          <w:bCs/>
          <w:szCs w:val="24"/>
          <w:lang w:val="fr-FR"/>
        </w:rPr>
      </w:pPr>
      <w:r w:rsidRPr="003D3F80">
        <w:rPr>
          <w:lang w:val="fr-FR"/>
        </w:rPr>
        <w:t>La politique opérationnelle OP 7.50, Projets sur les voies navigables internationales, est en cours de révision. À la fin de cet exercice, la Banque déterminera si cette politique doit en faire partie</w:t>
      </w:r>
      <w:r w:rsidRPr="003D3F80">
        <w:rPr>
          <w:rFonts w:cs="Times New Roman"/>
          <w:bCs/>
          <w:szCs w:val="24"/>
          <w:lang w:val="fr-FR"/>
        </w:rPr>
        <w:t>. La politique opérationnelle OP 7.60, Projets sur les territoires contestés, en est exclue.</w:t>
      </w:r>
    </w:p>
    <w:p w:rsidR="00362A53" w:rsidRPr="003D3F80" w:rsidRDefault="00362A53" w:rsidP="00362A53">
      <w:pPr>
        <w:pStyle w:val="ippara2"/>
        <w:widowControl/>
        <w:spacing w:after="200" w:line="276" w:lineRule="auto"/>
        <w:ind w:left="0" w:firstLine="0"/>
        <w:jc w:val="both"/>
        <w:rPr>
          <w:rFonts w:cs="Times New Roman"/>
          <w:bCs/>
          <w:szCs w:val="24"/>
          <w:lang w:val="fr-FR"/>
        </w:rPr>
      </w:pPr>
      <w:r w:rsidRPr="003D3F80">
        <w:rPr>
          <w:lang w:val="fr-FR"/>
        </w:rPr>
        <w:t>En outre, la Banque peut réviser d</w:t>
      </w:r>
      <w:r w:rsidR="001051C0">
        <w:rPr>
          <w:lang w:val="fr-FR"/>
        </w:rPr>
        <w:t>’</w:t>
      </w:r>
      <w:r w:rsidRPr="003D3F80">
        <w:rPr>
          <w:lang w:val="fr-FR"/>
        </w:rPr>
        <w:t>autres politiques opérationnelles pertinentes, notamment parmi de l</w:t>
      </w:r>
      <w:r w:rsidR="001051C0">
        <w:rPr>
          <w:lang w:val="fr-FR"/>
        </w:rPr>
        <w:t>’</w:t>
      </w:r>
      <w:r w:rsidRPr="003D3F80">
        <w:rPr>
          <w:lang w:val="fr-FR"/>
        </w:rPr>
        <w:t>ancien dispositif ou celles de la série OP 4 encore en application. Elle ne révisera pas la politique B.P 17.55, Panel d</w:t>
      </w:r>
      <w:r w:rsidR="001051C0">
        <w:rPr>
          <w:lang w:val="fr-FR"/>
        </w:rPr>
        <w:t>’</w:t>
      </w:r>
      <w:r w:rsidRPr="003D3F80">
        <w:rPr>
          <w:lang w:val="fr-FR"/>
        </w:rPr>
        <w:t>inspection, dans le cadre de ce</w:t>
      </w:r>
      <w:r w:rsidR="00B30D73">
        <w:rPr>
          <w:lang w:val="fr-FR"/>
        </w:rPr>
        <w:t xml:space="preserve">t examen et </w:t>
      </w:r>
      <w:r w:rsidR="001D0DD1">
        <w:rPr>
          <w:lang w:val="fr-FR"/>
        </w:rPr>
        <w:t xml:space="preserve">de cette </w:t>
      </w:r>
      <w:r w:rsidR="00B30D73">
        <w:rPr>
          <w:lang w:val="fr-FR"/>
        </w:rPr>
        <w:t>mise à jour</w:t>
      </w:r>
      <w:r w:rsidRPr="003D3F80">
        <w:rPr>
          <w:lang w:val="fr-FR"/>
        </w:rPr>
        <w:t>.</w:t>
      </w:r>
    </w:p>
    <w:p w:rsidR="00362A53" w:rsidRPr="003D3F80" w:rsidRDefault="00362A53" w:rsidP="00362A53">
      <w:pPr>
        <w:pStyle w:val="ippara2"/>
        <w:widowControl/>
        <w:spacing w:after="200" w:line="276" w:lineRule="auto"/>
        <w:ind w:left="0" w:firstLine="0"/>
        <w:jc w:val="both"/>
        <w:rPr>
          <w:rFonts w:cs="Times New Roman"/>
          <w:bCs/>
          <w:szCs w:val="24"/>
          <w:lang w:val="fr-FR"/>
        </w:rPr>
      </w:pPr>
      <w:r w:rsidRPr="003D3F80">
        <w:rPr>
          <w:b/>
          <w:i/>
          <w:lang w:val="fr-FR"/>
        </w:rPr>
        <w:t xml:space="preserve">Institutions et dispositifs des emprunteurs. </w:t>
      </w:r>
      <w:r w:rsidRPr="003D3F80">
        <w:rPr>
          <w:lang w:val="fr-FR"/>
        </w:rPr>
        <w:t>La Banque sollicitera les avis et suggestions de ses emprunteurs sur la façon dont elle peut mieux soutenir et renforcer leurs institutions pour obtenir des résultats mesurables. Dès la première phase de consultations (voir ci-dessous) et tout au long du processus</w:t>
      </w:r>
      <w:r w:rsidR="001D0DD1">
        <w:rPr>
          <w:lang w:val="fr-FR"/>
        </w:rPr>
        <w:t xml:space="preserve"> d'examen et de </w:t>
      </w:r>
      <w:r w:rsidR="00B30D73">
        <w:rPr>
          <w:lang w:val="fr-FR"/>
        </w:rPr>
        <w:t>mise à jour</w:t>
      </w:r>
      <w:r w:rsidRPr="003D3F80">
        <w:rPr>
          <w:lang w:val="fr-FR"/>
        </w:rPr>
        <w:t>, la Banque organisera des réunions avec les bureaux des Administrateurs, les représentants des emprunteurs dans les pays et les administrations concernées pour recueillir leurs avis et suggestions.</w:t>
      </w:r>
    </w:p>
    <w:p w:rsidR="00362A53" w:rsidRPr="003D3F80" w:rsidRDefault="00362A53" w:rsidP="00362A53">
      <w:pPr>
        <w:pStyle w:val="ippara2"/>
        <w:widowControl/>
        <w:spacing w:after="200" w:line="276" w:lineRule="auto"/>
        <w:ind w:left="0" w:firstLine="0"/>
        <w:jc w:val="both"/>
        <w:rPr>
          <w:rFonts w:cs="Times New Roman"/>
          <w:bCs/>
          <w:szCs w:val="24"/>
          <w:lang w:val="fr-FR"/>
        </w:rPr>
      </w:pPr>
      <w:r w:rsidRPr="003D3F80">
        <w:rPr>
          <w:b/>
          <w:i/>
          <w:lang w:val="fr-FR"/>
        </w:rPr>
        <w:lastRenderedPageBreak/>
        <w:t>Questions sociales.</w:t>
      </w:r>
      <w:r w:rsidR="00641763" w:rsidRPr="00641763">
        <w:rPr>
          <w:lang w:val="fr-FR"/>
        </w:rPr>
        <w:t xml:space="preserve"> Cet </w:t>
      </w:r>
      <w:r w:rsidR="008F15D0">
        <w:rPr>
          <w:lang w:val="fr-FR"/>
        </w:rPr>
        <w:t xml:space="preserve">examen </w:t>
      </w:r>
      <w:r w:rsidR="00350F0A">
        <w:rPr>
          <w:lang w:val="fr-FR"/>
        </w:rPr>
        <w:t xml:space="preserve"> permettra de déterminer </w:t>
      </w:r>
      <w:r w:rsidRPr="003D3F80">
        <w:rPr>
          <w:lang w:val="fr-FR"/>
        </w:rPr>
        <w:t xml:space="preserve">les moyens par lesquels un </w:t>
      </w:r>
      <w:r w:rsidR="00E916CB">
        <w:rPr>
          <w:lang w:val="fr-FR"/>
        </w:rPr>
        <w:t>cadre</w:t>
      </w:r>
      <w:r w:rsidRPr="003D3F80">
        <w:rPr>
          <w:lang w:val="fr-FR"/>
        </w:rPr>
        <w:t xml:space="preserve"> intégré pourrait prendre en compte tous les aspects des perspectives et risques environnementaux et sociaux lors d</w:t>
      </w:r>
      <w:r w:rsidR="001051C0">
        <w:rPr>
          <w:lang w:val="fr-FR"/>
        </w:rPr>
        <w:t>’</w:t>
      </w:r>
      <w:r w:rsidRPr="003D3F80">
        <w:rPr>
          <w:lang w:val="fr-FR"/>
        </w:rPr>
        <w:t>un processus d</w:t>
      </w:r>
      <w:r w:rsidR="001051C0">
        <w:rPr>
          <w:lang w:val="fr-FR"/>
        </w:rPr>
        <w:t>’</w:t>
      </w:r>
      <w:r w:rsidRPr="003D3F80">
        <w:rPr>
          <w:lang w:val="fr-FR"/>
        </w:rPr>
        <w:t>évaluation intégrée venant compléter le maintien des mécanismes propres aux projets qui impliquent des réinstallations forcées ou touchent des populations autochtones. Les aspects liés à la communication de l</w:t>
      </w:r>
      <w:r w:rsidR="001051C0">
        <w:rPr>
          <w:lang w:val="fr-FR"/>
        </w:rPr>
        <w:t>’</w:t>
      </w:r>
      <w:r w:rsidRPr="003D3F80">
        <w:rPr>
          <w:lang w:val="fr-FR"/>
        </w:rPr>
        <w:t xml:space="preserve">information, la consultation du public, la participation des collectivités et des partenaires, la prévention et le règlement de différends et le traitement des plaintes au niveau du projet ou du programme seront aussi examinés. </w:t>
      </w:r>
    </w:p>
    <w:p w:rsidR="00362A53" w:rsidRPr="003D3F80" w:rsidRDefault="00362A53" w:rsidP="00362A53">
      <w:pPr>
        <w:pStyle w:val="ippara2"/>
        <w:widowControl/>
        <w:spacing w:after="200" w:line="276" w:lineRule="auto"/>
        <w:ind w:left="0" w:firstLine="0"/>
        <w:jc w:val="both"/>
        <w:rPr>
          <w:rFonts w:cs="Times New Roman"/>
          <w:bCs/>
          <w:szCs w:val="24"/>
          <w:lang w:val="fr-FR"/>
        </w:rPr>
      </w:pPr>
      <w:r w:rsidRPr="003D3F80">
        <w:rPr>
          <w:b/>
          <w:i/>
          <w:lang w:val="fr-FR"/>
        </w:rPr>
        <w:t>Questions couvertes par les Normes de performance de l</w:t>
      </w:r>
      <w:r w:rsidR="001051C0">
        <w:rPr>
          <w:b/>
          <w:i/>
          <w:lang w:val="fr-FR"/>
        </w:rPr>
        <w:t>’</w:t>
      </w:r>
      <w:r w:rsidRPr="003D3F80">
        <w:rPr>
          <w:b/>
          <w:i/>
          <w:lang w:val="fr-FR"/>
        </w:rPr>
        <w:t>IFC.</w:t>
      </w:r>
      <w:r w:rsidRPr="003D3F80">
        <w:rPr>
          <w:lang w:val="fr-FR"/>
        </w:rPr>
        <w:t xml:space="preserve"> Les Normes de performance de l</w:t>
      </w:r>
      <w:r w:rsidR="001051C0">
        <w:rPr>
          <w:lang w:val="fr-FR"/>
        </w:rPr>
        <w:t>’</w:t>
      </w:r>
      <w:r w:rsidRPr="003D3F80">
        <w:rPr>
          <w:lang w:val="fr-FR"/>
        </w:rPr>
        <w:t>IFC (versions</w:t>
      </w:r>
      <w:r w:rsidR="008F15D0">
        <w:rPr>
          <w:lang w:val="fr-FR"/>
        </w:rPr>
        <w:t xml:space="preserve"> </w:t>
      </w:r>
      <w:r w:rsidRPr="003D3F80">
        <w:rPr>
          <w:lang w:val="fr-FR"/>
        </w:rPr>
        <w:t>2006 et 2012) couvrent plusieurs nouveaux domaines.</w:t>
      </w:r>
      <w:r w:rsidRPr="003D3F80">
        <w:rPr>
          <w:rStyle w:val="FootnoteReference"/>
          <w:color w:val="000000"/>
          <w:lang w:val="fr-FR"/>
        </w:rPr>
        <w:footnoteReference w:id="12"/>
      </w:r>
      <w:r w:rsidRPr="003D3F80">
        <w:rPr>
          <w:lang w:val="fr-FR"/>
        </w:rPr>
        <w:t xml:space="preserve"> Il s</w:t>
      </w:r>
      <w:r w:rsidR="001051C0">
        <w:rPr>
          <w:lang w:val="fr-FR"/>
        </w:rPr>
        <w:t>’</w:t>
      </w:r>
      <w:r w:rsidRPr="003D3F80">
        <w:rPr>
          <w:lang w:val="fr-FR"/>
        </w:rPr>
        <w:t>agit des domaines que l</w:t>
      </w:r>
      <w:r w:rsidR="001051C0">
        <w:rPr>
          <w:lang w:val="fr-FR"/>
        </w:rPr>
        <w:t>’</w:t>
      </w:r>
      <w:r w:rsidRPr="003D3F80">
        <w:rPr>
          <w:lang w:val="fr-FR"/>
        </w:rPr>
        <w:t>IFC juge « très souvent à risque » dans les projets internationaux et qui appellent par conséquent une révision du processus de supervision et d</w:t>
      </w:r>
      <w:r w:rsidR="001051C0">
        <w:rPr>
          <w:lang w:val="fr-FR"/>
        </w:rPr>
        <w:t>’</w:t>
      </w:r>
      <w:r w:rsidRPr="003D3F80">
        <w:rPr>
          <w:lang w:val="fr-FR"/>
        </w:rPr>
        <w:t>évaluation. L</w:t>
      </w:r>
      <w:r w:rsidR="001051C0">
        <w:rPr>
          <w:lang w:val="fr-FR"/>
        </w:rPr>
        <w:t>’</w:t>
      </w:r>
      <w:r w:rsidRPr="003D3F80">
        <w:rPr>
          <w:lang w:val="fr-FR"/>
        </w:rPr>
        <w:t>expérience de cette institution montre que l</w:t>
      </w:r>
      <w:r w:rsidR="001051C0">
        <w:rPr>
          <w:lang w:val="fr-FR"/>
        </w:rPr>
        <w:t>’</w:t>
      </w:r>
      <w:r w:rsidRPr="003D3F80">
        <w:rPr>
          <w:lang w:val="fr-FR"/>
        </w:rPr>
        <w:t>examen de ces questions en amont permet d</w:t>
      </w:r>
      <w:r w:rsidR="001051C0">
        <w:rPr>
          <w:lang w:val="fr-FR"/>
        </w:rPr>
        <w:t>’</w:t>
      </w:r>
      <w:r w:rsidRPr="003D3F80">
        <w:rPr>
          <w:lang w:val="fr-FR"/>
        </w:rPr>
        <w:t>investir dans des environnements à haut risque. Bien que conçu par l</w:t>
      </w:r>
      <w:r w:rsidR="001051C0">
        <w:rPr>
          <w:lang w:val="fr-FR"/>
        </w:rPr>
        <w:t>’</w:t>
      </w:r>
      <w:r w:rsidRPr="003D3F80">
        <w:rPr>
          <w:lang w:val="fr-FR"/>
        </w:rPr>
        <w:t>IFC pour un modèle d</w:t>
      </w:r>
      <w:r w:rsidR="001051C0">
        <w:rPr>
          <w:lang w:val="fr-FR"/>
        </w:rPr>
        <w:t>’</w:t>
      </w:r>
      <w:r w:rsidRPr="003D3F80">
        <w:rPr>
          <w:lang w:val="fr-FR"/>
        </w:rPr>
        <w:t>activité axé sur le secteur privé, ce mode de gestion du risque mériterait d</w:t>
      </w:r>
      <w:r w:rsidR="001051C0">
        <w:rPr>
          <w:lang w:val="fr-FR"/>
        </w:rPr>
        <w:t>’</w:t>
      </w:r>
      <w:r w:rsidRPr="003D3F80">
        <w:rPr>
          <w:lang w:val="fr-FR"/>
        </w:rPr>
        <w:t>être examiné par la Banque lors du processus de révision.</w:t>
      </w:r>
    </w:p>
    <w:p w:rsidR="00362A53" w:rsidRPr="003D3F80" w:rsidRDefault="00362A53" w:rsidP="00362A53">
      <w:pPr>
        <w:pStyle w:val="ippara2"/>
        <w:widowControl/>
        <w:spacing w:after="200" w:line="276" w:lineRule="auto"/>
        <w:ind w:left="0" w:firstLine="0"/>
        <w:jc w:val="both"/>
        <w:rPr>
          <w:rFonts w:cs="Times New Roman"/>
          <w:bCs/>
          <w:szCs w:val="24"/>
          <w:lang w:val="fr-FR"/>
        </w:rPr>
      </w:pPr>
      <w:r w:rsidRPr="003D3F80">
        <w:rPr>
          <w:b/>
          <w:i/>
          <w:lang w:val="fr-FR"/>
        </w:rPr>
        <w:t>Problématiques naissantes.</w:t>
      </w:r>
      <w:r w:rsidRPr="003D3F80">
        <w:rPr>
          <w:lang w:val="fr-FR"/>
        </w:rPr>
        <w:t xml:space="preserve"> Certains acteurs ont demandé à la Banque d</w:t>
      </w:r>
      <w:r w:rsidR="001051C0">
        <w:rPr>
          <w:lang w:val="fr-FR"/>
        </w:rPr>
        <w:t>’</w:t>
      </w:r>
      <w:r w:rsidRPr="003D3F80">
        <w:rPr>
          <w:lang w:val="fr-FR"/>
        </w:rPr>
        <w:t>inclure dans le processus d</w:t>
      </w:r>
      <w:r w:rsidR="008F15D0">
        <w:rPr>
          <w:lang w:val="fr-FR"/>
        </w:rPr>
        <w:t>’</w:t>
      </w:r>
      <w:r w:rsidRPr="003D3F80">
        <w:rPr>
          <w:lang w:val="fr-FR"/>
        </w:rPr>
        <w:t xml:space="preserve">examen </w:t>
      </w:r>
      <w:r w:rsidR="008F15D0">
        <w:rPr>
          <w:lang w:val="fr-FR"/>
        </w:rPr>
        <w:t xml:space="preserve">et de mise à jour </w:t>
      </w:r>
      <w:r w:rsidRPr="003D3F80">
        <w:rPr>
          <w:lang w:val="fr-FR"/>
        </w:rPr>
        <w:t>un certain nombre de domaines non couverts par les politiques de sauvegarde actuelles</w:t>
      </w:r>
      <w:r w:rsidRPr="003D3F80">
        <w:rPr>
          <w:bCs/>
          <w:lang w:val="fr-FR"/>
        </w:rPr>
        <w:t>. Il s</w:t>
      </w:r>
      <w:r w:rsidR="001051C0">
        <w:rPr>
          <w:bCs/>
          <w:lang w:val="fr-FR"/>
        </w:rPr>
        <w:t>’</w:t>
      </w:r>
      <w:r w:rsidRPr="003D3F80">
        <w:rPr>
          <w:bCs/>
          <w:lang w:val="fr-FR"/>
        </w:rPr>
        <w:t>agit notamment des aspects suivants : droits fondamentaux, travail, santé et sécurité des travailleurs, égalité des sexes, invalidité, consentement donné librement, au préalable et en toute connaissance de cause par les populations autochtones, régime foncier et ressources naturelles, et changement climatique. Examiner ces domaines, déterminer si la Banque doit s</w:t>
      </w:r>
      <w:r w:rsidR="001051C0">
        <w:rPr>
          <w:bCs/>
          <w:lang w:val="fr-FR"/>
        </w:rPr>
        <w:t>’</w:t>
      </w:r>
      <w:r w:rsidRPr="003D3F80">
        <w:rPr>
          <w:bCs/>
          <w:lang w:val="fr-FR"/>
        </w:rPr>
        <w:t>en préoccuper et la manière de mieux s</w:t>
      </w:r>
      <w:r w:rsidR="001051C0">
        <w:rPr>
          <w:bCs/>
          <w:lang w:val="fr-FR"/>
        </w:rPr>
        <w:t>’</w:t>
      </w:r>
      <w:r w:rsidRPr="003D3F80">
        <w:rPr>
          <w:bCs/>
          <w:lang w:val="fr-FR"/>
        </w:rPr>
        <w:t>attaquer à ces questions feront partie du processus. La Banque lancera un dialogue interne sur ces questions, suivi de consultations avec les acteurs concernés et des experts indépendants.</w:t>
      </w:r>
    </w:p>
    <w:p w:rsidR="00362A53" w:rsidRPr="003D3F80" w:rsidRDefault="00362A53" w:rsidP="00362A53">
      <w:pPr>
        <w:pStyle w:val="ippara2"/>
        <w:widowControl/>
        <w:spacing w:after="200" w:line="276" w:lineRule="auto"/>
        <w:ind w:left="0" w:firstLine="0"/>
        <w:jc w:val="both"/>
        <w:rPr>
          <w:rFonts w:cs="Times New Roman"/>
          <w:bCs/>
          <w:szCs w:val="24"/>
          <w:lang w:val="fr-FR"/>
        </w:rPr>
      </w:pPr>
      <w:r w:rsidRPr="003D3F80">
        <w:rPr>
          <w:b/>
          <w:bCs/>
          <w:i/>
          <w:lang w:val="fr-FR"/>
        </w:rPr>
        <w:t>Analyse des enseignements tirés du travail effectué.</w:t>
      </w:r>
      <w:r w:rsidRPr="003D3F80">
        <w:rPr>
          <w:bCs/>
          <w:lang w:val="fr-FR"/>
        </w:rPr>
        <w:t xml:space="preserve"> Les examens et le travail analytique passés et actuels de la Banque ainsi que les enseignements tirés des évaluations passées et des examens du respect des règles éclaireront le processus d</w:t>
      </w:r>
      <w:r w:rsidR="008F15D0">
        <w:rPr>
          <w:bCs/>
          <w:lang w:val="fr-FR"/>
        </w:rPr>
        <w:t>’</w:t>
      </w:r>
      <w:r w:rsidRPr="003D3F80">
        <w:rPr>
          <w:bCs/>
          <w:lang w:val="fr-FR"/>
        </w:rPr>
        <w:t xml:space="preserve">examen </w:t>
      </w:r>
      <w:r w:rsidR="008F15D0">
        <w:rPr>
          <w:bCs/>
          <w:lang w:val="fr-FR"/>
        </w:rPr>
        <w:t>et de mise à jour</w:t>
      </w:r>
      <w:r w:rsidRPr="003D3F80">
        <w:rPr>
          <w:bCs/>
          <w:lang w:val="fr-FR"/>
        </w:rPr>
        <w:t>. Durant les derniers mois, la Banque a entamé des discussions avec les bailleurs d</w:t>
      </w:r>
      <w:r w:rsidR="001051C0">
        <w:rPr>
          <w:bCs/>
          <w:lang w:val="fr-FR"/>
        </w:rPr>
        <w:t>’</w:t>
      </w:r>
      <w:r w:rsidRPr="003D3F80">
        <w:rPr>
          <w:bCs/>
          <w:lang w:val="fr-FR"/>
        </w:rPr>
        <w:t>aide bilatérale et multilatérale de la communauté du développement pour mettre en lumière les enseignements tirés de leurs travaux et les innovations dans leur application des politiques environnementale et sociale. Il serait utile de voir comment l</w:t>
      </w:r>
      <w:r w:rsidR="001051C0">
        <w:rPr>
          <w:bCs/>
          <w:lang w:val="fr-FR"/>
        </w:rPr>
        <w:t>’</w:t>
      </w:r>
      <w:r w:rsidRPr="003D3F80">
        <w:rPr>
          <w:bCs/>
          <w:lang w:val="fr-FR"/>
        </w:rPr>
        <w:t xml:space="preserve">IFC a appliqué le </w:t>
      </w:r>
      <w:r w:rsidR="00E916CB">
        <w:rPr>
          <w:bCs/>
          <w:lang w:val="fr-FR"/>
        </w:rPr>
        <w:t>cadre</w:t>
      </w:r>
      <w:r w:rsidRPr="003D3F80">
        <w:rPr>
          <w:bCs/>
          <w:lang w:val="fr-FR"/>
        </w:rPr>
        <w:t xml:space="preserve"> de développement durable conçu spécifiquement pour les projets du secteur privé, et d</w:t>
      </w:r>
      <w:r w:rsidR="001051C0">
        <w:rPr>
          <w:bCs/>
          <w:lang w:val="fr-FR"/>
        </w:rPr>
        <w:t>’</w:t>
      </w:r>
      <w:r w:rsidRPr="003D3F80">
        <w:rPr>
          <w:bCs/>
          <w:lang w:val="fr-FR"/>
        </w:rPr>
        <w:t>examiner l</w:t>
      </w:r>
      <w:r w:rsidR="001051C0">
        <w:rPr>
          <w:bCs/>
          <w:lang w:val="fr-FR"/>
        </w:rPr>
        <w:t>’</w:t>
      </w:r>
      <w:r w:rsidRPr="003D3F80">
        <w:rPr>
          <w:bCs/>
          <w:lang w:val="fr-FR"/>
        </w:rPr>
        <w:t xml:space="preserve">approche adoptée par certaines BMD ayant élaboré leurs propres politiques de sauvegarde pour répondre aux besoins des projets publics et privés. </w:t>
      </w:r>
    </w:p>
    <w:p w:rsidR="00362A53" w:rsidRPr="003D3F80" w:rsidRDefault="00362A53" w:rsidP="00362A53">
      <w:pPr>
        <w:pStyle w:val="ippara2"/>
        <w:widowControl/>
        <w:spacing w:after="200" w:line="276" w:lineRule="auto"/>
        <w:ind w:left="0" w:firstLine="0"/>
        <w:jc w:val="both"/>
        <w:rPr>
          <w:rFonts w:cs="Times New Roman"/>
          <w:bCs/>
          <w:szCs w:val="24"/>
          <w:lang w:val="fr-FR"/>
        </w:rPr>
      </w:pPr>
      <w:r w:rsidRPr="003D3F80">
        <w:rPr>
          <w:b/>
          <w:bCs/>
          <w:i/>
          <w:lang w:val="fr-FR"/>
        </w:rPr>
        <w:lastRenderedPageBreak/>
        <w:t>Choix de l</w:t>
      </w:r>
      <w:r w:rsidR="001051C0">
        <w:rPr>
          <w:b/>
          <w:bCs/>
          <w:i/>
          <w:lang w:val="fr-FR"/>
        </w:rPr>
        <w:t>’</w:t>
      </w:r>
      <w:r w:rsidRPr="003D3F80">
        <w:rPr>
          <w:b/>
          <w:bCs/>
          <w:i/>
          <w:lang w:val="fr-FR"/>
        </w:rPr>
        <w:t xml:space="preserve">outil : politique de sauvegarde ou non ? </w:t>
      </w:r>
      <w:r w:rsidRPr="003D3F80">
        <w:rPr>
          <w:bCs/>
          <w:lang w:val="fr-FR"/>
        </w:rPr>
        <w:t>La Banque étudiera certes les domaines décrits dans les paragraphes ci-dessus, mais les politiques de sauvegarde ne sont pas nécessairement la seule façon d</w:t>
      </w:r>
      <w:r w:rsidR="001051C0">
        <w:rPr>
          <w:bCs/>
          <w:lang w:val="fr-FR"/>
        </w:rPr>
        <w:t>’</w:t>
      </w:r>
      <w:r w:rsidRPr="003D3F80">
        <w:rPr>
          <w:bCs/>
          <w:lang w:val="fr-FR"/>
        </w:rPr>
        <w:t>intervenir. La Banque peut également aborder ces questions sous l</w:t>
      </w:r>
      <w:r w:rsidR="001051C0">
        <w:rPr>
          <w:bCs/>
          <w:lang w:val="fr-FR"/>
        </w:rPr>
        <w:t>’</w:t>
      </w:r>
      <w:r w:rsidRPr="003D3F80">
        <w:rPr>
          <w:bCs/>
          <w:lang w:val="fr-FR"/>
        </w:rPr>
        <w:t xml:space="preserve">angle des principes, des procédures ou des modalités conseillées qui feront parti du </w:t>
      </w:r>
      <w:r w:rsidR="00E916CB">
        <w:rPr>
          <w:bCs/>
          <w:lang w:val="fr-FR"/>
        </w:rPr>
        <w:t>cadre</w:t>
      </w:r>
      <w:r w:rsidRPr="003D3F80">
        <w:rPr>
          <w:bCs/>
          <w:lang w:val="fr-FR"/>
        </w:rPr>
        <w:t xml:space="preserve"> intégré, ou à l</w:t>
      </w:r>
      <w:r w:rsidR="001051C0">
        <w:rPr>
          <w:bCs/>
          <w:lang w:val="fr-FR"/>
        </w:rPr>
        <w:t>’</w:t>
      </w:r>
      <w:r w:rsidRPr="003D3F80">
        <w:rPr>
          <w:bCs/>
          <w:lang w:val="fr-FR"/>
        </w:rPr>
        <w:t>aide d</w:t>
      </w:r>
      <w:r w:rsidR="001051C0">
        <w:rPr>
          <w:bCs/>
          <w:lang w:val="fr-FR"/>
        </w:rPr>
        <w:t>’</w:t>
      </w:r>
      <w:r w:rsidRPr="003D3F80">
        <w:rPr>
          <w:bCs/>
          <w:lang w:val="fr-FR"/>
        </w:rPr>
        <w:t>autres outils : travaux d</w:t>
      </w:r>
      <w:r w:rsidR="001051C0">
        <w:rPr>
          <w:bCs/>
          <w:lang w:val="fr-FR"/>
        </w:rPr>
        <w:t>’</w:t>
      </w:r>
      <w:r w:rsidRPr="003D3F80">
        <w:rPr>
          <w:bCs/>
          <w:lang w:val="fr-FR"/>
        </w:rPr>
        <w:t xml:space="preserve">analyse en amont, </w:t>
      </w:r>
      <w:r w:rsidRPr="003D3F80">
        <w:rPr>
          <w:lang w:val="fr-FR"/>
        </w:rPr>
        <w:t>dialogue sur les politiques, discussions sur les stratégies de partenariat avec les pays, programmes régionaux et mondiaux ou mise en place d</w:t>
      </w:r>
      <w:r w:rsidR="001051C0">
        <w:rPr>
          <w:lang w:val="fr-FR"/>
        </w:rPr>
        <w:t>’</w:t>
      </w:r>
      <w:r w:rsidRPr="003D3F80">
        <w:rPr>
          <w:lang w:val="fr-FR"/>
        </w:rPr>
        <w:t>une plateforme d</w:t>
      </w:r>
      <w:r w:rsidR="001051C0">
        <w:rPr>
          <w:lang w:val="fr-FR"/>
        </w:rPr>
        <w:t>’</w:t>
      </w:r>
      <w:r w:rsidRPr="003D3F80">
        <w:rPr>
          <w:lang w:val="fr-FR"/>
        </w:rPr>
        <w:t>action avec les partenaires externes, par exemple. La Banque étant tenue par son mandat et son modèle d</w:t>
      </w:r>
      <w:r w:rsidR="001051C0">
        <w:rPr>
          <w:lang w:val="fr-FR"/>
        </w:rPr>
        <w:t>’</w:t>
      </w:r>
      <w:r w:rsidRPr="003D3F80">
        <w:rPr>
          <w:lang w:val="fr-FR"/>
        </w:rPr>
        <w:t>activité, il est à noter qu</w:t>
      </w:r>
      <w:r w:rsidR="001051C0">
        <w:rPr>
          <w:lang w:val="fr-FR"/>
        </w:rPr>
        <w:t>’</w:t>
      </w:r>
      <w:r w:rsidRPr="003D3F80">
        <w:rPr>
          <w:lang w:val="fr-FR"/>
        </w:rPr>
        <w:t>il ne sera peut-être pas toujours possible ou souhaitable d</w:t>
      </w:r>
      <w:r w:rsidR="001051C0">
        <w:rPr>
          <w:lang w:val="fr-FR"/>
        </w:rPr>
        <w:t>’</w:t>
      </w:r>
      <w:r w:rsidRPr="003D3F80">
        <w:rPr>
          <w:lang w:val="fr-FR"/>
        </w:rPr>
        <w:t xml:space="preserve">inclure tous les domaines recensés ou envisagés </w:t>
      </w:r>
      <w:r w:rsidR="008F15D0">
        <w:rPr>
          <w:lang w:val="fr-FR"/>
        </w:rPr>
        <w:t>lors de l’examen et de la mise à jour</w:t>
      </w:r>
      <w:r w:rsidR="00350F0A">
        <w:rPr>
          <w:lang w:val="fr-FR"/>
        </w:rPr>
        <w:t xml:space="preserve"> des politiques de sauvegarde </w:t>
      </w:r>
      <w:r w:rsidRPr="003D3F80">
        <w:rPr>
          <w:lang w:val="fr-FR"/>
        </w:rPr>
        <w:t>. Par ailleurs, toutes les propositions de révision des politiques seront soigneusement étudiées pour s</w:t>
      </w:r>
      <w:r w:rsidR="001051C0">
        <w:rPr>
          <w:lang w:val="fr-FR"/>
        </w:rPr>
        <w:t>’</w:t>
      </w:r>
      <w:r w:rsidRPr="003D3F80">
        <w:rPr>
          <w:lang w:val="fr-FR"/>
        </w:rPr>
        <w:t xml:space="preserve">assurer de leur conformité avec le mandat de la Banque tel que défini dans ses Statuts. </w:t>
      </w:r>
    </w:p>
    <w:p w:rsidR="00362A53" w:rsidRPr="003D3F80" w:rsidRDefault="00362A53" w:rsidP="00362A53">
      <w:pPr>
        <w:pStyle w:val="Heading3"/>
        <w:keepNext/>
        <w:widowControl/>
        <w:numPr>
          <w:ilvl w:val="0"/>
          <w:numId w:val="38"/>
        </w:numPr>
        <w:spacing w:before="0" w:after="200" w:line="276" w:lineRule="auto"/>
        <w:rPr>
          <w:szCs w:val="24"/>
          <w:lang w:val="fr-FR"/>
        </w:rPr>
      </w:pPr>
      <w:bookmarkStart w:id="6" w:name="_Toc338065569"/>
      <w:r w:rsidRPr="003D3F80">
        <w:rPr>
          <w:szCs w:val="24"/>
          <w:lang w:val="fr-FR"/>
        </w:rPr>
        <w:t>Mesures complémentaires à prendre par la direction</w:t>
      </w:r>
      <w:r w:rsidRPr="003D3F80">
        <w:rPr>
          <w:szCs w:val="24"/>
          <w:lang w:val="fr-FR"/>
        </w:rPr>
        <w:br w:type="textWrapping" w:clear="all"/>
        <w:t>pour renforcer l</w:t>
      </w:r>
      <w:r w:rsidR="001051C0">
        <w:rPr>
          <w:szCs w:val="24"/>
          <w:lang w:val="fr-FR"/>
        </w:rPr>
        <w:t>’</w:t>
      </w:r>
      <w:r w:rsidRPr="003D3F80">
        <w:rPr>
          <w:szCs w:val="24"/>
          <w:lang w:val="fr-FR"/>
        </w:rPr>
        <w:t>exécution, la supervision, le suivi et le compte rendu des activités de sauvegarde</w:t>
      </w:r>
      <w:bookmarkEnd w:id="6"/>
    </w:p>
    <w:p w:rsidR="00362A53" w:rsidRPr="003D3F80" w:rsidRDefault="008F15D0" w:rsidP="00362A53">
      <w:pPr>
        <w:pStyle w:val="ippara2"/>
        <w:widowControl/>
        <w:spacing w:after="200" w:line="276" w:lineRule="auto"/>
        <w:ind w:left="0" w:firstLine="0"/>
        <w:jc w:val="both"/>
        <w:rPr>
          <w:lang w:val="fr-FR"/>
        </w:rPr>
      </w:pPr>
      <w:r>
        <w:rPr>
          <w:lang w:val="fr-FR"/>
        </w:rPr>
        <w:t>L</w:t>
      </w:r>
      <w:r w:rsidR="00362A53" w:rsidRPr="003D3F80">
        <w:rPr>
          <w:lang w:val="fr-FR"/>
        </w:rPr>
        <w:t>e processus d</w:t>
      </w:r>
      <w:r>
        <w:rPr>
          <w:lang w:val="fr-FR"/>
        </w:rPr>
        <w:t>’</w:t>
      </w:r>
      <w:r w:rsidR="00362A53" w:rsidRPr="003D3F80">
        <w:rPr>
          <w:lang w:val="fr-FR"/>
        </w:rPr>
        <w:t xml:space="preserve">examen </w:t>
      </w:r>
      <w:r>
        <w:rPr>
          <w:lang w:val="fr-FR"/>
        </w:rPr>
        <w:t xml:space="preserve">et de mise à jour </w:t>
      </w:r>
      <w:r w:rsidR="00362A53" w:rsidRPr="003D3F80">
        <w:rPr>
          <w:lang w:val="fr-FR"/>
        </w:rPr>
        <w:t>donne l</w:t>
      </w:r>
      <w:r w:rsidR="001051C0">
        <w:rPr>
          <w:lang w:val="fr-FR"/>
        </w:rPr>
        <w:t>’</w:t>
      </w:r>
      <w:r w:rsidR="00362A53" w:rsidRPr="003D3F80">
        <w:rPr>
          <w:lang w:val="fr-FR"/>
        </w:rPr>
        <w:t>occasion à la direction de prendre un certain nombre de mesures complémentaires pour améliorer l</w:t>
      </w:r>
      <w:r w:rsidR="001051C0">
        <w:rPr>
          <w:lang w:val="fr-FR"/>
        </w:rPr>
        <w:t>’</w:t>
      </w:r>
      <w:r w:rsidR="00362A53" w:rsidRPr="003D3F80">
        <w:rPr>
          <w:lang w:val="fr-FR"/>
        </w:rPr>
        <w:t>application, l</w:t>
      </w:r>
      <w:r w:rsidR="001051C0">
        <w:rPr>
          <w:lang w:val="fr-FR"/>
        </w:rPr>
        <w:t>’</w:t>
      </w:r>
      <w:r w:rsidR="00362A53" w:rsidRPr="003D3F80">
        <w:rPr>
          <w:lang w:val="fr-FR"/>
        </w:rPr>
        <w:t>exécution, la supervision, le suivi, le compte rendu et l</w:t>
      </w:r>
      <w:r w:rsidR="001051C0">
        <w:rPr>
          <w:lang w:val="fr-FR"/>
        </w:rPr>
        <w:t>’</w:t>
      </w:r>
      <w:r w:rsidR="00362A53" w:rsidRPr="003D3F80">
        <w:rPr>
          <w:lang w:val="fr-FR"/>
        </w:rPr>
        <w:t>évaluation des activités menées dans le cadre des politiques de sauvegarde existantes. Certaines de ces mesures avaient déjà été mentionnées dans le Relevé des interventions de la direction en réponse à l</w:t>
      </w:r>
      <w:r w:rsidR="001051C0">
        <w:rPr>
          <w:lang w:val="fr-FR"/>
        </w:rPr>
        <w:t>’</w:t>
      </w:r>
      <w:r w:rsidR="00362A53" w:rsidRPr="003D3F80">
        <w:rPr>
          <w:lang w:val="fr-FR"/>
        </w:rPr>
        <w:t>évaluation effectuée par l</w:t>
      </w:r>
      <w:r w:rsidR="001051C0">
        <w:rPr>
          <w:lang w:val="fr-FR"/>
        </w:rPr>
        <w:t>’</w:t>
      </w:r>
      <w:r w:rsidR="00362A53" w:rsidRPr="003D3F80">
        <w:rPr>
          <w:lang w:val="fr-FR"/>
        </w:rPr>
        <w:t>IEG et sont en cours d</w:t>
      </w:r>
      <w:r w:rsidR="001051C0">
        <w:rPr>
          <w:lang w:val="fr-FR"/>
        </w:rPr>
        <w:t>’</w:t>
      </w:r>
      <w:r w:rsidR="00362A53" w:rsidRPr="003D3F80">
        <w:rPr>
          <w:lang w:val="fr-FR"/>
        </w:rPr>
        <w:t>application. Pour améliorer la qualité des projets en amont (préparation) et en aval (supervision), la direction définit aussi d</w:t>
      </w:r>
      <w:r w:rsidR="001051C0">
        <w:rPr>
          <w:lang w:val="fr-FR"/>
        </w:rPr>
        <w:t>’</w:t>
      </w:r>
      <w:r w:rsidR="00362A53" w:rsidRPr="003D3F80">
        <w:rPr>
          <w:lang w:val="fr-FR"/>
        </w:rPr>
        <w:t>autres mesures complémentaires qui modifieront les modalités d</w:t>
      </w:r>
      <w:r w:rsidR="001051C0">
        <w:rPr>
          <w:lang w:val="fr-FR"/>
        </w:rPr>
        <w:t>’</w:t>
      </w:r>
      <w:r w:rsidR="00362A53" w:rsidRPr="003D3F80">
        <w:rPr>
          <w:lang w:val="fr-FR"/>
        </w:rPr>
        <w:t>application et les procédures sans avoir d</w:t>
      </w:r>
      <w:r w:rsidR="001051C0">
        <w:rPr>
          <w:lang w:val="fr-FR"/>
        </w:rPr>
        <w:t>’</w:t>
      </w:r>
      <w:r w:rsidR="00362A53" w:rsidRPr="003D3F80">
        <w:rPr>
          <w:lang w:val="fr-FR"/>
        </w:rPr>
        <w:t>incidence sur les politiques. La direction examine également les moyens de transformer la culture d</w:t>
      </w:r>
      <w:r w:rsidR="001051C0">
        <w:rPr>
          <w:lang w:val="fr-FR"/>
        </w:rPr>
        <w:t>’</w:t>
      </w:r>
      <w:r w:rsidR="00362A53" w:rsidRPr="003D3F80">
        <w:rPr>
          <w:lang w:val="fr-FR"/>
        </w:rPr>
        <w:t>approbation de la Banque en une culture d</w:t>
      </w:r>
      <w:r w:rsidR="001051C0">
        <w:rPr>
          <w:lang w:val="fr-FR"/>
        </w:rPr>
        <w:t>’</w:t>
      </w:r>
      <w:r w:rsidR="00362A53" w:rsidRPr="003D3F80">
        <w:rPr>
          <w:lang w:val="fr-FR"/>
        </w:rPr>
        <w:t>exécution, de qualité et de résultats. Ces mesures viendront éclairer le processus d</w:t>
      </w:r>
      <w:r>
        <w:rPr>
          <w:lang w:val="fr-FR"/>
        </w:rPr>
        <w:t>’</w:t>
      </w:r>
      <w:r w:rsidR="00362A53" w:rsidRPr="003D3F80">
        <w:rPr>
          <w:lang w:val="fr-FR"/>
        </w:rPr>
        <w:t>examen</w:t>
      </w:r>
      <w:r>
        <w:rPr>
          <w:lang w:val="fr-FR"/>
        </w:rPr>
        <w:t xml:space="preserve"> et de mise à jour</w:t>
      </w:r>
      <w:r w:rsidR="00362A53" w:rsidRPr="003D3F80">
        <w:rPr>
          <w:lang w:val="fr-FR"/>
        </w:rPr>
        <w:t xml:space="preserve">, et aideront aussi les services et la direction de la Banque à se préparer à une transition harmonieuse vers un nouveau </w:t>
      </w:r>
      <w:r w:rsidR="00E916CB">
        <w:rPr>
          <w:lang w:val="fr-FR"/>
        </w:rPr>
        <w:t>cadre</w:t>
      </w:r>
      <w:r w:rsidR="00362A53" w:rsidRPr="003D3F80">
        <w:rPr>
          <w:lang w:val="fr-FR"/>
        </w:rPr>
        <w:t xml:space="preserve"> intégré.</w:t>
      </w:r>
    </w:p>
    <w:p w:rsidR="00362A53" w:rsidRPr="003D3F80" w:rsidRDefault="00362A53" w:rsidP="00362A53">
      <w:pPr>
        <w:pStyle w:val="Heading3"/>
        <w:keepNext/>
        <w:widowControl/>
        <w:numPr>
          <w:ilvl w:val="0"/>
          <w:numId w:val="38"/>
        </w:numPr>
        <w:spacing w:before="0" w:after="200" w:line="276" w:lineRule="auto"/>
        <w:rPr>
          <w:bCs/>
          <w:szCs w:val="24"/>
          <w:lang w:val="fr-FR"/>
        </w:rPr>
      </w:pPr>
      <w:bookmarkStart w:id="7" w:name="_Toc338065570"/>
      <w:r w:rsidRPr="003D3F80">
        <w:rPr>
          <w:b w:val="0"/>
          <w:bCs/>
          <w:smallCaps w:val="0"/>
          <w:szCs w:val="24"/>
          <w:lang w:val="fr-FR"/>
        </w:rPr>
        <w:t>Perspectives et risques</w:t>
      </w:r>
      <w:bookmarkEnd w:id="7"/>
    </w:p>
    <w:p w:rsidR="00362A53" w:rsidRPr="003D3F80" w:rsidRDefault="00362A53" w:rsidP="00362A53">
      <w:pPr>
        <w:pStyle w:val="ippara2"/>
        <w:widowControl/>
        <w:spacing w:after="200" w:line="276" w:lineRule="auto"/>
        <w:ind w:left="0" w:firstLine="0"/>
        <w:jc w:val="both"/>
        <w:rPr>
          <w:lang w:val="fr-FR"/>
        </w:rPr>
      </w:pPr>
      <w:r w:rsidRPr="003D3F80">
        <w:rPr>
          <w:b/>
          <w:i/>
          <w:lang w:val="fr-FR"/>
        </w:rPr>
        <w:t>Perspectives</w:t>
      </w:r>
      <w:r w:rsidRPr="003D3F80">
        <w:rPr>
          <w:lang w:val="fr-FR"/>
        </w:rPr>
        <w:t xml:space="preserve">. Bien conduit, </w:t>
      </w:r>
      <w:r w:rsidR="008F15D0">
        <w:rPr>
          <w:lang w:val="fr-FR"/>
        </w:rPr>
        <w:t>le processus d’</w:t>
      </w:r>
      <w:r w:rsidRPr="003D3F80">
        <w:rPr>
          <w:lang w:val="fr-FR"/>
        </w:rPr>
        <w:t xml:space="preserve">examen </w:t>
      </w:r>
      <w:r w:rsidR="008F15D0">
        <w:rPr>
          <w:lang w:val="fr-FR"/>
        </w:rPr>
        <w:t>et de mise à jour</w:t>
      </w:r>
      <w:r w:rsidRPr="003D3F80">
        <w:rPr>
          <w:lang w:val="fr-FR"/>
        </w:rPr>
        <w:t xml:space="preserve"> peut avoir des effets positifs multiples pour la Banque, ses actionnaires et les parties prenantes à son action au plan interne et externe, à savoir : i) obtention de meilleurs résultats au plan environnemental et social ; ii) renforcement des dispositifs et des institutions des pays ; et iii) meilleure prise en compte des risques environnementaux et sociaux. Un </w:t>
      </w:r>
      <w:r w:rsidR="00E916CB">
        <w:rPr>
          <w:lang w:val="fr-FR"/>
        </w:rPr>
        <w:t>cadre</w:t>
      </w:r>
      <w:r w:rsidRPr="003D3F80">
        <w:rPr>
          <w:lang w:val="fr-FR"/>
        </w:rPr>
        <w:t xml:space="preserve"> intégré pourrait en pratique devenir un bien public mondial servant de point de référence pour la gestion du risque par les autres BMD et les autres institutions financières internationales œuvrant dans le secteur public. Un tel résultat permettrait de mieux gérer les risques et les effets négatifs au plan environnemental et social, et d</w:t>
      </w:r>
      <w:r w:rsidR="001051C0">
        <w:rPr>
          <w:lang w:val="fr-FR"/>
        </w:rPr>
        <w:t>’</w:t>
      </w:r>
      <w:r w:rsidRPr="003D3F80">
        <w:rPr>
          <w:lang w:val="fr-FR"/>
        </w:rPr>
        <w:t>améliorer l</w:t>
      </w:r>
      <w:r w:rsidR="001051C0">
        <w:rPr>
          <w:lang w:val="fr-FR"/>
        </w:rPr>
        <w:t>’</w:t>
      </w:r>
      <w:r w:rsidRPr="003D3F80">
        <w:rPr>
          <w:lang w:val="fr-FR"/>
        </w:rPr>
        <w:t xml:space="preserve">impact positif mesurable que les politiques de sauvegarde ont sur un </w:t>
      </w:r>
      <w:r w:rsidRPr="003D3F80">
        <w:rPr>
          <w:lang w:val="fr-FR"/>
        </w:rPr>
        <w:lastRenderedPageBreak/>
        <w:t>développement écologiquement et socialement durable, sur l</w:t>
      </w:r>
      <w:r w:rsidR="001051C0">
        <w:rPr>
          <w:lang w:val="fr-FR"/>
        </w:rPr>
        <w:t>’</w:t>
      </w:r>
      <w:r w:rsidRPr="003D3F80">
        <w:rPr>
          <w:lang w:val="fr-FR"/>
        </w:rPr>
        <w:t>efficacité de ce développement au plan des résultats et sur l</w:t>
      </w:r>
      <w:r w:rsidR="001051C0">
        <w:rPr>
          <w:lang w:val="fr-FR"/>
        </w:rPr>
        <w:t>’</w:t>
      </w:r>
      <w:r w:rsidRPr="003D3F80">
        <w:rPr>
          <w:lang w:val="fr-FR"/>
        </w:rPr>
        <w:t xml:space="preserve">efficacité des opérations du point de vue des coûts. </w:t>
      </w:r>
    </w:p>
    <w:p w:rsidR="00362A53" w:rsidRPr="003D3F80" w:rsidRDefault="00362A53" w:rsidP="00362A53">
      <w:pPr>
        <w:pStyle w:val="ippara2"/>
        <w:widowControl/>
        <w:spacing w:after="200" w:line="276" w:lineRule="auto"/>
        <w:ind w:left="0" w:firstLine="0"/>
        <w:jc w:val="both"/>
        <w:rPr>
          <w:lang w:val="fr-FR"/>
        </w:rPr>
      </w:pPr>
      <w:r w:rsidRPr="003D3F80">
        <w:rPr>
          <w:b/>
          <w:i/>
          <w:lang w:val="fr-FR"/>
        </w:rPr>
        <w:t>Risques.</w:t>
      </w:r>
      <w:r w:rsidRPr="003D3F80">
        <w:rPr>
          <w:lang w:val="fr-FR"/>
        </w:rPr>
        <w:t xml:space="preserve"> Les politiques de sauvegarde figurent parmi les politiques opérationnelles les plus connues de la Banque. Elles sont complexes par nature et suscitent un vif intérêt de la part d</w:t>
      </w:r>
      <w:r w:rsidR="001051C0">
        <w:rPr>
          <w:lang w:val="fr-FR"/>
        </w:rPr>
        <w:t>’</w:t>
      </w:r>
      <w:r w:rsidRPr="003D3F80">
        <w:rPr>
          <w:lang w:val="fr-FR"/>
        </w:rPr>
        <w:t>un large éventail d</w:t>
      </w:r>
      <w:r w:rsidR="001051C0">
        <w:rPr>
          <w:lang w:val="fr-FR"/>
        </w:rPr>
        <w:t>’</w:t>
      </w:r>
      <w:r w:rsidRPr="003D3F80">
        <w:rPr>
          <w:lang w:val="fr-FR"/>
        </w:rPr>
        <w:t>acteurs. Elles ont été élaborées au fil du temps et sont le fruit du développement des connaissances de la Banque sur la gestion des risques environnementaux et sociaux, et de sa capacité à s</w:t>
      </w:r>
      <w:r w:rsidR="001051C0">
        <w:rPr>
          <w:lang w:val="fr-FR"/>
        </w:rPr>
        <w:t>’</w:t>
      </w:r>
      <w:r w:rsidRPr="003D3F80">
        <w:rPr>
          <w:lang w:val="fr-FR"/>
        </w:rPr>
        <w:t>adapter à ces questions. Le processus d</w:t>
      </w:r>
      <w:r w:rsidR="008F15D0">
        <w:rPr>
          <w:lang w:val="fr-FR"/>
        </w:rPr>
        <w:t>’</w:t>
      </w:r>
      <w:r w:rsidRPr="003D3F80">
        <w:rPr>
          <w:lang w:val="fr-FR"/>
        </w:rPr>
        <w:t xml:space="preserve">examen </w:t>
      </w:r>
      <w:r w:rsidR="008F15D0">
        <w:rPr>
          <w:lang w:val="fr-FR"/>
        </w:rPr>
        <w:t xml:space="preserve">et de mise à jour </w:t>
      </w:r>
      <w:r w:rsidRPr="003D3F80">
        <w:rPr>
          <w:lang w:val="fr-FR"/>
        </w:rPr>
        <w:t>est certes une opportunité riche d</w:t>
      </w:r>
      <w:r w:rsidR="001051C0">
        <w:rPr>
          <w:lang w:val="fr-FR"/>
        </w:rPr>
        <w:t>’</w:t>
      </w:r>
      <w:r w:rsidRPr="003D3F80">
        <w:rPr>
          <w:lang w:val="fr-FR"/>
        </w:rPr>
        <w:t>enseignements qui vient à point nommé pour faire évoluer les politiques de sauvegarde, mais il comporte aussi des défis à des niveaux multiples. Toute proposition de modification du libellé actuel des politiques de sauvegarde pourrait être interprétée par certains comme un assouplissement des obligations existantes. Les multiples voix (parfois divergentes) de ceux qui prétendent défendre les intérêts des acteurs concernés peuvent entrainer des clivages et compliquer la recherche du consensus. La Banque s</w:t>
      </w:r>
      <w:r w:rsidR="001051C0">
        <w:rPr>
          <w:lang w:val="fr-FR"/>
        </w:rPr>
        <w:t>’</w:t>
      </w:r>
      <w:r w:rsidRPr="003D3F80">
        <w:rPr>
          <w:lang w:val="fr-FR"/>
        </w:rPr>
        <w:t>efforcera de trouver le juste équilibre, guidée par son mandat, ses objectifs globaux de développement et les considérations liées à l</w:t>
      </w:r>
      <w:r w:rsidR="001051C0">
        <w:rPr>
          <w:lang w:val="fr-FR"/>
        </w:rPr>
        <w:t>’</w:t>
      </w:r>
      <w:r w:rsidRPr="003D3F80">
        <w:rPr>
          <w:lang w:val="fr-FR"/>
        </w:rPr>
        <w:t>exécution des projets.</w:t>
      </w:r>
    </w:p>
    <w:p w:rsidR="00362A53" w:rsidRPr="003D3F80" w:rsidRDefault="00362A53" w:rsidP="00362A53">
      <w:pPr>
        <w:pStyle w:val="Heading3"/>
        <w:keepNext/>
        <w:widowControl/>
        <w:numPr>
          <w:ilvl w:val="0"/>
          <w:numId w:val="38"/>
        </w:numPr>
        <w:spacing w:before="0" w:after="200" w:line="276" w:lineRule="auto"/>
        <w:rPr>
          <w:szCs w:val="24"/>
          <w:lang w:val="fr-FR"/>
        </w:rPr>
      </w:pPr>
      <w:bookmarkStart w:id="8" w:name="_Toc338065571"/>
      <w:r w:rsidRPr="003D3F80">
        <w:rPr>
          <w:szCs w:val="24"/>
          <w:lang w:val="fr-FR"/>
        </w:rPr>
        <w:t>Processus d</w:t>
      </w:r>
      <w:r w:rsidR="008F15D0">
        <w:rPr>
          <w:szCs w:val="24"/>
          <w:lang w:val="fr-FR"/>
        </w:rPr>
        <w:t>’</w:t>
      </w:r>
      <w:r w:rsidR="000F660B">
        <w:rPr>
          <w:szCs w:val="24"/>
          <w:lang w:val="fr-FR"/>
        </w:rPr>
        <w:t>e</w:t>
      </w:r>
      <w:r w:rsidR="008F15D0">
        <w:rPr>
          <w:szCs w:val="24"/>
          <w:lang w:val="fr-FR"/>
        </w:rPr>
        <w:t xml:space="preserve">xamen et de Mise à </w:t>
      </w:r>
      <w:r w:rsidR="000F660B">
        <w:rPr>
          <w:szCs w:val="24"/>
          <w:lang w:val="fr-FR"/>
        </w:rPr>
        <w:t>j</w:t>
      </w:r>
      <w:r w:rsidR="008F15D0">
        <w:rPr>
          <w:szCs w:val="24"/>
          <w:lang w:val="fr-FR"/>
        </w:rPr>
        <w:t>our</w:t>
      </w:r>
      <w:r w:rsidR="00350F0A">
        <w:rPr>
          <w:szCs w:val="24"/>
          <w:lang w:val="fr-FR"/>
        </w:rPr>
        <w:t xml:space="preserve">, </w:t>
      </w:r>
      <w:r w:rsidRPr="003D3F80">
        <w:rPr>
          <w:szCs w:val="24"/>
          <w:lang w:val="fr-FR"/>
        </w:rPr>
        <w:t xml:space="preserve"> et consultation</w:t>
      </w:r>
      <w:bookmarkEnd w:id="8"/>
    </w:p>
    <w:p w:rsidR="00362A53" w:rsidRPr="003D3F80" w:rsidRDefault="00362A53" w:rsidP="00362A53">
      <w:pPr>
        <w:keepNext/>
        <w:spacing w:after="200" w:line="276" w:lineRule="auto"/>
        <w:rPr>
          <w:lang w:val="fr-FR"/>
        </w:rPr>
      </w:pPr>
      <w:r w:rsidRPr="003D3F80">
        <w:rPr>
          <w:b/>
          <w:lang w:val="fr-FR"/>
        </w:rPr>
        <w:t>Acteurs concernés</w:t>
      </w:r>
    </w:p>
    <w:p w:rsidR="00362A53" w:rsidRPr="003D3F80" w:rsidRDefault="00362A53" w:rsidP="00362A53">
      <w:pPr>
        <w:pStyle w:val="ippara2"/>
        <w:widowControl/>
        <w:spacing w:after="200" w:line="276" w:lineRule="auto"/>
        <w:ind w:left="0" w:firstLine="0"/>
        <w:jc w:val="both"/>
        <w:rPr>
          <w:lang w:val="fr-FR"/>
        </w:rPr>
      </w:pPr>
      <w:r w:rsidRPr="003D3F80">
        <w:rPr>
          <w:b/>
          <w:i/>
          <w:lang w:val="fr-FR"/>
        </w:rPr>
        <w:t>Reconnaissance de la grande diversité des acteurs.</w:t>
      </w:r>
      <w:r w:rsidRPr="003D3F80">
        <w:rPr>
          <w:lang w:val="fr-FR"/>
        </w:rPr>
        <w:t xml:space="preserve"> La Banque cherche à susciter la participation et les contributions de multiples acteurs tout au long du processus d</w:t>
      </w:r>
      <w:r w:rsidR="008F15D0">
        <w:rPr>
          <w:lang w:val="fr-FR"/>
        </w:rPr>
        <w:t>’</w:t>
      </w:r>
      <w:r w:rsidRPr="003D3F80">
        <w:rPr>
          <w:lang w:val="fr-FR"/>
        </w:rPr>
        <w:t>examen</w:t>
      </w:r>
      <w:r w:rsidR="008F15D0">
        <w:rPr>
          <w:lang w:val="fr-FR"/>
        </w:rPr>
        <w:t xml:space="preserve"> et de mise à jour</w:t>
      </w:r>
      <w:r w:rsidRPr="003D3F80">
        <w:rPr>
          <w:lang w:val="fr-FR"/>
        </w:rPr>
        <w:t>. Pour ce faire, elle se rapprochera de ses actionnaires, et de ses partenaires internes et externes, afin de recueillir leurs avis et leurs contributions. Outre le dialogue engagé avec une large gamme d</w:t>
      </w:r>
      <w:r w:rsidR="001051C0">
        <w:rPr>
          <w:lang w:val="fr-FR"/>
        </w:rPr>
        <w:t>’</w:t>
      </w:r>
      <w:r w:rsidRPr="003D3F80">
        <w:rPr>
          <w:lang w:val="fr-FR"/>
        </w:rPr>
        <w:t xml:space="preserve">intervenants, le processus de consultation visera aussi à établir un cadre de concertation entre la Banque et ses partenaires afin que la mise en œuvre du nouveau </w:t>
      </w:r>
      <w:r w:rsidR="00E916CB">
        <w:rPr>
          <w:lang w:val="fr-FR"/>
        </w:rPr>
        <w:t>cadre</w:t>
      </w:r>
      <w:r w:rsidRPr="003D3F80">
        <w:rPr>
          <w:lang w:val="fr-FR"/>
        </w:rPr>
        <w:t xml:space="preserve"> intégré continue de bénéficier de perspectives diverses même au terme d</w:t>
      </w:r>
      <w:r w:rsidR="008F15D0">
        <w:rPr>
          <w:lang w:val="fr-FR"/>
        </w:rPr>
        <w:t>e l’</w:t>
      </w:r>
      <w:r w:rsidRPr="003D3F80">
        <w:rPr>
          <w:lang w:val="fr-FR"/>
        </w:rPr>
        <w:t xml:space="preserve">examen </w:t>
      </w:r>
      <w:r w:rsidR="008F15D0">
        <w:rPr>
          <w:lang w:val="fr-FR"/>
        </w:rPr>
        <w:t xml:space="preserve">et de la mise à </w:t>
      </w:r>
      <w:r w:rsidR="000F660B">
        <w:rPr>
          <w:lang w:val="fr-FR"/>
        </w:rPr>
        <w:t xml:space="preserve">jour </w:t>
      </w:r>
      <w:r w:rsidRPr="003D3F80">
        <w:rPr>
          <w:lang w:val="fr-FR"/>
        </w:rPr>
        <w:t>des politiques de sauvegarde.</w:t>
      </w:r>
    </w:p>
    <w:p w:rsidR="00362A53" w:rsidRPr="003D3F80" w:rsidRDefault="00362A53" w:rsidP="00362A53">
      <w:pPr>
        <w:pStyle w:val="ippara2"/>
        <w:widowControl/>
        <w:spacing w:after="200" w:line="276" w:lineRule="auto"/>
        <w:ind w:left="0" w:firstLine="0"/>
        <w:jc w:val="both"/>
        <w:rPr>
          <w:lang w:val="fr-FR"/>
        </w:rPr>
      </w:pPr>
      <w:r w:rsidRPr="003D3F80">
        <w:rPr>
          <w:b/>
          <w:i/>
          <w:lang w:val="fr-FR"/>
        </w:rPr>
        <w:t>Consultations avec les pays actionnaires.</w:t>
      </w:r>
      <w:r w:rsidRPr="003D3F80">
        <w:rPr>
          <w:i/>
          <w:lang w:val="fr-FR"/>
        </w:rPr>
        <w:t xml:space="preserve"> </w:t>
      </w:r>
      <w:r w:rsidRPr="003D3F80">
        <w:rPr>
          <w:lang w:val="fr-FR"/>
        </w:rPr>
        <w:t>L</w:t>
      </w:r>
      <w:r w:rsidR="00C12FC3" w:rsidRPr="003D3F80">
        <w:rPr>
          <w:lang w:val="fr-FR"/>
        </w:rPr>
        <w:t>a diversité des expériences, des perspectives, des connaissances et des attentes des pays actionnaires est un aspect essentiel du processus d</w:t>
      </w:r>
      <w:r w:rsidR="008F15D0">
        <w:rPr>
          <w:lang w:val="fr-FR"/>
        </w:rPr>
        <w:t>’</w:t>
      </w:r>
      <w:r w:rsidR="00C12FC3" w:rsidRPr="003D3F80">
        <w:rPr>
          <w:lang w:val="fr-FR"/>
        </w:rPr>
        <w:t>examen et de mise à jour des politiques de sauvegarde</w:t>
      </w:r>
      <w:r w:rsidRPr="003D3F80">
        <w:rPr>
          <w:lang w:val="fr-FR"/>
        </w:rPr>
        <w:t xml:space="preserve">. </w:t>
      </w:r>
      <w:r w:rsidR="00C12FC3" w:rsidRPr="003D3F80">
        <w:rPr>
          <w:lang w:val="fr-FR"/>
        </w:rPr>
        <w:t>La direction sollicitera les conseils des Administrateurs sur le meilleur moyen d</w:t>
      </w:r>
      <w:r w:rsidR="001051C0">
        <w:rPr>
          <w:lang w:val="fr-FR"/>
        </w:rPr>
        <w:t>’</w:t>
      </w:r>
      <w:r w:rsidR="00C12FC3" w:rsidRPr="003D3F80">
        <w:rPr>
          <w:lang w:val="fr-FR"/>
        </w:rPr>
        <w:t>organiser des</w:t>
      </w:r>
      <w:r w:rsidRPr="003D3F80">
        <w:rPr>
          <w:lang w:val="fr-FR"/>
        </w:rPr>
        <w:t xml:space="preserve"> consultations </w:t>
      </w:r>
      <w:r w:rsidR="00C12FC3" w:rsidRPr="003D3F80">
        <w:rPr>
          <w:lang w:val="fr-FR"/>
        </w:rPr>
        <w:t xml:space="preserve">au niveau des pays </w:t>
      </w:r>
      <w:r w:rsidRPr="003D3F80">
        <w:rPr>
          <w:lang w:val="fr-FR"/>
        </w:rPr>
        <w:t>avec les actionnaires pour comprendre leurs expériences, points de vue et priorités au niveau national et infranational. Pour ce qui est des pays donateurs, il s</w:t>
      </w:r>
      <w:r w:rsidR="001051C0">
        <w:rPr>
          <w:lang w:val="fr-FR"/>
        </w:rPr>
        <w:t>’</w:t>
      </w:r>
      <w:r w:rsidRPr="003D3F80">
        <w:rPr>
          <w:lang w:val="fr-FR"/>
        </w:rPr>
        <w:t>agira de déterminer s</w:t>
      </w:r>
      <w:r w:rsidR="001051C0">
        <w:rPr>
          <w:lang w:val="fr-FR"/>
        </w:rPr>
        <w:t>’</w:t>
      </w:r>
      <w:r w:rsidRPr="003D3F80">
        <w:rPr>
          <w:lang w:val="fr-FR"/>
        </w:rPr>
        <w:t xml:space="preserve">ils sont désireux </w:t>
      </w:r>
      <w:r w:rsidR="00C12FC3" w:rsidRPr="003D3F80">
        <w:rPr>
          <w:lang w:val="fr-FR"/>
        </w:rPr>
        <w:t xml:space="preserve">de concevoir et </w:t>
      </w:r>
      <w:r w:rsidRPr="003D3F80">
        <w:rPr>
          <w:lang w:val="fr-FR"/>
        </w:rPr>
        <w:t>d</w:t>
      </w:r>
      <w:r w:rsidR="001051C0">
        <w:rPr>
          <w:lang w:val="fr-FR"/>
        </w:rPr>
        <w:t>’</w:t>
      </w:r>
      <w:r w:rsidRPr="003D3F80">
        <w:rPr>
          <w:lang w:val="fr-FR"/>
        </w:rPr>
        <w:t>apporter une aide ciblée pour renforcer les institutions et les</w:t>
      </w:r>
      <w:r w:rsidR="00C12FC3" w:rsidRPr="003D3F80">
        <w:rPr>
          <w:lang w:val="fr-FR"/>
        </w:rPr>
        <w:t xml:space="preserve"> capacités des pays emprunteurs</w:t>
      </w:r>
      <w:r w:rsidRPr="003D3F80">
        <w:rPr>
          <w:lang w:val="fr-FR"/>
        </w:rPr>
        <w:t>.</w:t>
      </w:r>
    </w:p>
    <w:p w:rsidR="00362A53" w:rsidRPr="003D3F80" w:rsidRDefault="00362A53" w:rsidP="00362A53">
      <w:pPr>
        <w:pStyle w:val="ippara2"/>
        <w:widowControl/>
        <w:spacing w:after="200" w:line="276" w:lineRule="auto"/>
        <w:ind w:left="0" w:firstLine="0"/>
        <w:jc w:val="both"/>
        <w:rPr>
          <w:lang w:val="fr-FR"/>
        </w:rPr>
      </w:pPr>
      <w:r w:rsidRPr="003D3F80">
        <w:rPr>
          <w:b/>
          <w:bCs/>
          <w:i/>
          <w:lang w:val="fr-FR"/>
        </w:rPr>
        <w:t>Consultations avec les acteurs internes.</w:t>
      </w:r>
      <w:r w:rsidRPr="003D3F80">
        <w:rPr>
          <w:bCs/>
          <w:i/>
          <w:lang w:val="fr-FR"/>
        </w:rPr>
        <w:t xml:space="preserve"> </w:t>
      </w:r>
      <w:r w:rsidRPr="003D3F80">
        <w:rPr>
          <w:bCs/>
          <w:lang w:val="fr-FR"/>
        </w:rPr>
        <w:t>La direction et les services de la Banque comptent 20 années d</w:t>
      </w:r>
      <w:r w:rsidR="001051C0">
        <w:rPr>
          <w:bCs/>
          <w:lang w:val="fr-FR"/>
        </w:rPr>
        <w:t>’</w:t>
      </w:r>
      <w:r w:rsidRPr="003D3F80">
        <w:rPr>
          <w:bCs/>
          <w:lang w:val="fr-FR"/>
        </w:rPr>
        <w:t>expérience de l</w:t>
      </w:r>
      <w:r w:rsidR="001051C0">
        <w:rPr>
          <w:bCs/>
          <w:lang w:val="fr-FR"/>
        </w:rPr>
        <w:t>’</w:t>
      </w:r>
      <w:r w:rsidRPr="003D3F80">
        <w:rPr>
          <w:bCs/>
          <w:lang w:val="fr-FR"/>
        </w:rPr>
        <w:t>application et de la mise en œuvre des politiques de sauvegarde. Le processus d</w:t>
      </w:r>
      <w:r w:rsidR="008F15D0">
        <w:rPr>
          <w:bCs/>
          <w:lang w:val="fr-FR"/>
        </w:rPr>
        <w:t>’</w:t>
      </w:r>
      <w:r w:rsidRPr="003D3F80">
        <w:rPr>
          <w:bCs/>
          <w:lang w:val="fr-FR"/>
        </w:rPr>
        <w:t xml:space="preserve">examen </w:t>
      </w:r>
      <w:r w:rsidR="008F15D0">
        <w:rPr>
          <w:bCs/>
          <w:lang w:val="fr-FR"/>
        </w:rPr>
        <w:t xml:space="preserve">et de mise à jour </w:t>
      </w:r>
      <w:r w:rsidRPr="003D3F80">
        <w:rPr>
          <w:bCs/>
          <w:lang w:val="fr-FR"/>
        </w:rPr>
        <w:t xml:space="preserve">bénéficiera pleinement de cette expérience. Pour ce faire, des consultations internes seront organisées avec les services de la Banque dans les </w:t>
      </w:r>
      <w:r w:rsidRPr="003D3F80">
        <w:rPr>
          <w:bCs/>
          <w:lang w:val="fr-FR"/>
        </w:rPr>
        <w:lastRenderedPageBreak/>
        <w:t>bureaux-pays et au siège. Ces consultations seront l</w:t>
      </w:r>
      <w:r w:rsidR="001051C0">
        <w:rPr>
          <w:bCs/>
          <w:lang w:val="fr-FR"/>
        </w:rPr>
        <w:t>’</w:t>
      </w:r>
      <w:r w:rsidRPr="003D3F80">
        <w:rPr>
          <w:bCs/>
          <w:lang w:val="fr-FR"/>
        </w:rPr>
        <w:t>occasion pour les différents services de s</w:t>
      </w:r>
      <w:r w:rsidR="001051C0">
        <w:rPr>
          <w:bCs/>
          <w:lang w:val="fr-FR"/>
        </w:rPr>
        <w:t>’</w:t>
      </w:r>
      <w:r w:rsidRPr="003D3F80">
        <w:rPr>
          <w:bCs/>
          <w:lang w:val="fr-FR"/>
        </w:rPr>
        <w:t>entretenir et de donner leur avis sur la manière d</w:t>
      </w:r>
      <w:r w:rsidR="001051C0">
        <w:rPr>
          <w:bCs/>
          <w:lang w:val="fr-FR"/>
        </w:rPr>
        <w:t>’</w:t>
      </w:r>
      <w:r w:rsidRPr="003D3F80">
        <w:rPr>
          <w:bCs/>
          <w:lang w:val="fr-FR"/>
        </w:rPr>
        <w:t>améliorer la conception et l</w:t>
      </w:r>
      <w:r w:rsidR="001051C0">
        <w:rPr>
          <w:bCs/>
          <w:lang w:val="fr-FR"/>
        </w:rPr>
        <w:t>’</w:t>
      </w:r>
      <w:r w:rsidRPr="003D3F80">
        <w:rPr>
          <w:bCs/>
          <w:lang w:val="fr-FR"/>
        </w:rPr>
        <w:t>application des politiques de sauvegarde actuelles et d</w:t>
      </w:r>
      <w:r w:rsidR="001051C0">
        <w:rPr>
          <w:bCs/>
          <w:lang w:val="fr-FR"/>
        </w:rPr>
        <w:t>’</w:t>
      </w:r>
      <w:r w:rsidRPr="003D3F80">
        <w:rPr>
          <w:bCs/>
          <w:lang w:val="fr-FR"/>
        </w:rPr>
        <w:t xml:space="preserve">évoluer vers un </w:t>
      </w:r>
      <w:r w:rsidR="00E916CB">
        <w:rPr>
          <w:bCs/>
          <w:lang w:val="fr-FR"/>
        </w:rPr>
        <w:t>cadre</w:t>
      </w:r>
      <w:r w:rsidRPr="003D3F80">
        <w:rPr>
          <w:bCs/>
          <w:lang w:val="fr-FR"/>
        </w:rPr>
        <w:t xml:space="preserve"> intégré. Il s</w:t>
      </w:r>
      <w:r w:rsidR="001051C0">
        <w:rPr>
          <w:bCs/>
          <w:lang w:val="fr-FR"/>
        </w:rPr>
        <w:t>’</w:t>
      </w:r>
      <w:r w:rsidRPr="003D3F80">
        <w:rPr>
          <w:bCs/>
          <w:lang w:val="fr-FR"/>
        </w:rPr>
        <w:t>agira de rencontres virtuelles ou en personne, qui prendront différentes formes telles que des forums de portée générale, des réunions ciblées, des groupes de discussion et des vidéoconférences.</w:t>
      </w:r>
      <w:r w:rsidRPr="003D3F80">
        <w:rPr>
          <w:lang w:val="fr-FR"/>
        </w:rPr>
        <w:t xml:space="preserve"> </w:t>
      </w:r>
    </w:p>
    <w:p w:rsidR="00362A53" w:rsidRPr="003D3F80" w:rsidRDefault="00362A53" w:rsidP="00362A53">
      <w:pPr>
        <w:pStyle w:val="ippara2"/>
        <w:widowControl/>
        <w:spacing w:after="200" w:line="276" w:lineRule="auto"/>
        <w:ind w:left="0" w:firstLine="0"/>
        <w:jc w:val="both"/>
        <w:rPr>
          <w:lang w:val="fr-FR"/>
        </w:rPr>
      </w:pPr>
      <w:r w:rsidRPr="003D3F80">
        <w:rPr>
          <w:b/>
          <w:bCs/>
          <w:i/>
          <w:lang w:val="fr-FR"/>
        </w:rPr>
        <w:t>Consultations avec les acteurs externes.</w:t>
      </w:r>
      <w:r w:rsidRPr="003D3F80">
        <w:rPr>
          <w:bCs/>
          <w:i/>
          <w:lang w:val="fr-FR"/>
        </w:rPr>
        <w:t xml:space="preserve"> </w:t>
      </w:r>
      <w:r w:rsidRPr="003D3F80">
        <w:rPr>
          <w:bCs/>
          <w:lang w:val="fr-FR"/>
        </w:rPr>
        <w:t>Lors du processus de consultation, on sollicitera les avis d</w:t>
      </w:r>
      <w:r w:rsidR="001051C0">
        <w:rPr>
          <w:bCs/>
          <w:lang w:val="fr-FR"/>
        </w:rPr>
        <w:t>’</w:t>
      </w:r>
      <w:r w:rsidRPr="003D3F80">
        <w:rPr>
          <w:bCs/>
          <w:lang w:val="fr-FR"/>
        </w:rPr>
        <w:t>un large éventail d</w:t>
      </w:r>
      <w:r w:rsidR="001051C0">
        <w:rPr>
          <w:bCs/>
          <w:lang w:val="fr-FR"/>
        </w:rPr>
        <w:t>’</w:t>
      </w:r>
      <w:r w:rsidRPr="003D3F80">
        <w:rPr>
          <w:bCs/>
          <w:lang w:val="fr-FR"/>
        </w:rPr>
        <w:t>acteurs. Les intervenants et groupes de pays concernés sont les suivants, sans que cette liste soit limitative</w:t>
      </w:r>
      <w:r w:rsidRPr="003D3F80">
        <w:rPr>
          <w:color w:val="000000"/>
          <w:lang w:val="fr-FR"/>
        </w:rPr>
        <w:t> : a) les représentants des emprunteurs ; b) les organismes des Nations Unies ; c) les bailleurs d</w:t>
      </w:r>
      <w:r w:rsidR="001051C0">
        <w:rPr>
          <w:color w:val="000000"/>
          <w:lang w:val="fr-FR"/>
        </w:rPr>
        <w:t>’</w:t>
      </w:r>
      <w:r w:rsidRPr="003D3F80">
        <w:rPr>
          <w:color w:val="000000"/>
          <w:lang w:val="fr-FR"/>
        </w:rPr>
        <w:t>aide bilatérale et multilatérale de la communauté du développement ; d) les représentants du secteur privé ; e) les fondations et organisations œuvrant pour le développement ; f) les établissements d</w:t>
      </w:r>
      <w:r w:rsidR="001051C0">
        <w:rPr>
          <w:color w:val="000000"/>
          <w:lang w:val="fr-FR"/>
        </w:rPr>
        <w:t>’</w:t>
      </w:r>
      <w:r w:rsidRPr="003D3F80">
        <w:rPr>
          <w:color w:val="000000"/>
          <w:lang w:val="fr-FR"/>
        </w:rPr>
        <w:t>enseignement et de recherche appliquée ; g) les associations et organisations professionnelles ; h) les organisations locales, nationales ou internationales de la société civile menant des activités de promotion ou fournissant des services.</w:t>
      </w:r>
      <w:r w:rsidR="00094AE2" w:rsidRPr="003D3F80">
        <w:rPr>
          <w:color w:val="000000"/>
          <w:lang w:val="fr-FR"/>
        </w:rPr>
        <w:t xml:space="preserve"> </w:t>
      </w:r>
      <w:r w:rsidR="001051C0">
        <w:rPr>
          <w:color w:val="000000"/>
          <w:lang w:val="fr-FR"/>
        </w:rPr>
        <w:t xml:space="preserve">Les observations émanant des populations directement touchées par des projets financés par la Banque mondiale qui appliquent les politiques de sauvegarde revêtent une importance particulière. </w:t>
      </w:r>
      <w:r w:rsidR="001051C0">
        <w:rPr>
          <w:lang w:val="fr-FR"/>
        </w:rPr>
        <w:t xml:space="preserve">La </w:t>
      </w:r>
      <w:r w:rsidR="00094AE2" w:rsidRPr="003D3F80">
        <w:rPr>
          <w:lang w:val="fr-FR"/>
        </w:rPr>
        <w:t>Ban</w:t>
      </w:r>
      <w:r w:rsidR="001051C0">
        <w:rPr>
          <w:lang w:val="fr-FR"/>
        </w:rPr>
        <w:t xml:space="preserve">que tiendra des réunions de groupes composés </w:t>
      </w:r>
      <w:r w:rsidR="001051C0">
        <w:rPr>
          <w:color w:val="000000"/>
          <w:lang w:val="fr-FR"/>
        </w:rPr>
        <w:t xml:space="preserve">de </w:t>
      </w:r>
      <w:r w:rsidR="001051C0" w:rsidRPr="003D3F80">
        <w:rPr>
          <w:color w:val="000000"/>
          <w:lang w:val="fr-FR"/>
        </w:rPr>
        <w:t xml:space="preserve">membres de communautés </w:t>
      </w:r>
      <w:r w:rsidR="001051C0">
        <w:rPr>
          <w:lang w:val="fr-FR"/>
        </w:rPr>
        <w:t xml:space="preserve">situées dans différentes zones géographiques qui se sont heurtés à un certain nombre de problèmes d’ordre social et/ou </w:t>
      </w:r>
      <w:r w:rsidR="00094AE2" w:rsidRPr="003D3F80">
        <w:rPr>
          <w:lang w:val="fr-FR"/>
        </w:rPr>
        <w:t>environ</w:t>
      </w:r>
      <w:r w:rsidR="001051C0">
        <w:rPr>
          <w:lang w:val="fr-FR"/>
        </w:rPr>
        <w:t>ne</w:t>
      </w:r>
      <w:r w:rsidR="00094AE2" w:rsidRPr="003D3F80">
        <w:rPr>
          <w:lang w:val="fr-FR"/>
        </w:rPr>
        <w:t xml:space="preserve">mental </w:t>
      </w:r>
      <w:r w:rsidR="001051C0">
        <w:rPr>
          <w:lang w:val="fr-FR"/>
        </w:rPr>
        <w:t xml:space="preserve">aux stades de l’élaboration ou de l’exécution de projets financés par la Banque (que ces communautés aient déjà été interviewées par la Banque ou pas). </w:t>
      </w:r>
    </w:p>
    <w:p w:rsidR="00362A53" w:rsidRPr="003D3F80" w:rsidRDefault="00362A53" w:rsidP="00362A53">
      <w:pPr>
        <w:keepNext/>
        <w:spacing w:after="200" w:line="276" w:lineRule="auto"/>
        <w:rPr>
          <w:b/>
          <w:lang w:val="fr-FR"/>
        </w:rPr>
      </w:pPr>
      <w:r w:rsidRPr="003D3F80">
        <w:rPr>
          <w:b/>
          <w:lang w:val="fr-FR"/>
        </w:rPr>
        <w:t xml:space="preserve">Déroulement du </w:t>
      </w:r>
      <w:r w:rsidR="008F15D0">
        <w:rPr>
          <w:b/>
          <w:lang w:val="fr-FR"/>
        </w:rPr>
        <w:t>processus</w:t>
      </w:r>
    </w:p>
    <w:p w:rsidR="00362A53" w:rsidRPr="003D3F80" w:rsidRDefault="00362A53" w:rsidP="00362A53">
      <w:pPr>
        <w:pStyle w:val="ippara2"/>
        <w:widowControl/>
        <w:spacing w:after="200" w:line="276" w:lineRule="auto"/>
        <w:ind w:left="0" w:firstLine="0"/>
        <w:jc w:val="both"/>
        <w:rPr>
          <w:color w:val="000000"/>
          <w:lang w:val="fr-FR"/>
        </w:rPr>
      </w:pPr>
      <w:r w:rsidRPr="003D3F80">
        <w:rPr>
          <w:b/>
          <w:i/>
          <w:color w:val="000000"/>
          <w:lang w:val="fr-FR"/>
        </w:rPr>
        <w:t>Trois phases.</w:t>
      </w:r>
      <w:r w:rsidRPr="003D3F80">
        <w:rPr>
          <w:color w:val="000000"/>
          <w:lang w:val="fr-FR"/>
        </w:rPr>
        <w:t xml:space="preserve"> La direction prévoit que </w:t>
      </w:r>
      <w:r w:rsidR="00CD632B">
        <w:rPr>
          <w:color w:val="000000"/>
          <w:lang w:val="fr-FR"/>
        </w:rPr>
        <w:t xml:space="preserve">l’examen et la mise à jour </w:t>
      </w:r>
      <w:r w:rsidRPr="003D3F80">
        <w:rPr>
          <w:color w:val="000000"/>
          <w:lang w:val="fr-FR"/>
        </w:rPr>
        <w:t>des politiques de sauvegarde s</w:t>
      </w:r>
      <w:r w:rsidR="001051C0">
        <w:rPr>
          <w:color w:val="000000"/>
          <w:lang w:val="fr-FR"/>
        </w:rPr>
        <w:t>’</w:t>
      </w:r>
      <w:r w:rsidRPr="003D3F80">
        <w:rPr>
          <w:color w:val="000000"/>
          <w:lang w:val="fr-FR"/>
        </w:rPr>
        <w:t>effectuera en 24 mois et en trois grandes phases. Il s</w:t>
      </w:r>
      <w:r w:rsidR="001051C0">
        <w:rPr>
          <w:color w:val="000000"/>
          <w:lang w:val="fr-FR"/>
        </w:rPr>
        <w:t>’</w:t>
      </w:r>
      <w:r w:rsidRPr="003D3F80">
        <w:rPr>
          <w:color w:val="000000"/>
          <w:lang w:val="fr-FR"/>
        </w:rPr>
        <w:t>appuiera sur un processus mondial de consultation multipartite en vue de recueillir les contributions des acteurs intéressés de façon aussi large et plurilatérale que possible. Le tableau ci-dessous présente les principales activités des trois phases du processus (des détails supplémentaires seront fournis dans le plan de consultation et de communication, qui paraîtra en même temps que le présent document).</w:t>
      </w:r>
    </w:p>
    <w:tbl>
      <w:tblPr>
        <w:tblW w:w="0" w:type="auto"/>
        <w:tblInd w:w="-6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CellMar>
          <w:top w:w="29" w:type="dxa"/>
          <w:left w:w="115" w:type="dxa"/>
          <w:bottom w:w="29" w:type="dxa"/>
          <w:right w:w="115" w:type="dxa"/>
        </w:tblCellMar>
        <w:tblLook w:val="04A0" w:firstRow="1" w:lastRow="0" w:firstColumn="1" w:lastColumn="0" w:noHBand="0" w:noVBand="1"/>
      </w:tblPr>
      <w:tblGrid>
        <w:gridCol w:w="1481"/>
        <w:gridCol w:w="2666"/>
        <w:gridCol w:w="5494"/>
      </w:tblGrid>
      <w:tr w:rsidR="00362A53" w:rsidRPr="003D3F80">
        <w:trPr>
          <w:tblHeader/>
        </w:trPr>
        <w:tc>
          <w:tcPr>
            <w:tcW w:w="1481" w:type="dxa"/>
            <w:shd w:val="clear" w:color="auto" w:fill="FFFFFF" w:themeFill="background1"/>
          </w:tcPr>
          <w:p w:rsidR="00362A53" w:rsidRPr="003D3F80" w:rsidRDefault="00362A53" w:rsidP="00342113">
            <w:pPr>
              <w:pStyle w:val="BodyText"/>
              <w:keepNext/>
              <w:keepLines/>
              <w:widowControl/>
              <w:spacing w:before="0" w:after="0" w:line="276" w:lineRule="auto"/>
              <w:rPr>
                <w:b/>
                <w:i/>
                <w:color w:val="000000"/>
                <w:lang w:val="fr-FR"/>
              </w:rPr>
            </w:pPr>
            <w:r w:rsidRPr="003D3F80">
              <w:rPr>
                <w:color w:val="000000"/>
                <w:lang w:val="fr-FR"/>
              </w:rPr>
              <w:lastRenderedPageBreak/>
              <w:br w:type="page"/>
            </w:r>
            <w:r w:rsidRPr="003D3F80">
              <w:rPr>
                <w:b/>
                <w:i/>
                <w:color w:val="000000"/>
                <w:lang w:val="fr-FR"/>
              </w:rPr>
              <w:t xml:space="preserve"> Calendrier</w:t>
            </w:r>
          </w:p>
        </w:tc>
        <w:tc>
          <w:tcPr>
            <w:tcW w:w="2666" w:type="dxa"/>
            <w:shd w:val="clear" w:color="auto" w:fill="FFFFFF" w:themeFill="background1"/>
          </w:tcPr>
          <w:p w:rsidR="00362A53" w:rsidRPr="003D3F80" w:rsidRDefault="00362A53" w:rsidP="00342113">
            <w:pPr>
              <w:pStyle w:val="BodyText"/>
              <w:keepNext/>
              <w:keepLines/>
              <w:widowControl/>
              <w:spacing w:before="0" w:after="0" w:line="276" w:lineRule="auto"/>
              <w:jc w:val="left"/>
              <w:rPr>
                <w:b/>
                <w:i/>
                <w:color w:val="000000"/>
                <w:lang w:val="fr-FR"/>
              </w:rPr>
            </w:pPr>
            <w:r w:rsidRPr="003D3F80">
              <w:rPr>
                <w:b/>
                <w:i/>
                <w:color w:val="000000"/>
                <w:lang w:val="fr-FR"/>
              </w:rPr>
              <w:t>Phase</w:t>
            </w:r>
          </w:p>
        </w:tc>
        <w:tc>
          <w:tcPr>
            <w:tcW w:w="5494" w:type="dxa"/>
            <w:shd w:val="clear" w:color="auto" w:fill="FFFFFF" w:themeFill="background1"/>
          </w:tcPr>
          <w:p w:rsidR="00362A53" w:rsidRPr="003D3F80" w:rsidRDefault="00362A53" w:rsidP="00342113">
            <w:pPr>
              <w:pStyle w:val="BodyText"/>
              <w:keepNext/>
              <w:keepLines/>
              <w:widowControl/>
              <w:spacing w:before="0" w:after="0" w:line="276" w:lineRule="auto"/>
              <w:jc w:val="left"/>
              <w:rPr>
                <w:b/>
                <w:i/>
                <w:color w:val="000000"/>
                <w:lang w:val="fr-FR"/>
              </w:rPr>
            </w:pPr>
            <w:r w:rsidRPr="003D3F80">
              <w:rPr>
                <w:b/>
                <w:i/>
                <w:color w:val="000000"/>
                <w:lang w:val="fr-FR"/>
              </w:rPr>
              <w:t>Activités</w:t>
            </w:r>
          </w:p>
        </w:tc>
      </w:tr>
      <w:tr w:rsidR="00362A53" w:rsidRPr="00153F1B">
        <w:tc>
          <w:tcPr>
            <w:tcW w:w="1481" w:type="dxa"/>
            <w:shd w:val="clear" w:color="auto" w:fill="FFFFFF" w:themeFill="background1"/>
          </w:tcPr>
          <w:p w:rsidR="00362A53" w:rsidRPr="003D3F80" w:rsidRDefault="00362A53" w:rsidP="00094AE2">
            <w:pPr>
              <w:pStyle w:val="BodyText"/>
              <w:keepNext/>
              <w:keepLines/>
              <w:widowControl/>
              <w:spacing w:before="0" w:after="0" w:line="276" w:lineRule="auto"/>
              <w:rPr>
                <w:b/>
                <w:i/>
                <w:color w:val="000000"/>
                <w:lang w:val="fr-FR"/>
              </w:rPr>
            </w:pPr>
            <w:r w:rsidRPr="003D3F80">
              <w:rPr>
                <w:b/>
                <w:i/>
                <w:color w:val="000000"/>
                <w:lang w:val="fr-FR"/>
              </w:rPr>
              <w:t xml:space="preserve">Juillet 2012 </w:t>
            </w:r>
            <w:r w:rsidRPr="003D3F80">
              <w:rPr>
                <w:b/>
                <w:i/>
                <w:color w:val="000000"/>
                <w:lang w:val="fr-FR"/>
              </w:rPr>
              <w:noBreakHyphen/>
              <w:t xml:space="preserve"> </w:t>
            </w:r>
            <w:r w:rsidR="00094AE2" w:rsidRPr="003D3F80">
              <w:rPr>
                <w:b/>
                <w:i/>
                <w:color w:val="000000"/>
                <w:lang w:val="fr-FR"/>
              </w:rPr>
              <w:t>avril</w:t>
            </w:r>
            <w:r w:rsidRPr="003D3F80">
              <w:rPr>
                <w:b/>
                <w:i/>
                <w:color w:val="000000"/>
                <w:lang w:val="fr-FR"/>
              </w:rPr>
              <w:t xml:space="preserve"> 2013</w:t>
            </w:r>
          </w:p>
        </w:tc>
        <w:tc>
          <w:tcPr>
            <w:tcW w:w="2666" w:type="dxa"/>
            <w:shd w:val="clear" w:color="auto" w:fill="FFFFFF" w:themeFill="background1"/>
          </w:tcPr>
          <w:p w:rsidR="00362A53" w:rsidRPr="003D3F80" w:rsidRDefault="00362A53" w:rsidP="00342113">
            <w:pPr>
              <w:pStyle w:val="BodyText"/>
              <w:keepNext/>
              <w:keepLines/>
              <w:widowControl/>
              <w:spacing w:before="0" w:after="0" w:line="276" w:lineRule="auto"/>
              <w:jc w:val="left"/>
              <w:rPr>
                <w:b/>
                <w:color w:val="000000"/>
                <w:lang w:val="fr-FR"/>
              </w:rPr>
            </w:pPr>
            <w:r w:rsidRPr="003D3F80">
              <w:rPr>
                <w:b/>
                <w:i/>
                <w:color w:val="000000"/>
                <w:lang w:val="fr-FR"/>
              </w:rPr>
              <w:t>Phase 1 : Examen général</w:t>
            </w:r>
          </w:p>
        </w:tc>
        <w:tc>
          <w:tcPr>
            <w:tcW w:w="5494" w:type="dxa"/>
            <w:shd w:val="clear" w:color="auto" w:fill="FFFFFF" w:themeFill="background1"/>
          </w:tcPr>
          <w:p w:rsidR="00362A53" w:rsidRPr="003D3F80" w:rsidRDefault="00362A53" w:rsidP="00342113">
            <w:pPr>
              <w:pStyle w:val="BodyText"/>
              <w:keepNext/>
              <w:keepLines/>
              <w:widowControl/>
              <w:spacing w:before="0" w:after="0" w:line="276" w:lineRule="auto"/>
              <w:jc w:val="left"/>
              <w:rPr>
                <w:i/>
                <w:color w:val="000000"/>
                <w:lang w:val="fr-FR"/>
              </w:rPr>
            </w:pPr>
            <w:r w:rsidRPr="003D3F80">
              <w:rPr>
                <w:color w:val="000000"/>
                <w:lang w:val="fr-FR"/>
              </w:rPr>
              <w:t xml:space="preserve">La phase 1 comprendra les </w:t>
            </w:r>
            <w:r w:rsidRPr="003D3F80">
              <w:rPr>
                <w:i/>
                <w:color w:val="000000"/>
                <w:lang w:val="fr-FR"/>
              </w:rPr>
              <w:t xml:space="preserve">activités concomitantes </w:t>
            </w:r>
            <w:r w:rsidRPr="003D3F80">
              <w:rPr>
                <w:color w:val="000000"/>
                <w:lang w:val="fr-FR"/>
              </w:rPr>
              <w:t>suivantes</w:t>
            </w:r>
            <w:r w:rsidRPr="003D3F80">
              <w:rPr>
                <w:i/>
                <w:color w:val="000000"/>
                <w:lang w:val="fr-FR"/>
              </w:rPr>
              <w:t> :</w:t>
            </w:r>
          </w:p>
          <w:p w:rsidR="00362A53" w:rsidRPr="003D3F80" w:rsidRDefault="00362A53" w:rsidP="00342113">
            <w:pPr>
              <w:pStyle w:val="BodyText"/>
              <w:keepNext/>
              <w:keepLines/>
              <w:widowControl/>
              <w:numPr>
                <w:ilvl w:val="0"/>
                <w:numId w:val="3"/>
              </w:numPr>
              <w:spacing w:before="0" w:after="0" w:line="276" w:lineRule="auto"/>
              <w:jc w:val="left"/>
              <w:rPr>
                <w:color w:val="000000"/>
                <w:lang w:val="fr-FR"/>
              </w:rPr>
            </w:pPr>
            <w:r w:rsidRPr="003D3F80">
              <w:rPr>
                <w:color w:val="000000"/>
                <w:lang w:val="fr-FR"/>
              </w:rPr>
              <w:t>Examen général des acquis/modèles à suivre</w:t>
            </w:r>
          </w:p>
          <w:p w:rsidR="00362A53" w:rsidRPr="003D3F80" w:rsidRDefault="00362A53" w:rsidP="00342113">
            <w:pPr>
              <w:pStyle w:val="BodyText"/>
              <w:keepNext/>
              <w:keepLines/>
              <w:widowControl/>
              <w:numPr>
                <w:ilvl w:val="0"/>
                <w:numId w:val="3"/>
              </w:numPr>
              <w:spacing w:before="0" w:after="0" w:line="276" w:lineRule="auto"/>
              <w:jc w:val="left"/>
              <w:rPr>
                <w:color w:val="000000"/>
                <w:lang w:val="fr-FR"/>
              </w:rPr>
            </w:pPr>
            <w:r w:rsidRPr="003D3F80">
              <w:rPr>
                <w:color w:val="000000"/>
                <w:lang w:val="fr-FR"/>
              </w:rPr>
              <w:t>Préparation et présentation au CODE (Comité pour l</w:t>
            </w:r>
            <w:r w:rsidR="001051C0">
              <w:rPr>
                <w:color w:val="000000"/>
                <w:lang w:val="fr-FR"/>
              </w:rPr>
              <w:t>’</w:t>
            </w:r>
            <w:r w:rsidRPr="003D3F80">
              <w:rPr>
                <w:color w:val="000000"/>
                <w:lang w:val="fr-FR"/>
              </w:rPr>
              <w:t>efficacité du développement) du présent document de cadrage</w:t>
            </w:r>
          </w:p>
          <w:p w:rsidR="00362A53" w:rsidRPr="003D3F80" w:rsidRDefault="00362A53" w:rsidP="00342113">
            <w:pPr>
              <w:pStyle w:val="BodyText"/>
              <w:keepNext/>
              <w:keepLines/>
              <w:widowControl/>
              <w:numPr>
                <w:ilvl w:val="0"/>
                <w:numId w:val="3"/>
              </w:numPr>
              <w:spacing w:before="0" w:after="0" w:line="276" w:lineRule="auto"/>
              <w:jc w:val="left"/>
              <w:rPr>
                <w:color w:val="000000"/>
                <w:lang w:val="fr-FR"/>
              </w:rPr>
            </w:pPr>
            <w:r w:rsidRPr="003D3F80">
              <w:rPr>
                <w:color w:val="000000"/>
                <w:lang w:val="fr-FR"/>
              </w:rPr>
              <w:t>Premières consultations avec les actionnaires et les acteurs internes</w:t>
            </w:r>
          </w:p>
          <w:p w:rsidR="00362A53" w:rsidRPr="003D3F80" w:rsidRDefault="00362A53" w:rsidP="00342113">
            <w:pPr>
              <w:pStyle w:val="BodyText"/>
              <w:keepNext/>
              <w:keepLines/>
              <w:widowControl/>
              <w:numPr>
                <w:ilvl w:val="0"/>
                <w:numId w:val="3"/>
              </w:numPr>
              <w:spacing w:before="0" w:after="0" w:line="276" w:lineRule="auto"/>
              <w:jc w:val="left"/>
              <w:rPr>
                <w:color w:val="000000"/>
                <w:lang w:val="fr-FR"/>
              </w:rPr>
            </w:pPr>
            <w:r w:rsidRPr="003D3F80">
              <w:rPr>
                <w:color w:val="000000"/>
                <w:lang w:val="fr-FR"/>
              </w:rPr>
              <w:t xml:space="preserve">Consultations externes visant à recueillir les avis sur les perspectives, les nouvelles voies suivies et les formules possibles pour éclairer la rédaction du </w:t>
            </w:r>
            <w:r w:rsidR="00E916CB">
              <w:rPr>
                <w:color w:val="000000"/>
                <w:lang w:val="fr-FR"/>
              </w:rPr>
              <w:t>cadre</w:t>
            </w:r>
            <w:r w:rsidRPr="003D3F80">
              <w:rPr>
                <w:color w:val="000000"/>
                <w:lang w:val="fr-FR"/>
              </w:rPr>
              <w:t xml:space="preserve"> intégré pendant les quatre mois suivant la parution du présent document de cadrage.</w:t>
            </w:r>
          </w:p>
          <w:p w:rsidR="00362A53" w:rsidRPr="003D3F80" w:rsidRDefault="00362A53" w:rsidP="00342113">
            <w:pPr>
              <w:pStyle w:val="BodyText"/>
              <w:keepNext/>
              <w:keepLines/>
              <w:widowControl/>
              <w:numPr>
                <w:ilvl w:val="0"/>
                <w:numId w:val="3"/>
              </w:numPr>
              <w:spacing w:before="0" w:after="0" w:line="276" w:lineRule="auto"/>
              <w:jc w:val="left"/>
              <w:rPr>
                <w:color w:val="000000"/>
                <w:lang w:val="fr-FR"/>
              </w:rPr>
            </w:pPr>
            <w:r w:rsidRPr="003D3F80">
              <w:rPr>
                <w:color w:val="000000"/>
                <w:lang w:val="fr-FR"/>
              </w:rPr>
              <w:t>Réunions d</w:t>
            </w:r>
            <w:r w:rsidR="001051C0">
              <w:rPr>
                <w:color w:val="000000"/>
                <w:lang w:val="fr-FR"/>
              </w:rPr>
              <w:t>’</w:t>
            </w:r>
            <w:r w:rsidRPr="003D3F80">
              <w:rPr>
                <w:color w:val="000000"/>
                <w:lang w:val="fr-FR"/>
              </w:rPr>
              <w:t>experts sur les problématiques naissantes</w:t>
            </w:r>
          </w:p>
          <w:p w:rsidR="00362A53" w:rsidRPr="003D3F80" w:rsidRDefault="00362A53" w:rsidP="008F15D0">
            <w:pPr>
              <w:pStyle w:val="BodyText"/>
              <w:keepNext/>
              <w:keepLines/>
              <w:widowControl/>
              <w:numPr>
                <w:ilvl w:val="0"/>
                <w:numId w:val="3"/>
              </w:numPr>
              <w:spacing w:before="0" w:after="0" w:line="276" w:lineRule="auto"/>
              <w:jc w:val="left"/>
              <w:rPr>
                <w:color w:val="000000"/>
                <w:lang w:val="fr-FR"/>
              </w:rPr>
            </w:pPr>
            <w:r w:rsidRPr="003D3F80">
              <w:rPr>
                <w:color w:val="000000"/>
                <w:lang w:val="fr-FR"/>
              </w:rPr>
              <w:t>Préparation d</w:t>
            </w:r>
            <w:r w:rsidR="001051C0">
              <w:rPr>
                <w:color w:val="000000"/>
                <w:lang w:val="fr-FR"/>
              </w:rPr>
              <w:t>’</w:t>
            </w:r>
            <w:r w:rsidRPr="003D3F80">
              <w:rPr>
                <w:color w:val="000000"/>
                <w:lang w:val="fr-FR"/>
              </w:rPr>
              <w:t xml:space="preserve">un avant-projet de </w:t>
            </w:r>
            <w:r w:rsidR="00E916CB">
              <w:rPr>
                <w:color w:val="000000"/>
                <w:lang w:val="fr-FR"/>
              </w:rPr>
              <w:t>cadre</w:t>
            </w:r>
            <w:r w:rsidRPr="003D3F80">
              <w:rPr>
                <w:color w:val="000000"/>
                <w:lang w:val="fr-FR"/>
              </w:rPr>
              <w:t xml:space="preserve"> intégré comprenant les objectifs du processus d</w:t>
            </w:r>
            <w:r w:rsidR="008F15D0">
              <w:rPr>
                <w:color w:val="000000"/>
                <w:lang w:val="fr-FR"/>
              </w:rPr>
              <w:t>’</w:t>
            </w:r>
            <w:r w:rsidRPr="003D3F80">
              <w:rPr>
                <w:color w:val="000000"/>
                <w:lang w:val="fr-FR"/>
              </w:rPr>
              <w:t xml:space="preserve">examen </w:t>
            </w:r>
            <w:r w:rsidR="008F15D0">
              <w:rPr>
                <w:color w:val="000000"/>
                <w:lang w:val="fr-FR"/>
              </w:rPr>
              <w:t xml:space="preserve">et de mise à jour </w:t>
            </w:r>
            <w:r w:rsidRPr="003D3F80">
              <w:rPr>
                <w:color w:val="000000"/>
                <w:lang w:val="fr-FR"/>
              </w:rPr>
              <w:t>et tenant compte des réactions des parties prenantes.</w:t>
            </w:r>
          </w:p>
        </w:tc>
      </w:tr>
      <w:tr w:rsidR="00362A53" w:rsidRPr="00153F1B">
        <w:tc>
          <w:tcPr>
            <w:tcW w:w="1481" w:type="dxa"/>
            <w:shd w:val="clear" w:color="auto" w:fill="FFFFFF" w:themeFill="background1"/>
          </w:tcPr>
          <w:p w:rsidR="00362A53" w:rsidRPr="003D3F80" w:rsidRDefault="00094AE2" w:rsidP="00094AE2">
            <w:pPr>
              <w:pStyle w:val="BodyText"/>
              <w:widowControl/>
              <w:spacing w:before="0" w:after="0" w:line="276" w:lineRule="auto"/>
              <w:rPr>
                <w:b/>
                <w:i/>
                <w:color w:val="000000"/>
                <w:lang w:val="fr-FR"/>
              </w:rPr>
            </w:pPr>
            <w:r w:rsidRPr="003D3F80">
              <w:rPr>
                <w:b/>
                <w:i/>
                <w:color w:val="000000"/>
                <w:lang w:val="fr-FR"/>
              </w:rPr>
              <w:t>Mai</w:t>
            </w:r>
            <w:r w:rsidR="00362A53" w:rsidRPr="003D3F80">
              <w:rPr>
                <w:b/>
                <w:i/>
                <w:color w:val="000000"/>
                <w:lang w:val="fr-FR"/>
              </w:rPr>
              <w:t xml:space="preserve"> 2013 – nov</w:t>
            </w:r>
            <w:r w:rsidRPr="003D3F80">
              <w:rPr>
                <w:b/>
                <w:i/>
                <w:color w:val="000000"/>
                <w:lang w:val="fr-FR"/>
              </w:rPr>
              <w:t>.</w:t>
            </w:r>
            <w:r w:rsidR="00362A53" w:rsidRPr="003D3F80">
              <w:rPr>
                <w:b/>
                <w:i/>
                <w:color w:val="000000"/>
                <w:lang w:val="fr-FR"/>
              </w:rPr>
              <w:t xml:space="preserve"> 2013</w:t>
            </w:r>
          </w:p>
        </w:tc>
        <w:tc>
          <w:tcPr>
            <w:tcW w:w="2666" w:type="dxa"/>
            <w:shd w:val="clear" w:color="auto" w:fill="FFFFFF" w:themeFill="background1"/>
          </w:tcPr>
          <w:p w:rsidR="00362A53" w:rsidRPr="003D3F80" w:rsidRDefault="00362A53" w:rsidP="00342113">
            <w:pPr>
              <w:pStyle w:val="BodyText"/>
              <w:widowControl/>
              <w:spacing w:before="0" w:after="0" w:line="276" w:lineRule="auto"/>
              <w:jc w:val="left"/>
              <w:rPr>
                <w:b/>
                <w:color w:val="000000"/>
                <w:lang w:val="fr-FR"/>
              </w:rPr>
            </w:pPr>
            <w:r w:rsidRPr="003D3F80">
              <w:rPr>
                <w:b/>
                <w:i/>
                <w:color w:val="000000"/>
                <w:lang w:val="fr-FR"/>
              </w:rPr>
              <w:t xml:space="preserve">Phase 2 : Avant-projet de </w:t>
            </w:r>
            <w:r w:rsidR="00E916CB">
              <w:rPr>
                <w:b/>
                <w:i/>
                <w:color w:val="000000"/>
                <w:lang w:val="fr-FR"/>
              </w:rPr>
              <w:t>cadre</w:t>
            </w:r>
            <w:r w:rsidRPr="003D3F80">
              <w:rPr>
                <w:b/>
                <w:i/>
                <w:color w:val="000000"/>
                <w:lang w:val="fr-FR"/>
              </w:rPr>
              <w:t xml:space="preserve"> intégré </w:t>
            </w:r>
          </w:p>
        </w:tc>
        <w:tc>
          <w:tcPr>
            <w:tcW w:w="5494" w:type="dxa"/>
            <w:shd w:val="clear" w:color="auto" w:fill="FFFFFF" w:themeFill="background1"/>
          </w:tcPr>
          <w:p w:rsidR="00362A53" w:rsidRPr="003D3F80" w:rsidRDefault="00362A53" w:rsidP="00342113">
            <w:pPr>
              <w:pStyle w:val="BodyText"/>
              <w:widowControl/>
              <w:spacing w:before="0" w:after="0" w:line="276" w:lineRule="auto"/>
              <w:jc w:val="left"/>
              <w:rPr>
                <w:color w:val="000000"/>
                <w:lang w:val="fr-FR"/>
              </w:rPr>
            </w:pPr>
            <w:r w:rsidRPr="003D3F80">
              <w:rPr>
                <w:color w:val="000000"/>
                <w:lang w:val="fr-FR"/>
              </w:rPr>
              <w:t>La phase 2 comportera les étapes suivantes :</w:t>
            </w:r>
          </w:p>
          <w:p w:rsidR="00362A53" w:rsidRPr="003D3F80" w:rsidRDefault="00362A53" w:rsidP="00342113">
            <w:pPr>
              <w:pStyle w:val="BodyText"/>
              <w:widowControl/>
              <w:numPr>
                <w:ilvl w:val="0"/>
                <w:numId w:val="4"/>
              </w:numPr>
              <w:spacing w:before="0" w:after="0" w:line="276" w:lineRule="auto"/>
              <w:jc w:val="left"/>
              <w:rPr>
                <w:color w:val="000000"/>
                <w:lang w:val="fr-FR"/>
              </w:rPr>
            </w:pPr>
            <w:r w:rsidRPr="003D3F80">
              <w:rPr>
                <w:color w:val="000000"/>
                <w:lang w:val="fr-FR"/>
              </w:rPr>
              <w:t>Compte rendu au CODE du résultat des activités de la phase 1 et présentation de l</w:t>
            </w:r>
            <w:r w:rsidR="001051C0">
              <w:rPr>
                <w:color w:val="000000"/>
                <w:lang w:val="fr-FR"/>
              </w:rPr>
              <w:t>’</w:t>
            </w:r>
            <w:r w:rsidRPr="003D3F80">
              <w:rPr>
                <w:color w:val="000000"/>
                <w:lang w:val="fr-FR"/>
              </w:rPr>
              <w:t xml:space="preserve">avant-projet de </w:t>
            </w:r>
            <w:r w:rsidR="00E916CB">
              <w:rPr>
                <w:color w:val="000000"/>
                <w:lang w:val="fr-FR"/>
              </w:rPr>
              <w:t>cadre</w:t>
            </w:r>
            <w:r w:rsidRPr="003D3F80">
              <w:rPr>
                <w:color w:val="000000"/>
                <w:lang w:val="fr-FR"/>
              </w:rPr>
              <w:t xml:space="preserve"> intégré.</w:t>
            </w:r>
          </w:p>
          <w:p w:rsidR="00362A53" w:rsidRPr="003D3F80" w:rsidRDefault="00362A53" w:rsidP="00342113">
            <w:pPr>
              <w:pStyle w:val="BodyText"/>
              <w:widowControl/>
              <w:numPr>
                <w:ilvl w:val="0"/>
                <w:numId w:val="4"/>
              </w:numPr>
              <w:spacing w:before="0" w:after="0" w:line="276" w:lineRule="auto"/>
              <w:jc w:val="left"/>
              <w:rPr>
                <w:color w:val="000000"/>
                <w:lang w:val="fr-FR"/>
              </w:rPr>
            </w:pPr>
            <w:r w:rsidRPr="003D3F80">
              <w:rPr>
                <w:color w:val="000000"/>
                <w:lang w:val="fr-FR"/>
              </w:rPr>
              <w:t>Consultations externes pendant trois mois en vue de recueillir les réactions sur l</w:t>
            </w:r>
            <w:r w:rsidR="001051C0">
              <w:rPr>
                <w:color w:val="000000"/>
                <w:lang w:val="fr-FR"/>
              </w:rPr>
              <w:t>’</w:t>
            </w:r>
            <w:r w:rsidRPr="003D3F80">
              <w:rPr>
                <w:color w:val="000000"/>
                <w:lang w:val="fr-FR"/>
              </w:rPr>
              <w:t xml:space="preserve">avant-projet de </w:t>
            </w:r>
            <w:r w:rsidR="00E916CB">
              <w:rPr>
                <w:color w:val="000000"/>
                <w:lang w:val="fr-FR"/>
              </w:rPr>
              <w:t>cadre</w:t>
            </w:r>
            <w:r w:rsidRPr="003D3F80">
              <w:rPr>
                <w:color w:val="000000"/>
                <w:lang w:val="fr-FR"/>
              </w:rPr>
              <w:t xml:space="preserve"> intégré. </w:t>
            </w:r>
          </w:p>
          <w:p w:rsidR="00362A53" w:rsidRPr="003D3F80" w:rsidRDefault="00362A53" w:rsidP="00342113">
            <w:pPr>
              <w:pStyle w:val="BodyText"/>
              <w:widowControl/>
              <w:numPr>
                <w:ilvl w:val="0"/>
                <w:numId w:val="4"/>
              </w:numPr>
              <w:spacing w:before="0" w:after="0" w:line="276" w:lineRule="auto"/>
              <w:jc w:val="left"/>
              <w:rPr>
                <w:color w:val="000000"/>
                <w:lang w:val="fr-FR"/>
              </w:rPr>
            </w:pPr>
            <w:r w:rsidRPr="003D3F80">
              <w:rPr>
                <w:color w:val="000000"/>
                <w:lang w:val="fr-FR"/>
              </w:rPr>
              <w:t xml:space="preserve">Préparation du projet de </w:t>
            </w:r>
            <w:r w:rsidR="00E916CB">
              <w:rPr>
                <w:color w:val="000000"/>
                <w:lang w:val="fr-FR"/>
              </w:rPr>
              <w:t>cadre</w:t>
            </w:r>
            <w:r w:rsidRPr="003D3F80">
              <w:rPr>
                <w:color w:val="000000"/>
                <w:lang w:val="fr-FR"/>
              </w:rPr>
              <w:t xml:space="preserve"> intégré prenant en compte les avis des acteurs concernés.</w:t>
            </w:r>
          </w:p>
          <w:p w:rsidR="00362A53" w:rsidRPr="003D3F80" w:rsidRDefault="00362A53" w:rsidP="00342113">
            <w:pPr>
              <w:pStyle w:val="BodyText"/>
              <w:widowControl/>
              <w:spacing w:before="0" w:after="0" w:line="276" w:lineRule="auto"/>
              <w:jc w:val="left"/>
              <w:rPr>
                <w:color w:val="000000"/>
                <w:lang w:val="fr-FR"/>
              </w:rPr>
            </w:pPr>
          </w:p>
        </w:tc>
      </w:tr>
      <w:tr w:rsidR="00362A53" w:rsidRPr="00153F1B">
        <w:tc>
          <w:tcPr>
            <w:tcW w:w="1481" w:type="dxa"/>
            <w:shd w:val="clear" w:color="auto" w:fill="FFFFFF" w:themeFill="background1"/>
          </w:tcPr>
          <w:p w:rsidR="00362A53" w:rsidRPr="003D3F80" w:rsidRDefault="00362A53" w:rsidP="00342113">
            <w:pPr>
              <w:pStyle w:val="BodyText"/>
              <w:widowControl/>
              <w:spacing w:before="0" w:after="0" w:line="276" w:lineRule="auto"/>
              <w:rPr>
                <w:b/>
                <w:i/>
                <w:color w:val="000000"/>
                <w:lang w:val="fr-FR"/>
              </w:rPr>
            </w:pPr>
            <w:r w:rsidRPr="003D3F80">
              <w:rPr>
                <w:b/>
                <w:i/>
                <w:color w:val="000000"/>
                <w:lang w:val="fr-FR"/>
              </w:rPr>
              <w:t>Déc</w:t>
            </w:r>
            <w:r w:rsidR="00094AE2" w:rsidRPr="003D3F80">
              <w:rPr>
                <w:b/>
                <w:i/>
                <w:color w:val="000000"/>
                <w:lang w:val="fr-FR"/>
              </w:rPr>
              <w:t>.</w:t>
            </w:r>
            <w:r w:rsidRPr="003D3F80">
              <w:rPr>
                <w:b/>
                <w:i/>
                <w:color w:val="000000"/>
                <w:lang w:val="fr-FR"/>
              </w:rPr>
              <w:t xml:space="preserve"> 2013 – juin 2014</w:t>
            </w:r>
          </w:p>
          <w:p w:rsidR="00362A53" w:rsidRPr="003D3F80" w:rsidRDefault="00362A53" w:rsidP="00342113">
            <w:pPr>
              <w:pStyle w:val="BodyText"/>
              <w:widowControl/>
              <w:spacing w:before="0" w:after="0" w:line="276" w:lineRule="auto"/>
              <w:rPr>
                <w:b/>
                <w:i/>
                <w:color w:val="000000"/>
                <w:lang w:val="fr-FR"/>
              </w:rPr>
            </w:pPr>
          </w:p>
        </w:tc>
        <w:tc>
          <w:tcPr>
            <w:tcW w:w="2666" w:type="dxa"/>
            <w:shd w:val="clear" w:color="auto" w:fill="FFFFFF" w:themeFill="background1"/>
          </w:tcPr>
          <w:p w:rsidR="00362A53" w:rsidRPr="003D3F80" w:rsidRDefault="00362A53" w:rsidP="00342113">
            <w:pPr>
              <w:pStyle w:val="BodyText"/>
              <w:widowControl/>
              <w:spacing w:before="0" w:after="0" w:line="276" w:lineRule="auto"/>
              <w:jc w:val="left"/>
              <w:rPr>
                <w:b/>
                <w:i/>
                <w:color w:val="000000"/>
                <w:lang w:val="fr-FR"/>
              </w:rPr>
            </w:pPr>
            <w:r w:rsidRPr="003D3F80">
              <w:rPr>
                <w:b/>
                <w:i/>
                <w:color w:val="000000"/>
                <w:lang w:val="fr-FR"/>
              </w:rPr>
              <w:t xml:space="preserve">Phase 3 : </w:t>
            </w:r>
            <w:r w:rsidR="00E916CB">
              <w:rPr>
                <w:b/>
                <w:i/>
                <w:color w:val="000000"/>
                <w:lang w:val="fr-FR"/>
              </w:rPr>
              <w:t>Cadre</w:t>
            </w:r>
            <w:r w:rsidRPr="003D3F80">
              <w:rPr>
                <w:b/>
                <w:i/>
                <w:color w:val="000000"/>
                <w:lang w:val="fr-FR"/>
              </w:rPr>
              <w:t xml:space="preserve"> intégré final et recommandations pratiques</w:t>
            </w:r>
          </w:p>
        </w:tc>
        <w:tc>
          <w:tcPr>
            <w:tcW w:w="5494" w:type="dxa"/>
            <w:shd w:val="clear" w:color="auto" w:fill="FFFFFF" w:themeFill="background1"/>
          </w:tcPr>
          <w:p w:rsidR="00362A53" w:rsidRPr="003D3F80" w:rsidRDefault="00362A53" w:rsidP="00342113">
            <w:pPr>
              <w:pStyle w:val="BodyText"/>
              <w:widowControl/>
              <w:spacing w:before="0" w:after="0" w:line="276" w:lineRule="auto"/>
              <w:jc w:val="left"/>
              <w:rPr>
                <w:color w:val="000000"/>
                <w:lang w:val="fr-FR"/>
              </w:rPr>
            </w:pPr>
            <w:r w:rsidRPr="003D3F80">
              <w:rPr>
                <w:color w:val="000000"/>
                <w:lang w:val="fr-FR"/>
              </w:rPr>
              <w:t>La phase 3 comportera les activités suivantes :</w:t>
            </w:r>
          </w:p>
          <w:p w:rsidR="00362A53" w:rsidRPr="003D3F80" w:rsidRDefault="00362A53" w:rsidP="00342113">
            <w:pPr>
              <w:pStyle w:val="BodyText"/>
              <w:widowControl/>
              <w:numPr>
                <w:ilvl w:val="0"/>
                <w:numId w:val="5"/>
              </w:numPr>
              <w:spacing w:before="0" w:after="0" w:line="276" w:lineRule="auto"/>
              <w:jc w:val="left"/>
              <w:rPr>
                <w:color w:val="000000"/>
                <w:lang w:val="fr-FR"/>
              </w:rPr>
            </w:pPr>
            <w:r w:rsidRPr="003D3F80">
              <w:rPr>
                <w:color w:val="000000"/>
                <w:lang w:val="fr-FR"/>
              </w:rPr>
              <w:t>Compte rendu au CODE du résultat des activités de la phase 2 et présentation d</w:t>
            </w:r>
            <w:r w:rsidR="001051C0">
              <w:rPr>
                <w:color w:val="000000"/>
                <w:lang w:val="fr-FR"/>
              </w:rPr>
              <w:t>’</w:t>
            </w:r>
            <w:r w:rsidRPr="003D3F80">
              <w:rPr>
                <w:color w:val="000000"/>
                <w:lang w:val="fr-FR"/>
              </w:rPr>
              <w:t xml:space="preserve">une deuxième version du projet de </w:t>
            </w:r>
            <w:r w:rsidR="00E916CB">
              <w:rPr>
                <w:color w:val="000000"/>
                <w:lang w:val="fr-FR"/>
              </w:rPr>
              <w:t>cadre</w:t>
            </w:r>
            <w:r w:rsidRPr="003D3F80">
              <w:rPr>
                <w:color w:val="000000"/>
                <w:lang w:val="fr-FR"/>
              </w:rPr>
              <w:t xml:space="preserve"> intégré.</w:t>
            </w:r>
          </w:p>
          <w:p w:rsidR="00362A53" w:rsidRPr="003D3F80" w:rsidRDefault="00362A53" w:rsidP="00342113">
            <w:pPr>
              <w:pStyle w:val="BodyText"/>
              <w:widowControl/>
              <w:numPr>
                <w:ilvl w:val="0"/>
                <w:numId w:val="5"/>
              </w:numPr>
              <w:spacing w:before="0" w:after="0" w:line="276" w:lineRule="auto"/>
              <w:jc w:val="left"/>
              <w:rPr>
                <w:color w:val="000000"/>
                <w:lang w:val="fr-FR"/>
              </w:rPr>
            </w:pPr>
            <w:r w:rsidRPr="003D3F80">
              <w:rPr>
                <w:color w:val="000000"/>
                <w:lang w:val="fr-FR"/>
              </w:rPr>
              <w:t xml:space="preserve">Consultations externes pendant trois mois en vue de recueillir les réactions sur la deuxième version du projet de </w:t>
            </w:r>
            <w:r w:rsidR="00E916CB">
              <w:rPr>
                <w:color w:val="000000"/>
                <w:lang w:val="fr-FR"/>
              </w:rPr>
              <w:t>cadre</w:t>
            </w:r>
            <w:r w:rsidRPr="003D3F80">
              <w:rPr>
                <w:color w:val="000000"/>
                <w:lang w:val="fr-FR"/>
              </w:rPr>
              <w:t xml:space="preserve"> intégré.</w:t>
            </w:r>
          </w:p>
          <w:p w:rsidR="00362A53" w:rsidRPr="003D3F80" w:rsidRDefault="00362A53" w:rsidP="00342113">
            <w:pPr>
              <w:pStyle w:val="BodyText"/>
              <w:widowControl/>
              <w:numPr>
                <w:ilvl w:val="0"/>
                <w:numId w:val="5"/>
              </w:numPr>
              <w:spacing w:before="0" w:after="0" w:line="276" w:lineRule="auto"/>
              <w:jc w:val="left"/>
              <w:rPr>
                <w:color w:val="000000"/>
                <w:lang w:val="fr-FR"/>
              </w:rPr>
            </w:pPr>
            <w:r w:rsidRPr="003D3F80">
              <w:rPr>
                <w:color w:val="000000"/>
                <w:lang w:val="fr-FR"/>
              </w:rPr>
              <w:t xml:space="preserve">Préparation du projet de </w:t>
            </w:r>
            <w:r w:rsidR="00E916CB">
              <w:rPr>
                <w:color w:val="000000"/>
                <w:lang w:val="fr-FR"/>
              </w:rPr>
              <w:t>cadre</w:t>
            </w:r>
            <w:r w:rsidRPr="003D3F80">
              <w:rPr>
                <w:color w:val="000000"/>
                <w:lang w:val="fr-FR"/>
              </w:rPr>
              <w:t xml:space="preserve"> intégré final </w:t>
            </w:r>
            <w:r w:rsidRPr="003D3F80">
              <w:rPr>
                <w:color w:val="000000"/>
                <w:lang w:val="fr-FR"/>
              </w:rPr>
              <w:lastRenderedPageBreak/>
              <w:t>prenant en compte les avis des acteurs concernés.</w:t>
            </w:r>
          </w:p>
          <w:p w:rsidR="00362A53" w:rsidRPr="003D3F80" w:rsidRDefault="00362A53" w:rsidP="00342113">
            <w:pPr>
              <w:pStyle w:val="BodyText"/>
              <w:widowControl/>
              <w:numPr>
                <w:ilvl w:val="0"/>
                <w:numId w:val="5"/>
              </w:numPr>
              <w:spacing w:before="0" w:after="0" w:line="276" w:lineRule="auto"/>
              <w:jc w:val="left"/>
              <w:rPr>
                <w:rFonts w:cs="Times New Roman"/>
                <w:color w:val="000000"/>
                <w:szCs w:val="24"/>
                <w:lang w:val="fr-FR"/>
              </w:rPr>
            </w:pPr>
            <w:r w:rsidRPr="003D3F80">
              <w:rPr>
                <w:color w:val="000000"/>
                <w:lang w:val="fr-FR"/>
              </w:rPr>
              <w:t xml:space="preserve">Compte rendu au Conseil des Administrateurs du résultat des consultations sur la deuxième version du projet de </w:t>
            </w:r>
            <w:r w:rsidR="00E916CB">
              <w:rPr>
                <w:color w:val="000000"/>
                <w:lang w:val="fr-FR"/>
              </w:rPr>
              <w:t>cadre</w:t>
            </w:r>
            <w:r w:rsidRPr="003D3F80">
              <w:rPr>
                <w:color w:val="000000"/>
                <w:lang w:val="fr-FR"/>
              </w:rPr>
              <w:t xml:space="preserve"> intégré, et présentation des recommandations pratiques pour approbation.</w:t>
            </w:r>
          </w:p>
        </w:tc>
      </w:tr>
    </w:tbl>
    <w:p w:rsidR="00362A53" w:rsidRPr="003D3F80" w:rsidRDefault="00362A53" w:rsidP="00362A53">
      <w:pPr>
        <w:pStyle w:val="BodyText"/>
        <w:widowControl/>
        <w:spacing w:before="0" w:after="200" w:line="276" w:lineRule="auto"/>
        <w:rPr>
          <w:color w:val="000000"/>
          <w:lang w:val="fr-FR"/>
        </w:rPr>
      </w:pPr>
    </w:p>
    <w:p w:rsidR="00362A53" w:rsidRPr="003D3F80" w:rsidRDefault="00362A53" w:rsidP="00362A53">
      <w:pPr>
        <w:pStyle w:val="ippara2"/>
        <w:widowControl/>
        <w:spacing w:after="200" w:line="276" w:lineRule="auto"/>
        <w:ind w:left="0" w:firstLine="0"/>
        <w:jc w:val="both"/>
        <w:rPr>
          <w:color w:val="000000"/>
          <w:lang w:val="fr-FR"/>
        </w:rPr>
      </w:pPr>
      <w:r w:rsidRPr="003D3F80">
        <w:rPr>
          <w:b/>
          <w:i/>
          <w:color w:val="000000"/>
          <w:lang w:val="fr-FR"/>
        </w:rPr>
        <w:t xml:space="preserve">Trois phases, trois périodes de consultation. </w:t>
      </w:r>
      <w:r w:rsidRPr="003D3F80">
        <w:rPr>
          <w:color w:val="000000"/>
          <w:lang w:val="fr-FR"/>
        </w:rPr>
        <w:t>Chacune des trois phases du processus d</w:t>
      </w:r>
      <w:r w:rsidR="008F15D0">
        <w:rPr>
          <w:color w:val="000000"/>
          <w:lang w:val="fr-FR"/>
        </w:rPr>
        <w:t>’</w:t>
      </w:r>
      <w:r w:rsidRPr="003D3F80">
        <w:rPr>
          <w:color w:val="000000"/>
          <w:lang w:val="fr-FR"/>
        </w:rPr>
        <w:t xml:space="preserve">examen </w:t>
      </w:r>
      <w:r w:rsidR="008F15D0">
        <w:rPr>
          <w:color w:val="000000"/>
          <w:lang w:val="fr-FR"/>
        </w:rPr>
        <w:t xml:space="preserve">et de mise à jour </w:t>
      </w:r>
      <w:r w:rsidRPr="003D3F80">
        <w:rPr>
          <w:color w:val="000000"/>
          <w:lang w:val="fr-FR"/>
        </w:rPr>
        <w:t xml:space="preserve">comprendra une période de consultation. </w:t>
      </w:r>
      <w:r w:rsidR="00B831CA">
        <w:rPr>
          <w:color w:val="000000"/>
          <w:lang w:val="fr-FR"/>
        </w:rPr>
        <w:t>L</w:t>
      </w:r>
      <w:r w:rsidR="003001E7">
        <w:rPr>
          <w:color w:val="000000"/>
          <w:lang w:val="fr-FR"/>
        </w:rPr>
        <w:t>a consultation</w:t>
      </w:r>
      <w:r w:rsidR="00B831CA">
        <w:rPr>
          <w:color w:val="000000"/>
          <w:lang w:val="fr-FR"/>
        </w:rPr>
        <w:t xml:space="preserve"> au titre de la Phase 1 ser</w:t>
      </w:r>
      <w:r w:rsidR="003001E7">
        <w:rPr>
          <w:color w:val="000000"/>
          <w:lang w:val="fr-FR"/>
        </w:rPr>
        <w:t>a lancée</w:t>
      </w:r>
      <w:r w:rsidR="00B831CA">
        <w:rPr>
          <w:color w:val="000000"/>
          <w:lang w:val="fr-FR"/>
        </w:rPr>
        <w:t xml:space="preserve"> dès que le</w:t>
      </w:r>
      <w:r w:rsidR="00094AE2" w:rsidRPr="003D3F80">
        <w:rPr>
          <w:lang w:val="fr-FR"/>
        </w:rPr>
        <w:t xml:space="preserve"> CODE </w:t>
      </w:r>
      <w:r w:rsidR="00B831CA">
        <w:rPr>
          <w:lang w:val="fr-FR"/>
        </w:rPr>
        <w:t xml:space="preserve">aura approuvé le présent </w:t>
      </w:r>
      <w:r w:rsidR="004E085B">
        <w:rPr>
          <w:lang w:val="fr-FR"/>
        </w:rPr>
        <w:t>d</w:t>
      </w:r>
      <w:r w:rsidR="00B831CA">
        <w:rPr>
          <w:lang w:val="fr-FR"/>
        </w:rPr>
        <w:t>ocument de cadrage. L</w:t>
      </w:r>
      <w:r w:rsidR="003001E7">
        <w:rPr>
          <w:lang w:val="fr-FR"/>
        </w:rPr>
        <w:t xml:space="preserve">a </w:t>
      </w:r>
      <w:r w:rsidR="00B831CA">
        <w:rPr>
          <w:lang w:val="fr-FR"/>
        </w:rPr>
        <w:t>direction examinera les projets de documents</w:t>
      </w:r>
      <w:r w:rsidR="003001E7">
        <w:rPr>
          <w:lang w:val="fr-FR"/>
        </w:rPr>
        <w:t xml:space="preserve"> avec le CODE à une date ultérieure, </w:t>
      </w:r>
      <w:r w:rsidR="00B831CA">
        <w:rPr>
          <w:lang w:val="fr-FR"/>
        </w:rPr>
        <w:t xml:space="preserve">avant que ne démarrent les </w:t>
      </w:r>
      <w:r w:rsidR="00094AE2" w:rsidRPr="003D3F80">
        <w:rPr>
          <w:lang w:val="fr-FR"/>
        </w:rPr>
        <w:t xml:space="preserve">consultations </w:t>
      </w:r>
      <w:r w:rsidR="00B831CA">
        <w:rPr>
          <w:lang w:val="fr-FR"/>
        </w:rPr>
        <w:t xml:space="preserve">au titre des </w:t>
      </w:r>
      <w:r w:rsidR="00094AE2" w:rsidRPr="003D3F80">
        <w:rPr>
          <w:lang w:val="fr-FR"/>
        </w:rPr>
        <w:t xml:space="preserve">Phases 2 </w:t>
      </w:r>
      <w:r w:rsidR="00B831CA">
        <w:rPr>
          <w:lang w:val="fr-FR"/>
        </w:rPr>
        <w:t>et</w:t>
      </w:r>
      <w:r w:rsidR="00094AE2" w:rsidRPr="003D3F80">
        <w:rPr>
          <w:lang w:val="fr-FR"/>
        </w:rPr>
        <w:t xml:space="preserve"> 3 </w:t>
      </w:r>
      <w:r w:rsidR="003001E7">
        <w:rPr>
          <w:lang w:val="fr-FR"/>
        </w:rPr>
        <w:t xml:space="preserve">et avant de rendre les projets de </w:t>
      </w:r>
      <w:r w:rsidR="00094AE2" w:rsidRPr="003D3F80">
        <w:rPr>
          <w:lang w:val="fr-FR"/>
        </w:rPr>
        <w:t>documents</w:t>
      </w:r>
      <w:r w:rsidR="003001E7">
        <w:rPr>
          <w:lang w:val="fr-FR"/>
        </w:rPr>
        <w:t xml:space="preserve"> publics</w:t>
      </w:r>
      <w:r w:rsidR="00094AE2" w:rsidRPr="003D3F80">
        <w:rPr>
          <w:lang w:val="fr-FR"/>
        </w:rPr>
        <w:t>.</w:t>
      </w:r>
    </w:p>
    <w:p w:rsidR="00362A53" w:rsidRPr="003D3F80" w:rsidRDefault="00362A53" w:rsidP="00362A53">
      <w:pPr>
        <w:pStyle w:val="BodyText"/>
        <w:widowControl/>
        <w:numPr>
          <w:ilvl w:val="0"/>
          <w:numId w:val="9"/>
        </w:numPr>
        <w:spacing w:before="0" w:after="200" w:line="276" w:lineRule="auto"/>
        <w:ind w:left="720"/>
        <w:rPr>
          <w:color w:val="000000"/>
          <w:lang w:val="fr-FR"/>
        </w:rPr>
      </w:pPr>
      <w:r w:rsidRPr="003D3F80">
        <w:rPr>
          <w:i/>
          <w:color w:val="000000"/>
          <w:lang w:val="fr-FR"/>
        </w:rPr>
        <w:t>Phase</w:t>
      </w:r>
      <w:r w:rsidR="00094AE2" w:rsidRPr="003D3F80">
        <w:rPr>
          <w:i/>
          <w:color w:val="000000"/>
          <w:lang w:val="fr-FR"/>
        </w:rPr>
        <w:t> 1</w:t>
      </w:r>
      <w:r w:rsidRPr="003D3F80">
        <w:rPr>
          <w:i/>
          <w:color w:val="000000"/>
          <w:lang w:val="fr-FR"/>
        </w:rPr>
        <w:t>.</w:t>
      </w:r>
      <w:r w:rsidRPr="003D3F80">
        <w:rPr>
          <w:b/>
          <w:color w:val="000000"/>
          <w:lang w:val="fr-FR"/>
        </w:rPr>
        <w:t xml:space="preserve"> </w:t>
      </w:r>
      <w:r w:rsidRPr="003D3F80">
        <w:rPr>
          <w:color w:val="000000"/>
          <w:lang w:val="fr-FR"/>
        </w:rPr>
        <w:t xml:space="preserve">Le document de cadrage et les premières questions relatives au processus de consultation </w:t>
      </w:r>
      <w:r w:rsidR="00094AE2" w:rsidRPr="003D3F80">
        <w:rPr>
          <w:color w:val="000000"/>
          <w:lang w:val="fr-FR"/>
        </w:rPr>
        <w:t>(voir l</w:t>
      </w:r>
      <w:r w:rsidR="001051C0">
        <w:rPr>
          <w:color w:val="000000"/>
          <w:lang w:val="fr-FR"/>
        </w:rPr>
        <w:t>’</w:t>
      </w:r>
      <w:r w:rsidR="00094AE2" w:rsidRPr="003D3F80">
        <w:rPr>
          <w:color w:val="000000"/>
          <w:lang w:val="fr-FR"/>
        </w:rPr>
        <w:t xml:space="preserve">Annexe A) </w:t>
      </w:r>
      <w:r w:rsidRPr="003D3F80">
        <w:rPr>
          <w:color w:val="000000"/>
          <w:lang w:val="fr-FR"/>
        </w:rPr>
        <w:t>seront placés pour avis sur le site web créé à cet effet. La Banque entamera des discussions avec ses actionnaires et acteurs internes en vue de rechercher un consensus sur l</w:t>
      </w:r>
      <w:r w:rsidR="001051C0">
        <w:rPr>
          <w:color w:val="000000"/>
          <w:lang w:val="fr-FR"/>
        </w:rPr>
        <w:t>’</w:t>
      </w:r>
      <w:r w:rsidRPr="003D3F80">
        <w:rPr>
          <w:color w:val="000000"/>
          <w:lang w:val="fr-FR"/>
        </w:rPr>
        <w:t>approche à adopter pour le processus d</w:t>
      </w:r>
      <w:r w:rsidR="008F15D0">
        <w:rPr>
          <w:color w:val="000000"/>
          <w:lang w:val="fr-FR"/>
        </w:rPr>
        <w:t>’</w:t>
      </w:r>
      <w:r w:rsidRPr="003D3F80">
        <w:rPr>
          <w:color w:val="000000"/>
          <w:lang w:val="fr-FR"/>
        </w:rPr>
        <w:t>examen</w:t>
      </w:r>
      <w:r w:rsidR="008F15D0">
        <w:rPr>
          <w:color w:val="000000"/>
          <w:lang w:val="fr-FR"/>
        </w:rPr>
        <w:t xml:space="preserve"> et de mise à jour</w:t>
      </w:r>
      <w:r w:rsidRPr="003D3F80">
        <w:rPr>
          <w:color w:val="000000"/>
          <w:lang w:val="fr-FR"/>
        </w:rPr>
        <w:t>. À la suite de ces consultations internes, la Banque organisera une série de rencontres avec un échantillon d</w:t>
      </w:r>
      <w:r w:rsidR="001051C0">
        <w:rPr>
          <w:color w:val="000000"/>
          <w:lang w:val="fr-FR"/>
        </w:rPr>
        <w:t>’</w:t>
      </w:r>
      <w:r w:rsidRPr="003D3F80">
        <w:rPr>
          <w:color w:val="000000"/>
          <w:lang w:val="fr-FR"/>
        </w:rPr>
        <w:t>experts sur les problématiques naissantes afin d</w:t>
      </w:r>
      <w:r w:rsidR="001051C0">
        <w:rPr>
          <w:color w:val="000000"/>
          <w:lang w:val="fr-FR"/>
        </w:rPr>
        <w:t>’</w:t>
      </w:r>
      <w:r w:rsidRPr="003D3F80">
        <w:rPr>
          <w:color w:val="000000"/>
          <w:lang w:val="fr-FR"/>
        </w:rPr>
        <w:t>affiner l</w:t>
      </w:r>
      <w:r w:rsidR="001051C0">
        <w:rPr>
          <w:color w:val="000000"/>
          <w:lang w:val="fr-FR"/>
        </w:rPr>
        <w:t>’</w:t>
      </w:r>
      <w:r w:rsidRPr="003D3F80">
        <w:rPr>
          <w:color w:val="000000"/>
          <w:lang w:val="fr-FR"/>
        </w:rPr>
        <w:t>analyse et définir le canevas de l</w:t>
      </w:r>
      <w:r w:rsidR="001051C0">
        <w:rPr>
          <w:color w:val="000000"/>
          <w:lang w:val="fr-FR"/>
        </w:rPr>
        <w:t>’</w:t>
      </w:r>
      <w:r w:rsidRPr="003D3F80">
        <w:rPr>
          <w:color w:val="000000"/>
          <w:lang w:val="fr-FR"/>
        </w:rPr>
        <w:t xml:space="preserve">avant-projet de </w:t>
      </w:r>
      <w:r w:rsidR="00E916CB">
        <w:rPr>
          <w:color w:val="000000"/>
          <w:lang w:val="fr-FR"/>
        </w:rPr>
        <w:t>cadre</w:t>
      </w:r>
      <w:r w:rsidRPr="003D3F80">
        <w:rPr>
          <w:color w:val="000000"/>
          <w:lang w:val="fr-FR"/>
        </w:rPr>
        <w:t xml:space="preserve"> intégré. Des rencontres directes et ciblées avec différentes catégories d</w:t>
      </w:r>
      <w:r w:rsidR="001051C0">
        <w:rPr>
          <w:color w:val="000000"/>
          <w:lang w:val="fr-FR"/>
        </w:rPr>
        <w:t>’</w:t>
      </w:r>
      <w:r w:rsidRPr="003D3F80">
        <w:rPr>
          <w:color w:val="000000"/>
          <w:lang w:val="fr-FR"/>
        </w:rPr>
        <w:t xml:space="preserve">acteurs, dont certaines communautés affectées par les projets, seront organisées. </w:t>
      </w:r>
    </w:p>
    <w:p w:rsidR="00362A53" w:rsidRPr="003D3F80" w:rsidRDefault="00094AE2" w:rsidP="00362A53">
      <w:pPr>
        <w:pStyle w:val="BodyText"/>
        <w:widowControl/>
        <w:numPr>
          <w:ilvl w:val="0"/>
          <w:numId w:val="9"/>
        </w:numPr>
        <w:spacing w:before="0" w:after="200" w:line="276" w:lineRule="auto"/>
        <w:ind w:left="720"/>
        <w:rPr>
          <w:color w:val="000000"/>
          <w:lang w:val="fr-FR"/>
        </w:rPr>
      </w:pPr>
      <w:r w:rsidRPr="003D3F80">
        <w:rPr>
          <w:i/>
          <w:color w:val="000000"/>
          <w:lang w:val="fr-FR"/>
        </w:rPr>
        <w:t>P</w:t>
      </w:r>
      <w:r w:rsidR="00362A53" w:rsidRPr="003D3F80">
        <w:rPr>
          <w:i/>
          <w:color w:val="000000"/>
          <w:lang w:val="fr-FR"/>
        </w:rPr>
        <w:t>hase</w:t>
      </w:r>
      <w:r w:rsidRPr="003D3F80">
        <w:rPr>
          <w:i/>
          <w:color w:val="000000"/>
          <w:lang w:val="fr-FR"/>
        </w:rPr>
        <w:t> 2</w:t>
      </w:r>
      <w:r w:rsidR="00362A53" w:rsidRPr="003D3F80">
        <w:rPr>
          <w:i/>
          <w:color w:val="000000"/>
          <w:lang w:val="fr-FR"/>
        </w:rPr>
        <w:t>.</w:t>
      </w:r>
      <w:r w:rsidR="00362A53" w:rsidRPr="003D3F80">
        <w:rPr>
          <w:b/>
          <w:color w:val="000000"/>
          <w:lang w:val="fr-FR"/>
        </w:rPr>
        <w:t xml:space="preserve"> </w:t>
      </w:r>
      <w:r w:rsidR="00362A53" w:rsidRPr="003D3F80">
        <w:rPr>
          <w:color w:val="000000"/>
          <w:lang w:val="fr-FR"/>
        </w:rPr>
        <w:t>Au cours de cette phase, les consultations auront pour objectif de recueillir des réactions sur l</w:t>
      </w:r>
      <w:r w:rsidR="001051C0">
        <w:rPr>
          <w:color w:val="000000"/>
          <w:lang w:val="fr-FR"/>
        </w:rPr>
        <w:t>’</w:t>
      </w:r>
      <w:r w:rsidR="00362A53" w:rsidRPr="003D3F80">
        <w:rPr>
          <w:color w:val="000000"/>
          <w:lang w:val="fr-FR"/>
        </w:rPr>
        <w:t xml:space="preserve">avant-projet de </w:t>
      </w:r>
      <w:r w:rsidR="00E916CB">
        <w:rPr>
          <w:color w:val="000000"/>
          <w:lang w:val="fr-FR"/>
        </w:rPr>
        <w:t>cadre</w:t>
      </w:r>
      <w:r w:rsidR="00362A53" w:rsidRPr="003D3F80">
        <w:rPr>
          <w:color w:val="000000"/>
          <w:lang w:val="fr-FR"/>
        </w:rPr>
        <w:t xml:space="preserve"> intégré. La Banque organisera des rencontres directes et connectera plusieurs sites par vidéoconférence pour permettre de toucher le maximum de pays possible. Les groupes composés des membres des communautés affectées par les projets continueront de se réunir et les acteurs intéressés auront également la possibilité de s</w:t>
      </w:r>
      <w:r w:rsidR="001051C0">
        <w:rPr>
          <w:color w:val="000000"/>
          <w:lang w:val="fr-FR"/>
        </w:rPr>
        <w:t>’</w:t>
      </w:r>
      <w:r w:rsidR="00362A53" w:rsidRPr="003D3F80">
        <w:rPr>
          <w:color w:val="000000"/>
          <w:lang w:val="fr-FR"/>
        </w:rPr>
        <w:t xml:space="preserve">exprimer en ligne par le biais du site web. Par ailleurs, des conférences thématiques en ligne seront organisées pour recueillir les réactions sur des sujets précis. </w:t>
      </w:r>
    </w:p>
    <w:p w:rsidR="00362A53" w:rsidRPr="003D3F80" w:rsidRDefault="00094AE2" w:rsidP="00362A53">
      <w:pPr>
        <w:pStyle w:val="BodyText"/>
        <w:widowControl/>
        <w:numPr>
          <w:ilvl w:val="0"/>
          <w:numId w:val="9"/>
        </w:numPr>
        <w:spacing w:before="0" w:after="200" w:line="276" w:lineRule="auto"/>
        <w:ind w:left="720"/>
        <w:rPr>
          <w:color w:val="000000"/>
          <w:lang w:val="fr-FR"/>
        </w:rPr>
      </w:pPr>
      <w:r w:rsidRPr="003D3F80">
        <w:rPr>
          <w:i/>
          <w:color w:val="000000"/>
          <w:lang w:val="fr-FR"/>
        </w:rPr>
        <w:t>Phase 3</w:t>
      </w:r>
      <w:r w:rsidR="00362A53" w:rsidRPr="003D3F80">
        <w:rPr>
          <w:i/>
          <w:color w:val="000000"/>
          <w:lang w:val="fr-FR"/>
        </w:rPr>
        <w:t>.</w:t>
      </w:r>
      <w:r w:rsidR="00362A53" w:rsidRPr="003D3F80">
        <w:rPr>
          <w:b/>
          <w:color w:val="000000"/>
          <w:lang w:val="fr-FR"/>
        </w:rPr>
        <w:t xml:space="preserve"> </w:t>
      </w:r>
      <w:r w:rsidR="00362A53" w:rsidRPr="003D3F80">
        <w:rPr>
          <w:color w:val="000000"/>
          <w:lang w:val="fr-FR"/>
        </w:rPr>
        <w:t>Durant la troisième et dernière phase, les consultations se feront essentiellement en ligne, d</w:t>
      </w:r>
      <w:r w:rsidR="001051C0">
        <w:rPr>
          <w:color w:val="000000"/>
          <w:lang w:val="fr-FR"/>
        </w:rPr>
        <w:t>’</w:t>
      </w:r>
      <w:r w:rsidR="00362A53" w:rsidRPr="003D3F80">
        <w:rPr>
          <w:color w:val="000000"/>
          <w:lang w:val="fr-FR"/>
        </w:rPr>
        <w:t>autres réunions directes et ciblées continuant à être organisées en cas de besoin.</w:t>
      </w:r>
    </w:p>
    <w:p w:rsidR="00362A53" w:rsidRPr="003D3F80" w:rsidRDefault="00362A53" w:rsidP="00362A53">
      <w:pPr>
        <w:pStyle w:val="ippara2"/>
        <w:widowControl/>
        <w:spacing w:after="200" w:line="276" w:lineRule="auto"/>
        <w:ind w:left="0" w:firstLine="0"/>
        <w:jc w:val="both"/>
        <w:rPr>
          <w:color w:val="000000"/>
          <w:lang w:val="fr-FR"/>
        </w:rPr>
      </w:pPr>
      <w:r w:rsidRPr="003D3F80">
        <w:rPr>
          <w:b/>
          <w:i/>
          <w:color w:val="000000"/>
          <w:lang w:val="fr-FR"/>
        </w:rPr>
        <w:t>Site web.</w:t>
      </w:r>
      <w:r w:rsidRPr="003D3F80">
        <w:rPr>
          <w:b/>
          <w:color w:val="000000"/>
          <w:lang w:val="fr-FR"/>
        </w:rPr>
        <w:t xml:space="preserve"> </w:t>
      </w:r>
      <w:r w:rsidRPr="003D3F80">
        <w:rPr>
          <w:color w:val="000000"/>
          <w:lang w:val="fr-FR"/>
        </w:rPr>
        <w:t xml:space="preserve">Un site web sera lancé afin de fournir une plateforme de consultation permettant de diffuser des informations sur le processus, présenter des documents relatifs au </w:t>
      </w:r>
      <w:r w:rsidRPr="003D3F80">
        <w:rPr>
          <w:color w:val="000000"/>
          <w:lang w:val="fr-FR"/>
        </w:rPr>
        <w:lastRenderedPageBreak/>
        <w:t>processus, organiser des discussions en ligne et télécharger des documents de référence ou d</w:t>
      </w:r>
      <w:r w:rsidR="001051C0">
        <w:rPr>
          <w:color w:val="000000"/>
          <w:lang w:val="fr-FR"/>
        </w:rPr>
        <w:t>’</w:t>
      </w:r>
      <w:r w:rsidRPr="003D3F80">
        <w:rPr>
          <w:color w:val="000000"/>
          <w:lang w:val="fr-FR"/>
        </w:rPr>
        <w:t>information pour nourrir les apports des différents acteurs. Ce site comportera un mécanisme de consultation écrite (par un questionnaire en ligne, qui pourra également être imprimé, rempli et retourné par télécopie ou courrier électronique). Une synthèse des remarques ainsi reçues sera régulièrement faite et placée sur le site web tout au long des trois phases du processus de consultation.</w:t>
      </w:r>
    </w:p>
    <w:p w:rsidR="00362A53" w:rsidRPr="003D3F80" w:rsidRDefault="00362A53" w:rsidP="00362A53">
      <w:pPr>
        <w:pStyle w:val="ippara2"/>
        <w:widowControl/>
        <w:spacing w:before="120" w:after="200" w:line="276" w:lineRule="auto"/>
        <w:ind w:left="0" w:firstLine="0"/>
        <w:jc w:val="both"/>
        <w:rPr>
          <w:color w:val="000000"/>
          <w:lang w:val="fr-FR"/>
        </w:rPr>
      </w:pPr>
      <w:r w:rsidRPr="003D3F80">
        <w:rPr>
          <w:b/>
          <w:i/>
          <w:color w:val="000000"/>
          <w:lang w:val="fr-FR"/>
        </w:rPr>
        <w:t>Langues.</w:t>
      </w:r>
      <w:r w:rsidRPr="003D3F80">
        <w:rPr>
          <w:color w:val="000000"/>
          <w:lang w:val="fr-FR"/>
        </w:rPr>
        <w:t xml:space="preserve"> Les documents clés du processus de consultation (document de cadrage, plan de consultation et de communication, avant-projet et deuxième version du projet de </w:t>
      </w:r>
      <w:r w:rsidR="00E916CB">
        <w:rPr>
          <w:color w:val="000000"/>
          <w:lang w:val="fr-FR"/>
        </w:rPr>
        <w:t>cadre</w:t>
      </w:r>
      <w:r w:rsidRPr="003D3F80">
        <w:rPr>
          <w:color w:val="000000"/>
          <w:lang w:val="fr-FR"/>
        </w:rPr>
        <w:t xml:space="preserve"> intégré) seront établis en anglais, arabe, chinois, espagnol, français, portugais et russe. </w:t>
      </w:r>
    </w:p>
    <w:p w:rsidR="00362A53" w:rsidRPr="003D3F80" w:rsidRDefault="00362A53" w:rsidP="00362A53">
      <w:pPr>
        <w:pStyle w:val="Heading3"/>
        <w:keepNext/>
        <w:widowControl/>
        <w:numPr>
          <w:ilvl w:val="0"/>
          <w:numId w:val="38"/>
        </w:numPr>
        <w:spacing w:before="0" w:after="200" w:line="276" w:lineRule="auto"/>
        <w:rPr>
          <w:szCs w:val="24"/>
          <w:lang w:val="fr-FR"/>
        </w:rPr>
      </w:pPr>
      <w:bookmarkStart w:id="9" w:name="_Toc338065572"/>
      <w:r w:rsidRPr="003D3F80">
        <w:rPr>
          <w:szCs w:val="24"/>
          <w:lang w:val="fr-FR"/>
        </w:rPr>
        <w:t>Personnel et direction</w:t>
      </w:r>
      <w:bookmarkEnd w:id="9"/>
    </w:p>
    <w:p w:rsidR="00362A53" w:rsidRPr="003D3F80" w:rsidRDefault="00362A53" w:rsidP="00362A53">
      <w:pPr>
        <w:pStyle w:val="ippara2"/>
        <w:widowControl/>
        <w:spacing w:after="200" w:line="276" w:lineRule="auto"/>
        <w:ind w:left="0" w:firstLine="0"/>
        <w:jc w:val="both"/>
        <w:rPr>
          <w:lang w:val="fr-FR"/>
        </w:rPr>
      </w:pPr>
      <w:r w:rsidRPr="003D3F80">
        <w:rPr>
          <w:b/>
          <w:i/>
          <w:lang w:val="fr-FR"/>
        </w:rPr>
        <w:t>Conduite du processus et personnel responsable.</w:t>
      </w:r>
      <w:r w:rsidRPr="003D3F80">
        <w:rPr>
          <w:lang w:val="fr-FR"/>
        </w:rPr>
        <w:t xml:space="preserve"> Le processus d</w:t>
      </w:r>
      <w:r w:rsidR="008F15D0">
        <w:rPr>
          <w:lang w:val="fr-FR"/>
        </w:rPr>
        <w:t>’</w:t>
      </w:r>
      <w:r w:rsidRPr="003D3F80">
        <w:rPr>
          <w:lang w:val="fr-FR"/>
        </w:rPr>
        <w:t xml:space="preserve">examen </w:t>
      </w:r>
      <w:r w:rsidR="008F15D0">
        <w:rPr>
          <w:lang w:val="fr-FR"/>
        </w:rPr>
        <w:t xml:space="preserve">et de mise à jour </w:t>
      </w:r>
      <w:r w:rsidRPr="003D3F80">
        <w:rPr>
          <w:lang w:val="fr-FR"/>
        </w:rPr>
        <w:t>des politiques de sauvegarde sera conduit par une équipe composée de membres issus de divers départements (OPCS, SDN, LEG) avec la participation de EXT et des Régions. Le département de gestion des risques liés aux opérations (OPSOR) assurera la coordination de l</w:t>
      </w:r>
      <w:r w:rsidR="001051C0">
        <w:rPr>
          <w:lang w:val="fr-FR"/>
        </w:rPr>
        <w:t>’</w:t>
      </w:r>
      <w:r w:rsidRPr="003D3F80">
        <w:rPr>
          <w:lang w:val="fr-FR"/>
        </w:rPr>
        <w:t>équipe. Cette équipe polyvalente puisera dans les connaissances et l</w:t>
      </w:r>
      <w:r w:rsidR="001051C0">
        <w:rPr>
          <w:lang w:val="fr-FR"/>
        </w:rPr>
        <w:t>’</w:t>
      </w:r>
      <w:r w:rsidRPr="003D3F80">
        <w:rPr>
          <w:lang w:val="fr-FR"/>
        </w:rPr>
        <w:t>acquis d</w:t>
      </w:r>
      <w:r w:rsidR="001051C0">
        <w:rPr>
          <w:lang w:val="fr-FR"/>
        </w:rPr>
        <w:t>’</w:t>
      </w:r>
      <w:r w:rsidRPr="003D3F80">
        <w:rPr>
          <w:lang w:val="fr-FR"/>
        </w:rPr>
        <w:t>autres réseaux, si besoin est. Elle travaillera également en étroite collaboration avec l</w:t>
      </w:r>
      <w:r w:rsidR="001051C0">
        <w:rPr>
          <w:lang w:val="fr-FR"/>
        </w:rPr>
        <w:t>’</w:t>
      </w:r>
      <w:r w:rsidRPr="003D3F80">
        <w:rPr>
          <w:lang w:val="fr-FR"/>
        </w:rPr>
        <w:t>IFC et la MIGA, et sollicitera le concours de l</w:t>
      </w:r>
      <w:r w:rsidR="001051C0">
        <w:rPr>
          <w:lang w:val="fr-FR"/>
        </w:rPr>
        <w:t>’</w:t>
      </w:r>
      <w:r w:rsidRPr="003D3F80">
        <w:rPr>
          <w:lang w:val="fr-FR"/>
        </w:rPr>
        <w:t>IEG, parmi les autres acteurs internes. Tout au long du processus, la direction travaillera avec le Conseil des Administrateurs par le biais du CODE et fera régulièrement le point afin que le processus puisse bénéficier des avis du Conseil.</w:t>
      </w:r>
    </w:p>
    <w:p w:rsidR="00362A53" w:rsidRPr="003D3F80" w:rsidRDefault="00362A53" w:rsidP="00362A53">
      <w:pPr>
        <w:pStyle w:val="Heading3"/>
        <w:keepNext/>
        <w:widowControl/>
        <w:numPr>
          <w:ilvl w:val="0"/>
          <w:numId w:val="38"/>
        </w:numPr>
        <w:spacing w:before="0" w:after="200" w:line="276" w:lineRule="auto"/>
        <w:rPr>
          <w:szCs w:val="24"/>
          <w:lang w:val="fr-FR"/>
        </w:rPr>
      </w:pPr>
      <w:bookmarkStart w:id="10" w:name="_Toc338065573"/>
      <w:r w:rsidRPr="003D3F80">
        <w:rPr>
          <w:szCs w:val="24"/>
          <w:lang w:val="fr-FR"/>
        </w:rPr>
        <w:t>Prochaine étape</w:t>
      </w:r>
      <w:bookmarkEnd w:id="10"/>
      <w:r w:rsidRPr="003D3F80">
        <w:rPr>
          <w:szCs w:val="24"/>
          <w:lang w:val="fr-FR"/>
        </w:rPr>
        <w:t xml:space="preserve"> </w:t>
      </w:r>
    </w:p>
    <w:p w:rsidR="00362A53" w:rsidRPr="003D3F80" w:rsidRDefault="00362A53" w:rsidP="00362A53">
      <w:pPr>
        <w:pStyle w:val="ippara2"/>
        <w:widowControl/>
        <w:spacing w:after="200" w:line="276" w:lineRule="auto"/>
        <w:ind w:left="0" w:firstLine="0"/>
        <w:jc w:val="both"/>
        <w:rPr>
          <w:lang w:val="fr-FR"/>
        </w:rPr>
      </w:pPr>
      <w:r w:rsidRPr="003D3F80">
        <w:rPr>
          <w:b/>
          <w:i/>
          <w:lang w:val="fr-FR"/>
        </w:rPr>
        <w:t>Lancement de la phase 1 des activités de consultation.</w:t>
      </w:r>
      <w:r w:rsidRPr="003D3F80">
        <w:rPr>
          <w:lang w:val="fr-FR"/>
        </w:rPr>
        <w:t xml:space="preserve"> À la suite des échanges de vues avec le CODE, la direction lancera la première phase des activités de consultation. Après avoir été examiné par le CODE, ce document sera traduit et diffusé pour avis pendant quatre mois. Il sera placé sur le site de la Banque (</w:t>
      </w:r>
      <w:hyperlink r:id="rId15" w:history="1">
        <w:r w:rsidR="005A6FA6">
          <w:rPr>
            <w:rStyle w:val="Hyperlink"/>
            <w:lang w:val="fr-FR"/>
          </w:rPr>
          <w:t>www.worldbank.org/safeguardsconsultations</w:t>
        </w:r>
      </w:hyperlink>
      <w:r w:rsidRPr="003D3F80">
        <w:rPr>
          <w:lang w:val="fr-FR"/>
        </w:rPr>
        <w:t>). Le site sera opérationnel immédiatement après l</w:t>
      </w:r>
      <w:r w:rsidR="001051C0">
        <w:rPr>
          <w:lang w:val="fr-FR"/>
        </w:rPr>
        <w:t>’</w:t>
      </w:r>
      <w:r w:rsidRPr="003D3F80">
        <w:rPr>
          <w:lang w:val="fr-FR"/>
        </w:rPr>
        <w:t>examen du CODE. Le plan de communication et de consultation sera aussi consultable en ligne</w:t>
      </w:r>
      <w:r w:rsidR="00094AE2" w:rsidRPr="003D3F80">
        <w:rPr>
          <w:lang w:val="fr-FR"/>
        </w:rPr>
        <w:t xml:space="preserve"> (voir l</w:t>
      </w:r>
      <w:r w:rsidR="001051C0">
        <w:rPr>
          <w:lang w:val="fr-FR"/>
        </w:rPr>
        <w:t>’</w:t>
      </w:r>
      <w:r w:rsidR="00094AE2" w:rsidRPr="003D3F80">
        <w:rPr>
          <w:lang w:val="fr-FR"/>
        </w:rPr>
        <w:t>Annexe A)</w:t>
      </w:r>
      <w:r w:rsidRPr="003D3F80">
        <w:rPr>
          <w:lang w:val="fr-FR"/>
        </w:rPr>
        <w:t>. Les partenaires externes souhaitant poser des questions ou donner leur avis sur ce document ou sur tout autre aspect relatif au processus d</w:t>
      </w:r>
      <w:r w:rsidR="001051C0">
        <w:rPr>
          <w:lang w:val="fr-FR"/>
        </w:rPr>
        <w:t>’</w:t>
      </w:r>
      <w:r w:rsidRPr="003D3F80">
        <w:rPr>
          <w:lang w:val="fr-FR"/>
        </w:rPr>
        <w:t>examen pourront le faire à l</w:t>
      </w:r>
      <w:r w:rsidR="001051C0">
        <w:rPr>
          <w:lang w:val="fr-FR"/>
        </w:rPr>
        <w:t>’</w:t>
      </w:r>
      <w:r w:rsidRPr="003D3F80">
        <w:rPr>
          <w:lang w:val="fr-FR"/>
        </w:rPr>
        <w:t>adresse électronique créée à cet effet (</w:t>
      </w:r>
      <w:hyperlink r:id="rId16" w:history="1">
        <w:r w:rsidRPr="003D3F80">
          <w:rPr>
            <w:rStyle w:val="Hyperlink"/>
            <w:lang w:val="fr-FR"/>
          </w:rPr>
          <w:t>safeguardconsult@worldbank.org</w:t>
        </w:r>
      </w:hyperlink>
      <w:r w:rsidRPr="003D3F80">
        <w:rPr>
          <w:lang w:val="fr-FR"/>
        </w:rPr>
        <w:t>). Une série de questions types sera placée en ligne avec le document de cadrage. Les acteurs concernés pourront utiliser le mécanisme de consultation accessible par le site web pour fournir leurs réponses.</w:t>
      </w:r>
    </w:p>
    <w:p w:rsidR="00094AE2" w:rsidRPr="003D3F80" w:rsidRDefault="00094AE2">
      <w:pPr>
        <w:widowControl/>
        <w:spacing w:after="200" w:line="276" w:lineRule="auto"/>
        <w:rPr>
          <w:lang w:val="fr-FR"/>
        </w:rPr>
      </w:pPr>
      <w:r w:rsidRPr="003D3F80">
        <w:rPr>
          <w:lang w:val="fr-FR"/>
        </w:rPr>
        <w:br w:type="page"/>
      </w:r>
    </w:p>
    <w:p w:rsidR="00094AE2" w:rsidRPr="003D3F80" w:rsidRDefault="00094AE2" w:rsidP="00094AE2">
      <w:pPr>
        <w:pStyle w:val="ListParagraph"/>
        <w:widowControl/>
        <w:spacing w:before="0" w:after="200" w:line="276" w:lineRule="auto"/>
        <w:contextualSpacing w:val="0"/>
        <w:jc w:val="center"/>
        <w:rPr>
          <w:rFonts w:cs="Times New Roman"/>
          <w:b/>
          <w:szCs w:val="24"/>
          <w:lang w:val="fr-FR"/>
        </w:rPr>
      </w:pPr>
      <w:r w:rsidRPr="003D3F80">
        <w:rPr>
          <w:rFonts w:cs="Times New Roman"/>
          <w:b/>
          <w:szCs w:val="24"/>
          <w:lang w:val="fr-FR"/>
        </w:rPr>
        <w:lastRenderedPageBreak/>
        <w:t>Annex</w:t>
      </w:r>
      <w:r w:rsidR="003001E7">
        <w:rPr>
          <w:rFonts w:cs="Times New Roman"/>
          <w:b/>
          <w:szCs w:val="24"/>
          <w:lang w:val="fr-FR"/>
        </w:rPr>
        <w:t>e</w:t>
      </w:r>
      <w:r w:rsidRPr="003D3F80">
        <w:rPr>
          <w:rFonts w:cs="Times New Roman"/>
          <w:b/>
          <w:szCs w:val="24"/>
          <w:lang w:val="fr-FR"/>
        </w:rPr>
        <w:t xml:space="preserve"> A</w:t>
      </w:r>
      <w:r w:rsidR="003001E7">
        <w:rPr>
          <w:rFonts w:cs="Times New Roman"/>
          <w:b/>
          <w:szCs w:val="24"/>
          <w:lang w:val="fr-FR"/>
        </w:rPr>
        <w:t> </w:t>
      </w:r>
      <w:r w:rsidRPr="003D3F80">
        <w:rPr>
          <w:rFonts w:cs="Times New Roman"/>
          <w:b/>
          <w:szCs w:val="24"/>
          <w:lang w:val="fr-FR"/>
        </w:rPr>
        <w:t xml:space="preserve">: Phase 1 </w:t>
      </w:r>
      <w:r w:rsidR="003001E7">
        <w:rPr>
          <w:rFonts w:cs="Times New Roman"/>
          <w:b/>
          <w:szCs w:val="24"/>
          <w:lang w:val="fr-FR"/>
        </w:rPr>
        <w:t>des activités de c</w:t>
      </w:r>
      <w:r w:rsidRPr="003D3F80">
        <w:rPr>
          <w:rFonts w:cs="Times New Roman"/>
          <w:b/>
          <w:szCs w:val="24"/>
          <w:lang w:val="fr-FR"/>
        </w:rPr>
        <w:t>onsultation</w:t>
      </w:r>
    </w:p>
    <w:p w:rsidR="00094AE2" w:rsidRPr="003D3F80" w:rsidRDefault="00094AE2" w:rsidP="00094AE2">
      <w:pPr>
        <w:pStyle w:val="ListParagraph"/>
        <w:spacing w:after="200" w:line="276" w:lineRule="auto"/>
        <w:ind w:left="0"/>
        <w:rPr>
          <w:rFonts w:cs="Times New Roman"/>
          <w:szCs w:val="24"/>
          <w:lang w:val="fr-FR"/>
        </w:rPr>
      </w:pPr>
      <w:r w:rsidRPr="003D3F80">
        <w:rPr>
          <w:rFonts w:cs="Times New Roman"/>
          <w:szCs w:val="24"/>
          <w:lang w:val="fr-FR"/>
        </w:rPr>
        <w:t>Dur</w:t>
      </w:r>
      <w:r w:rsidR="003001E7">
        <w:rPr>
          <w:rFonts w:cs="Times New Roman"/>
          <w:szCs w:val="24"/>
          <w:lang w:val="fr-FR"/>
        </w:rPr>
        <w:t xml:space="preserve">ant la première </w:t>
      </w:r>
      <w:r w:rsidRPr="003D3F80">
        <w:rPr>
          <w:rFonts w:cs="Times New Roman"/>
          <w:szCs w:val="24"/>
          <w:lang w:val="fr-FR"/>
        </w:rPr>
        <w:t xml:space="preserve">phase </w:t>
      </w:r>
      <w:r w:rsidR="003001E7">
        <w:rPr>
          <w:rFonts w:cs="Times New Roman"/>
          <w:szCs w:val="24"/>
          <w:lang w:val="fr-FR"/>
        </w:rPr>
        <w:t>de</w:t>
      </w:r>
      <w:r w:rsidRPr="003D3F80">
        <w:rPr>
          <w:rFonts w:cs="Times New Roman"/>
          <w:szCs w:val="24"/>
          <w:lang w:val="fr-FR"/>
        </w:rPr>
        <w:t xml:space="preserve"> consultations</w:t>
      </w:r>
      <w:r w:rsidR="003001E7">
        <w:rPr>
          <w:rFonts w:cs="Times New Roman"/>
          <w:szCs w:val="24"/>
          <w:lang w:val="fr-FR"/>
        </w:rPr>
        <w:t xml:space="preserve"> externes</w:t>
      </w:r>
      <w:r w:rsidRPr="003D3F80">
        <w:rPr>
          <w:rFonts w:cs="Times New Roman"/>
          <w:szCs w:val="24"/>
          <w:lang w:val="fr-FR"/>
        </w:rPr>
        <w:t xml:space="preserve">, </w:t>
      </w:r>
      <w:r w:rsidR="003001E7">
        <w:rPr>
          <w:rFonts w:cs="Times New Roman"/>
          <w:szCs w:val="24"/>
          <w:lang w:val="fr-FR"/>
        </w:rPr>
        <w:t xml:space="preserve">la </w:t>
      </w:r>
      <w:r w:rsidRPr="003D3F80">
        <w:rPr>
          <w:rFonts w:cs="Times New Roman"/>
          <w:szCs w:val="24"/>
          <w:lang w:val="fr-FR"/>
        </w:rPr>
        <w:t>Ban</w:t>
      </w:r>
      <w:r w:rsidR="003001E7">
        <w:rPr>
          <w:rFonts w:cs="Times New Roman"/>
          <w:szCs w:val="24"/>
          <w:lang w:val="fr-FR"/>
        </w:rPr>
        <w:t xml:space="preserve">que sollicitera des avis et des commentaires sur le </w:t>
      </w:r>
      <w:r w:rsidR="004E085B">
        <w:rPr>
          <w:rFonts w:cs="Times New Roman"/>
          <w:szCs w:val="24"/>
          <w:lang w:val="fr-FR"/>
        </w:rPr>
        <w:t>d</w:t>
      </w:r>
      <w:r w:rsidR="003001E7">
        <w:rPr>
          <w:rFonts w:cs="Times New Roman"/>
          <w:szCs w:val="24"/>
          <w:lang w:val="fr-FR"/>
        </w:rPr>
        <w:t>ocument de cadrage, notamment dans les domaines suivants</w:t>
      </w:r>
      <w:r w:rsidR="004E085B">
        <w:rPr>
          <w:rFonts w:cs="Times New Roman"/>
          <w:szCs w:val="24"/>
          <w:lang w:val="fr-FR"/>
        </w:rPr>
        <w:t xml:space="preserve">, étant entendu que ces informations aideront à élaborer </w:t>
      </w:r>
      <w:r w:rsidR="003001E7">
        <w:rPr>
          <w:rFonts w:cs="Times New Roman"/>
          <w:szCs w:val="24"/>
          <w:lang w:val="fr-FR"/>
        </w:rPr>
        <w:t xml:space="preserve">le projet de cadre intégré : </w:t>
      </w:r>
    </w:p>
    <w:p w:rsidR="00094AE2" w:rsidRPr="003D3F80" w:rsidRDefault="00094AE2" w:rsidP="00094AE2">
      <w:pPr>
        <w:pStyle w:val="ListParagraph"/>
        <w:spacing w:after="200" w:line="276" w:lineRule="auto"/>
        <w:rPr>
          <w:rFonts w:cs="Times New Roman"/>
          <w:szCs w:val="24"/>
          <w:lang w:val="fr-FR"/>
        </w:rPr>
      </w:pPr>
    </w:p>
    <w:p w:rsidR="00094AE2" w:rsidRPr="003D3F80" w:rsidRDefault="00094AE2" w:rsidP="00094AE2">
      <w:pPr>
        <w:pStyle w:val="ListParagraph"/>
        <w:numPr>
          <w:ilvl w:val="0"/>
          <w:numId w:val="39"/>
        </w:numPr>
        <w:spacing w:after="200" w:line="276" w:lineRule="auto"/>
        <w:ind w:left="1080" w:hanging="360"/>
        <w:rPr>
          <w:rFonts w:cs="Times New Roman"/>
          <w:szCs w:val="24"/>
          <w:lang w:val="fr-FR"/>
        </w:rPr>
      </w:pPr>
      <w:r w:rsidRPr="003D3F80">
        <w:rPr>
          <w:rFonts w:cs="Times New Roman"/>
          <w:szCs w:val="24"/>
          <w:lang w:val="fr-FR"/>
        </w:rPr>
        <w:t xml:space="preserve">aspects </w:t>
      </w:r>
      <w:r w:rsidR="004E085B">
        <w:rPr>
          <w:rFonts w:cs="Times New Roman"/>
          <w:szCs w:val="24"/>
          <w:lang w:val="fr-FR"/>
        </w:rPr>
        <w:t xml:space="preserve">des politiques de sauvegarde </w:t>
      </w:r>
      <w:r w:rsidRPr="003D3F80">
        <w:rPr>
          <w:rFonts w:cs="Times New Roman"/>
          <w:szCs w:val="24"/>
          <w:lang w:val="fr-FR"/>
        </w:rPr>
        <w:t>environ</w:t>
      </w:r>
      <w:r w:rsidR="004E085B">
        <w:rPr>
          <w:rFonts w:cs="Times New Roman"/>
          <w:szCs w:val="24"/>
          <w:lang w:val="fr-FR"/>
        </w:rPr>
        <w:t>ne</w:t>
      </w:r>
      <w:r w:rsidRPr="003D3F80">
        <w:rPr>
          <w:rFonts w:cs="Times New Roman"/>
          <w:szCs w:val="24"/>
          <w:lang w:val="fr-FR"/>
        </w:rPr>
        <w:t>mental</w:t>
      </w:r>
      <w:r w:rsidR="004E085B">
        <w:rPr>
          <w:rFonts w:cs="Times New Roman"/>
          <w:szCs w:val="24"/>
          <w:lang w:val="fr-FR"/>
        </w:rPr>
        <w:t>e</w:t>
      </w:r>
      <w:r w:rsidRPr="003D3F80">
        <w:rPr>
          <w:rFonts w:cs="Times New Roman"/>
          <w:szCs w:val="24"/>
          <w:lang w:val="fr-FR"/>
        </w:rPr>
        <w:t xml:space="preserve"> </w:t>
      </w:r>
      <w:r w:rsidR="004E085B">
        <w:rPr>
          <w:rFonts w:cs="Times New Roman"/>
          <w:szCs w:val="24"/>
          <w:lang w:val="fr-FR"/>
        </w:rPr>
        <w:t xml:space="preserve">et </w:t>
      </w:r>
      <w:r w:rsidRPr="003D3F80">
        <w:rPr>
          <w:rFonts w:cs="Times New Roman"/>
          <w:szCs w:val="24"/>
          <w:lang w:val="fr-FR"/>
        </w:rPr>
        <w:t>social</w:t>
      </w:r>
      <w:r w:rsidR="004E085B">
        <w:rPr>
          <w:rFonts w:cs="Times New Roman"/>
          <w:szCs w:val="24"/>
          <w:lang w:val="fr-FR"/>
        </w:rPr>
        <w:t xml:space="preserve">e que la Banque peut améliorer pour assurer que </w:t>
      </w:r>
      <w:r w:rsidR="008D10AC">
        <w:rPr>
          <w:rFonts w:cs="Times New Roman"/>
          <w:szCs w:val="24"/>
          <w:lang w:val="fr-FR"/>
        </w:rPr>
        <w:t xml:space="preserve">leur application reste un moyen </w:t>
      </w:r>
      <w:r w:rsidR="004E085B">
        <w:rPr>
          <w:rFonts w:cs="Times New Roman"/>
          <w:szCs w:val="24"/>
          <w:lang w:val="fr-FR"/>
        </w:rPr>
        <w:t xml:space="preserve">efficace et efficient </w:t>
      </w:r>
      <w:r w:rsidR="008D10AC">
        <w:rPr>
          <w:rFonts w:cs="Times New Roman"/>
          <w:szCs w:val="24"/>
          <w:lang w:val="fr-FR"/>
        </w:rPr>
        <w:t>de</w:t>
      </w:r>
      <w:r w:rsidR="004E085B">
        <w:rPr>
          <w:rFonts w:cs="Times New Roman"/>
          <w:szCs w:val="24"/>
          <w:lang w:val="fr-FR"/>
        </w:rPr>
        <w:t xml:space="preserve"> réaliser un développement durable et </w:t>
      </w:r>
      <w:r w:rsidR="008D10AC">
        <w:rPr>
          <w:rFonts w:cs="Times New Roman"/>
          <w:szCs w:val="24"/>
          <w:lang w:val="fr-FR"/>
        </w:rPr>
        <w:t>d</w:t>
      </w:r>
      <w:r w:rsidR="001051C0">
        <w:rPr>
          <w:rFonts w:cs="Times New Roman"/>
          <w:szCs w:val="24"/>
          <w:lang w:val="fr-FR"/>
        </w:rPr>
        <w:t>’</w:t>
      </w:r>
      <w:r w:rsidR="004E085B">
        <w:rPr>
          <w:rFonts w:cs="Times New Roman"/>
          <w:szCs w:val="24"/>
          <w:lang w:val="fr-FR"/>
        </w:rPr>
        <w:t>obtenir des résultats sur le terrain </w:t>
      </w:r>
      <w:r w:rsidRPr="003D3F80">
        <w:rPr>
          <w:rFonts w:cs="Times New Roman"/>
          <w:szCs w:val="24"/>
          <w:lang w:val="fr-FR"/>
        </w:rPr>
        <w:t>;</w:t>
      </w:r>
    </w:p>
    <w:p w:rsidR="00094AE2" w:rsidRPr="003D3F80" w:rsidRDefault="00094AE2" w:rsidP="00094AE2">
      <w:pPr>
        <w:pStyle w:val="ListParagraph"/>
        <w:spacing w:after="200" w:line="276" w:lineRule="auto"/>
        <w:ind w:left="1080"/>
        <w:rPr>
          <w:rFonts w:cs="Times New Roman"/>
          <w:szCs w:val="24"/>
          <w:lang w:val="fr-FR"/>
        </w:rPr>
      </w:pPr>
    </w:p>
    <w:p w:rsidR="00094AE2" w:rsidRPr="003D3F80" w:rsidRDefault="004E085B" w:rsidP="00094AE2">
      <w:pPr>
        <w:pStyle w:val="ListParagraph"/>
        <w:numPr>
          <w:ilvl w:val="0"/>
          <w:numId w:val="39"/>
        </w:numPr>
        <w:spacing w:after="200" w:line="276" w:lineRule="auto"/>
        <w:ind w:left="1080" w:hanging="360"/>
        <w:rPr>
          <w:rFonts w:cs="Times New Roman"/>
          <w:szCs w:val="24"/>
          <w:lang w:val="fr-FR"/>
        </w:rPr>
      </w:pPr>
      <w:r>
        <w:rPr>
          <w:rFonts w:cs="Times New Roman"/>
          <w:szCs w:val="24"/>
          <w:lang w:val="fr-FR"/>
        </w:rPr>
        <w:t>problèmes et difficultés rencontrés dans l</w:t>
      </w:r>
      <w:r w:rsidR="001051C0">
        <w:rPr>
          <w:rFonts w:cs="Times New Roman"/>
          <w:szCs w:val="24"/>
          <w:lang w:val="fr-FR"/>
        </w:rPr>
        <w:t>’</w:t>
      </w:r>
      <w:r>
        <w:rPr>
          <w:rFonts w:cs="Times New Roman"/>
          <w:szCs w:val="24"/>
          <w:lang w:val="fr-FR"/>
        </w:rPr>
        <w:t xml:space="preserve">application des politiques de sauvegarde </w:t>
      </w:r>
      <w:r w:rsidR="00094AE2" w:rsidRPr="003D3F80">
        <w:rPr>
          <w:rFonts w:cs="Times New Roman"/>
          <w:szCs w:val="24"/>
          <w:lang w:val="fr-FR"/>
        </w:rPr>
        <w:t>;</w:t>
      </w:r>
    </w:p>
    <w:p w:rsidR="00094AE2" w:rsidRPr="003D3F80" w:rsidRDefault="00094AE2" w:rsidP="00094AE2">
      <w:pPr>
        <w:pStyle w:val="ListParagraph"/>
        <w:rPr>
          <w:rFonts w:cs="Times New Roman"/>
          <w:szCs w:val="24"/>
          <w:lang w:val="fr-FR"/>
        </w:rPr>
      </w:pPr>
    </w:p>
    <w:p w:rsidR="00094AE2" w:rsidRPr="003D3F80" w:rsidRDefault="004E033D" w:rsidP="00094AE2">
      <w:pPr>
        <w:pStyle w:val="ListParagraph"/>
        <w:numPr>
          <w:ilvl w:val="0"/>
          <w:numId w:val="39"/>
        </w:numPr>
        <w:spacing w:after="200" w:line="276" w:lineRule="auto"/>
        <w:ind w:left="1080" w:hanging="360"/>
        <w:rPr>
          <w:rFonts w:cs="Times New Roman"/>
          <w:szCs w:val="24"/>
          <w:lang w:val="fr-FR"/>
        </w:rPr>
      </w:pPr>
      <w:r>
        <w:rPr>
          <w:rFonts w:cs="Times New Roman"/>
          <w:szCs w:val="24"/>
          <w:lang w:val="fr-FR"/>
        </w:rPr>
        <w:t>principes fondamentaux permettant de promouvoir un développement durable que la Banque devrait envisager d</w:t>
      </w:r>
      <w:r w:rsidR="001051C0">
        <w:rPr>
          <w:rFonts w:cs="Times New Roman"/>
          <w:szCs w:val="24"/>
          <w:lang w:val="fr-FR"/>
        </w:rPr>
        <w:t>’</w:t>
      </w:r>
      <w:r>
        <w:rPr>
          <w:rFonts w:cs="Times New Roman"/>
          <w:szCs w:val="24"/>
          <w:lang w:val="fr-FR"/>
        </w:rPr>
        <w:t xml:space="preserve">appliquer (y compris ceux déjà énoncés dans les politiques de sauvegarde actuelles) ; </w:t>
      </w:r>
    </w:p>
    <w:p w:rsidR="00094AE2" w:rsidRPr="003D3F80" w:rsidRDefault="00094AE2" w:rsidP="00094AE2">
      <w:pPr>
        <w:pStyle w:val="ListParagraph"/>
        <w:rPr>
          <w:rFonts w:cs="Times New Roman"/>
          <w:szCs w:val="24"/>
          <w:lang w:val="fr-FR"/>
        </w:rPr>
      </w:pPr>
    </w:p>
    <w:p w:rsidR="00094AE2" w:rsidRPr="003D3F80" w:rsidRDefault="00094AE2" w:rsidP="00094AE2">
      <w:pPr>
        <w:pStyle w:val="ListParagraph"/>
        <w:numPr>
          <w:ilvl w:val="0"/>
          <w:numId w:val="39"/>
        </w:numPr>
        <w:spacing w:after="200" w:line="276" w:lineRule="auto"/>
        <w:ind w:left="1080" w:hanging="360"/>
        <w:rPr>
          <w:rFonts w:cs="Times New Roman"/>
          <w:szCs w:val="24"/>
          <w:lang w:val="fr-FR"/>
        </w:rPr>
      </w:pPr>
      <w:r w:rsidRPr="003D3F80">
        <w:rPr>
          <w:rFonts w:cs="Times New Roman"/>
          <w:szCs w:val="24"/>
          <w:lang w:val="fr-FR"/>
        </w:rPr>
        <w:t>ex</w:t>
      </w:r>
      <w:r w:rsidR="004E033D">
        <w:rPr>
          <w:rFonts w:cs="Times New Roman"/>
          <w:szCs w:val="24"/>
          <w:lang w:val="fr-FR"/>
        </w:rPr>
        <w:t>e</w:t>
      </w:r>
      <w:r w:rsidRPr="003D3F80">
        <w:rPr>
          <w:rFonts w:cs="Times New Roman"/>
          <w:szCs w:val="24"/>
          <w:lang w:val="fr-FR"/>
        </w:rPr>
        <w:t xml:space="preserve">mples </w:t>
      </w:r>
      <w:r w:rsidR="004E033D">
        <w:rPr>
          <w:rFonts w:cs="Times New Roman"/>
          <w:szCs w:val="24"/>
          <w:lang w:val="fr-FR"/>
        </w:rPr>
        <w:t>de cadres de viabilité environnementale et sociale que la Banque devrait étudier à l</w:t>
      </w:r>
      <w:r w:rsidR="001051C0">
        <w:rPr>
          <w:rFonts w:cs="Times New Roman"/>
          <w:szCs w:val="24"/>
          <w:lang w:val="fr-FR"/>
        </w:rPr>
        <w:t>’</w:t>
      </w:r>
      <w:r w:rsidR="004E033D">
        <w:rPr>
          <w:rFonts w:cs="Times New Roman"/>
          <w:szCs w:val="24"/>
          <w:lang w:val="fr-FR"/>
        </w:rPr>
        <w:t>occasion</w:t>
      </w:r>
      <w:r w:rsidR="000F660B">
        <w:rPr>
          <w:rFonts w:cs="Times New Roman"/>
          <w:szCs w:val="24"/>
          <w:lang w:val="fr-FR"/>
        </w:rPr>
        <w:t xml:space="preserve"> de l'examen et de la mise à jour des politiques de sauvegarde </w:t>
      </w:r>
      <w:r w:rsidR="004E033D">
        <w:rPr>
          <w:rFonts w:cs="Times New Roman"/>
          <w:szCs w:val="24"/>
          <w:lang w:val="fr-FR"/>
        </w:rPr>
        <w:t xml:space="preserve">; </w:t>
      </w:r>
    </w:p>
    <w:p w:rsidR="00094AE2" w:rsidRPr="003D3F80" w:rsidRDefault="00094AE2" w:rsidP="00094AE2">
      <w:pPr>
        <w:pStyle w:val="ListParagraph"/>
        <w:rPr>
          <w:rFonts w:cs="Times New Roman"/>
          <w:szCs w:val="24"/>
          <w:lang w:val="fr-FR"/>
        </w:rPr>
      </w:pPr>
    </w:p>
    <w:p w:rsidR="00094AE2" w:rsidRPr="003D3F80" w:rsidRDefault="004E033D" w:rsidP="00094AE2">
      <w:pPr>
        <w:pStyle w:val="ListParagraph"/>
        <w:numPr>
          <w:ilvl w:val="0"/>
          <w:numId w:val="39"/>
        </w:numPr>
        <w:spacing w:after="200" w:line="276" w:lineRule="auto"/>
        <w:ind w:left="1080" w:hanging="360"/>
        <w:rPr>
          <w:rFonts w:cs="Times New Roman"/>
          <w:szCs w:val="24"/>
          <w:lang w:val="fr-FR"/>
        </w:rPr>
      </w:pPr>
      <w:r>
        <w:rPr>
          <w:rFonts w:cs="Times New Roman"/>
          <w:szCs w:val="24"/>
          <w:lang w:val="fr-FR"/>
        </w:rPr>
        <w:t>éléments autres que les facteurs internes et externes décrits dans le présent document que la Banque devrait prendre en compte </w:t>
      </w:r>
      <w:r w:rsidR="00094AE2" w:rsidRPr="003D3F80">
        <w:rPr>
          <w:rFonts w:cs="Times New Roman"/>
          <w:szCs w:val="24"/>
          <w:lang w:val="fr-FR"/>
        </w:rPr>
        <w:t xml:space="preserve">; </w:t>
      </w:r>
    </w:p>
    <w:p w:rsidR="00094AE2" w:rsidRPr="003D3F80" w:rsidRDefault="00094AE2" w:rsidP="00094AE2">
      <w:pPr>
        <w:pStyle w:val="ListParagraph"/>
        <w:rPr>
          <w:rFonts w:cs="Times New Roman"/>
          <w:szCs w:val="24"/>
          <w:lang w:val="fr-FR"/>
        </w:rPr>
      </w:pPr>
    </w:p>
    <w:p w:rsidR="00094AE2" w:rsidRPr="003D3F80" w:rsidRDefault="00094AE2" w:rsidP="00094AE2">
      <w:pPr>
        <w:pStyle w:val="ListParagraph"/>
        <w:numPr>
          <w:ilvl w:val="0"/>
          <w:numId w:val="39"/>
        </w:numPr>
        <w:spacing w:after="200" w:line="276" w:lineRule="auto"/>
        <w:ind w:left="1080" w:hanging="360"/>
        <w:rPr>
          <w:rFonts w:cs="Times New Roman"/>
          <w:szCs w:val="24"/>
          <w:lang w:val="fr-FR"/>
        </w:rPr>
      </w:pPr>
      <w:r w:rsidRPr="003D3F80">
        <w:rPr>
          <w:rFonts w:cs="Times New Roman"/>
          <w:szCs w:val="24"/>
          <w:lang w:val="fr-FR"/>
        </w:rPr>
        <w:t>recomm</w:t>
      </w:r>
      <w:r w:rsidR="004E033D">
        <w:rPr>
          <w:rFonts w:cs="Times New Roman"/>
          <w:szCs w:val="24"/>
          <w:lang w:val="fr-FR"/>
        </w:rPr>
        <w:t>a</w:t>
      </w:r>
      <w:r w:rsidRPr="003D3F80">
        <w:rPr>
          <w:rFonts w:cs="Times New Roman"/>
          <w:szCs w:val="24"/>
          <w:lang w:val="fr-FR"/>
        </w:rPr>
        <w:t xml:space="preserve">ndations </w:t>
      </w:r>
      <w:r w:rsidR="008D10AC">
        <w:rPr>
          <w:rFonts w:cs="Times New Roman"/>
          <w:szCs w:val="24"/>
          <w:lang w:val="fr-FR"/>
        </w:rPr>
        <w:t xml:space="preserve">relatives aux </w:t>
      </w:r>
      <w:r w:rsidR="001051C0">
        <w:rPr>
          <w:rFonts w:cs="Times New Roman"/>
          <w:szCs w:val="24"/>
          <w:lang w:val="fr-FR"/>
        </w:rPr>
        <w:t>problématiques naissantes</w:t>
      </w:r>
      <w:r w:rsidR="008D10AC">
        <w:rPr>
          <w:rFonts w:cs="Times New Roman"/>
          <w:szCs w:val="24"/>
          <w:lang w:val="fr-FR"/>
        </w:rPr>
        <w:t xml:space="preserve"> décrit</w:t>
      </w:r>
      <w:r w:rsidR="001051C0">
        <w:rPr>
          <w:rFonts w:cs="Times New Roman"/>
          <w:szCs w:val="24"/>
          <w:lang w:val="fr-FR"/>
        </w:rPr>
        <w:t>e</w:t>
      </w:r>
      <w:r w:rsidR="008D10AC">
        <w:rPr>
          <w:rFonts w:cs="Times New Roman"/>
          <w:szCs w:val="24"/>
          <w:lang w:val="fr-FR"/>
        </w:rPr>
        <w:t>s dans le présent document</w:t>
      </w:r>
      <w:r w:rsidRPr="003D3F80">
        <w:rPr>
          <w:rFonts w:cs="Times New Roman"/>
          <w:szCs w:val="24"/>
          <w:lang w:val="fr-FR"/>
        </w:rPr>
        <w:t xml:space="preserve"> (</w:t>
      </w:r>
      <w:r w:rsidR="008D10AC">
        <w:rPr>
          <w:bCs/>
          <w:lang w:val="fr-FR"/>
        </w:rPr>
        <w:t>invalidité ;</w:t>
      </w:r>
      <w:r w:rsidR="008D10AC" w:rsidRPr="003D3F80">
        <w:rPr>
          <w:bCs/>
          <w:lang w:val="fr-FR"/>
        </w:rPr>
        <w:t xml:space="preserve"> travail, santé et sécurité des travailleurs</w:t>
      </w:r>
      <w:r w:rsidR="008D10AC">
        <w:rPr>
          <w:bCs/>
          <w:lang w:val="fr-FR"/>
        </w:rPr>
        <w:t> ;</w:t>
      </w:r>
      <w:r w:rsidR="008D10AC" w:rsidRPr="003D3F80">
        <w:rPr>
          <w:bCs/>
          <w:lang w:val="fr-FR"/>
        </w:rPr>
        <w:t xml:space="preserve"> </w:t>
      </w:r>
      <w:r w:rsidR="008D10AC">
        <w:rPr>
          <w:rFonts w:cs="Times New Roman"/>
          <w:szCs w:val="24"/>
          <w:lang w:val="fr-FR"/>
        </w:rPr>
        <w:t>droits fondamentaux, </w:t>
      </w:r>
      <w:r w:rsidR="008D10AC" w:rsidRPr="003D3F80">
        <w:rPr>
          <w:bCs/>
          <w:lang w:val="fr-FR"/>
        </w:rPr>
        <w:t xml:space="preserve">régime foncier et ressources naturelles </w:t>
      </w:r>
      <w:r w:rsidR="008D10AC">
        <w:rPr>
          <w:rFonts w:cs="Times New Roman"/>
          <w:szCs w:val="24"/>
          <w:lang w:val="fr-FR"/>
        </w:rPr>
        <w:t xml:space="preserve">; </w:t>
      </w:r>
      <w:r w:rsidR="008D10AC" w:rsidRPr="003D3F80">
        <w:rPr>
          <w:bCs/>
          <w:lang w:val="fr-FR"/>
        </w:rPr>
        <w:t>consentement donné librement, au préalable et en toute connaissance de cause par les populations autochtones</w:t>
      </w:r>
      <w:r w:rsidR="008D10AC">
        <w:rPr>
          <w:bCs/>
          <w:lang w:val="fr-FR"/>
        </w:rPr>
        <w:t> ;</w:t>
      </w:r>
      <w:r w:rsidR="008D10AC" w:rsidRPr="003D3F80">
        <w:rPr>
          <w:bCs/>
          <w:lang w:val="fr-FR"/>
        </w:rPr>
        <w:t xml:space="preserve"> égalité des sexes</w:t>
      </w:r>
      <w:r w:rsidR="008D10AC">
        <w:rPr>
          <w:bCs/>
          <w:lang w:val="fr-FR"/>
        </w:rPr>
        <w:t> ;</w:t>
      </w:r>
      <w:r w:rsidR="008D10AC" w:rsidRPr="003D3F80">
        <w:rPr>
          <w:bCs/>
          <w:lang w:val="fr-FR"/>
        </w:rPr>
        <w:t xml:space="preserve"> et changement climatique</w:t>
      </w:r>
      <w:r w:rsidRPr="003D3F80">
        <w:rPr>
          <w:rFonts w:cs="Times New Roman"/>
          <w:szCs w:val="24"/>
          <w:lang w:val="fr-FR"/>
        </w:rPr>
        <w:t>)</w:t>
      </w:r>
      <w:r w:rsidR="008D10AC">
        <w:rPr>
          <w:rFonts w:cs="Times New Roman"/>
          <w:szCs w:val="24"/>
          <w:lang w:val="fr-FR"/>
        </w:rPr>
        <w:t> </w:t>
      </w:r>
      <w:r w:rsidRPr="003D3F80">
        <w:rPr>
          <w:rFonts w:cs="Times New Roman"/>
          <w:szCs w:val="24"/>
          <w:lang w:val="fr-FR"/>
        </w:rPr>
        <w:t xml:space="preserve">; </w:t>
      </w:r>
    </w:p>
    <w:p w:rsidR="00094AE2" w:rsidRPr="003D3F80" w:rsidRDefault="00094AE2" w:rsidP="00094AE2">
      <w:pPr>
        <w:pStyle w:val="ListParagraph"/>
        <w:rPr>
          <w:rFonts w:cs="Times New Roman"/>
          <w:szCs w:val="24"/>
          <w:lang w:val="fr-FR"/>
        </w:rPr>
      </w:pPr>
    </w:p>
    <w:p w:rsidR="00094AE2" w:rsidRPr="003D3F80" w:rsidRDefault="00094AE2" w:rsidP="00094AE2">
      <w:pPr>
        <w:pStyle w:val="ListParagraph"/>
        <w:numPr>
          <w:ilvl w:val="0"/>
          <w:numId w:val="39"/>
        </w:numPr>
        <w:spacing w:after="200" w:line="276" w:lineRule="auto"/>
        <w:ind w:left="1080" w:hanging="360"/>
        <w:rPr>
          <w:rFonts w:cs="Times New Roman"/>
          <w:szCs w:val="24"/>
          <w:lang w:val="fr-FR"/>
        </w:rPr>
      </w:pPr>
      <w:r w:rsidRPr="003D3F80">
        <w:rPr>
          <w:rFonts w:cs="Times New Roman"/>
          <w:szCs w:val="24"/>
          <w:lang w:val="fr-FR"/>
        </w:rPr>
        <w:t>ex</w:t>
      </w:r>
      <w:r w:rsidR="00F848A6">
        <w:rPr>
          <w:rFonts w:cs="Times New Roman"/>
          <w:szCs w:val="24"/>
          <w:lang w:val="fr-FR"/>
        </w:rPr>
        <w:t>e</w:t>
      </w:r>
      <w:r w:rsidRPr="003D3F80">
        <w:rPr>
          <w:rFonts w:cs="Times New Roman"/>
          <w:szCs w:val="24"/>
          <w:lang w:val="fr-FR"/>
        </w:rPr>
        <w:t xml:space="preserve">mples </w:t>
      </w:r>
      <w:r w:rsidR="00F848A6">
        <w:rPr>
          <w:rFonts w:cs="Times New Roman"/>
          <w:szCs w:val="24"/>
          <w:lang w:val="fr-FR"/>
        </w:rPr>
        <w:t xml:space="preserve">de </w:t>
      </w:r>
      <w:r w:rsidR="004E033D">
        <w:rPr>
          <w:rFonts w:cs="Times New Roman"/>
          <w:szCs w:val="24"/>
          <w:lang w:val="fr-FR"/>
        </w:rPr>
        <w:t xml:space="preserve">procédures </w:t>
      </w:r>
      <w:r w:rsidR="00F848A6">
        <w:rPr>
          <w:rFonts w:cs="Times New Roman"/>
          <w:szCs w:val="24"/>
          <w:lang w:val="fr-FR"/>
        </w:rPr>
        <w:t>d</w:t>
      </w:r>
      <w:r w:rsidR="001051C0">
        <w:rPr>
          <w:rFonts w:cs="Times New Roman"/>
          <w:szCs w:val="24"/>
          <w:lang w:val="fr-FR"/>
        </w:rPr>
        <w:t>’</w:t>
      </w:r>
      <w:r w:rsidR="00F848A6">
        <w:rPr>
          <w:rFonts w:cs="Times New Roman"/>
          <w:szCs w:val="24"/>
          <w:lang w:val="fr-FR"/>
        </w:rPr>
        <w:t xml:space="preserve">évaluation environnementale et sociale et de gestion des risques </w:t>
      </w:r>
      <w:r w:rsidRPr="003D3F80">
        <w:rPr>
          <w:rFonts w:cs="Times New Roman"/>
          <w:szCs w:val="24"/>
          <w:lang w:val="fr-FR"/>
        </w:rPr>
        <w:t>(</w:t>
      </w:r>
      <w:r w:rsidR="004E033D">
        <w:rPr>
          <w:rFonts w:cs="Times New Roman"/>
          <w:szCs w:val="24"/>
          <w:lang w:val="fr-FR"/>
        </w:rPr>
        <w:t xml:space="preserve">appliquées </w:t>
      </w:r>
      <w:r w:rsidR="00F848A6">
        <w:rPr>
          <w:rFonts w:cs="Times New Roman"/>
          <w:szCs w:val="24"/>
          <w:lang w:val="fr-FR"/>
        </w:rPr>
        <w:t>par des institutions publiques ou privées</w:t>
      </w:r>
      <w:r w:rsidRPr="003D3F80">
        <w:rPr>
          <w:rFonts w:cs="Times New Roman"/>
          <w:szCs w:val="24"/>
          <w:lang w:val="fr-FR"/>
        </w:rPr>
        <w:t xml:space="preserve">) </w:t>
      </w:r>
      <w:r w:rsidR="004E033D">
        <w:rPr>
          <w:rFonts w:cs="Times New Roman"/>
          <w:szCs w:val="24"/>
          <w:lang w:val="fr-FR"/>
        </w:rPr>
        <w:t>dont l</w:t>
      </w:r>
      <w:r w:rsidR="001051C0">
        <w:rPr>
          <w:rFonts w:cs="Times New Roman"/>
          <w:szCs w:val="24"/>
          <w:lang w:val="fr-FR"/>
        </w:rPr>
        <w:t>’</w:t>
      </w:r>
      <w:r w:rsidR="004E033D">
        <w:rPr>
          <w:rFonts w:cs="Times New Roman"/>
          <w:szCs w:val="24"/>
          <w:lang w:val="fr-FR"/>
        </w:rPr>
        <w:t>utilisation n</w:t>
      </w:r>
      <w:r w:rsidR="001051C0">
        <w:rPr>
          <w:rFonts w:cs="Times New Roman"/>
          <w:szCs w:val="24"/>
          <w:lang w:val="fr-FR"/>
        </w:rPr>
        <w:t>’</w:t>
      </w:r>
      <w:r w:rsidR="004E033D">
        <w:rPr>
          <w:rFonts w:cs="Times New Roman"/>
          <w:szCs w:val="24"/>
          <w:lang w:val="fr-FR"/>
        </w:rPr>
        <w:t>est pas prévue par les</w:t>
      </w:r>
      <w:r w:rsidRPr="003D3F80">
        <w:rPr>
          <w:rFonts w:cs="Times New Roman"/>
          <w:szCs w:val="24"/>
          <w:lang w:val="fr-FR"/>
        </w:rPr>
        <w:t xml:space="preserve"> </w:t>
      </w:r>
      <w:r w:rsidR="004E085B">
        <w:rPr>
          <w:rFonts w:cs="Times New Roman"/>
          <w:szCs w:val="24"/>
          <w:lang w:val="fr-FR"/>
        </w:rPr>
        <w:t xml:space="preserve">politiques de sauvegarde </w:t>
      </w:r>
      <w:r w:rsidR="004E033D">
        <w:rPr>
          <w:rFonts w:cs="Times New Roman"/>
          <w:szCs w:val="24"/>
          <w:lang w:val="fr-FR"/>
        </w:rPr>
        <w:t>actuelles</w:t>
      </w:r>
      <w:r w:rsidRPr="003D3F80">
        <w:rPr>
          <w:rFonts w:cs="Times New Roman"/>
          <w:szCs w:val="24"/>
          <w:lang w:val="fr-FR"/>
        </w:rPr>
        <w:t xml:space="preserve">, </w:t>
      </w:r>
      <w:r w:rsidR="00F848A6">
        <w:rPr>
          <w:rFonts w:cs="Times New Roman"/>
          <w:szCs w:val="24"/>
          <w:lang w:val="fr-FR"/>
        </w:rPr>
        <w:t>mais qu</w:t>
      </w:r>
      <w:r w:rsidR="004E033D">
        <w:rPr>
          <w:rFonts w:cs="Times New Roman"/>
          <w:szCs w:val="24"/>
          <w:lang w:val="fr-FR"/>
        </w:rPr>
        <w:t xml:space="preserve">i devrait être envisagée dans </w:t>
      </w:r>
      <w:r w:rsidR="00F848A6">
        <w:rPr>
          <w:rFonts w:cs="Times New Roman"/>
          <w:szCs w:val="24"/>
          <w:lang w:val="fr-FR"/>
        </w:rPr>
        <w:t>le cadre du processus d</w:t>
      </w:r>
      <w:r w:rsidR="008F15D0">
        <w:rPr>
          <w:rFonts w:cs="Times New Roman"/>
          <w:szCs w:val="24"/>
          <w:lang w:val="fr-FR"/>
        </w:rPr>
        <w:t>’</w:t>
      </w:r>
      <w:r w:rsidR="00F848A6">
        <w:rPr>
          <w:rFonts w:cs="Times New Roman"/>
          <w:szCs w:val="24"/>
          <w:lang w:val="fr-FR"/>
        </w:rPr>
        <w:t>examen</w:t>
      </w:r>
      <w:r w:rsidR="000F660B">
        <w:rPr>
          <w:rFonts w:cs="Times New Roman"/>
          <w:szCs w:val="24"/>
          <w:lang w:val="fr-FR"/>
        </w:rPr>
        <w:t xml:space="preserve"> et de mise à jour</w:t>
      </w:r>
      <w:r w:rsidR="00F848A6">
        <w:rPr>
          <w:rFonts w:cs="Times New Roman"/>
          <w:szCs w:val="24"/>
          <w:lang w:val="fr-FR"/>
        </w:rPr>
        <w:t> </w:t>
      </w:r>
      <w:r w:rsidRPr="003D3F80">
        <w:rPr>
          <w:rFonts w:cs="Times New Roman"/>
          <w:szCs w:val="24"/>
          <w:lang w:val="fr-FR"/>
        </w:rPr>
        <w:t>;</w:t>
      </w:r>
    </w:p>
    <w:p w:rsidR="00094AE2" w:rsidRPr="003D3F80" w:rsidRDefault="00094AE2" w:rsidP="00094AE2">
      <w:pPr>
        <w:pStyle w:val="ListParagraph"/>
        <w:rPr>
          <w:rFonts w:cs="Times New Roman"/>
          <w:szCs w:val="24"/>
          <w:lang w:val="fr-FR"/>
        </w:rPr>
      </w:pPr>
    </w:p>
    <w:p w:rsidR="00094AE2" w:rsidRPr="003D3F80" w:rsidRDefault="00094AE2" w:rsidP="00094AE2">
      <w:pPr>
        <w:pStyle w:val="ListParagraph"/>
        <w:numPr>
          <w:ilvl w:val="0"/>
          <w:numId w:val="39"/>
        </w:numPr>
        <w:spacing w:after="200" w:line="276" w:lineRule="auto"/>
        <w:ind w:left="1080" w:hanging="360"/>
        <w:rPr>
          <w:rFonts w:cs="Times New Roman"/>
          <w:szCs w:val="24"/>
          <w:lang w:val="fr-FR"/>
        </w:rPr>
      </w:pPr>
      <w:r w:rsidRPr="003D3F80">
        <w:rPr>
          <w:rFonts w:cs="Times New Roman"/>
          <w:szCs w:val="24"/>
          <w:lang w:val="fr-FR"/>
        </w:rPr>
        <w:t xml:space="preserve">aspects </w:t>
      </w:r>
      <w:r w:rsidR="00F848A6">
        <w:rPr>
          <w:rFonts w:cs="Times New Roman"/>
          <w:szCs w:val="24"/>
          <w:lang w:val="fr-FR"/>
        </w:rPr>
        <w:t xml:space="preserve">de </w:t>
      </w:r>
      <w:r w:rsidR="00905E8E" w:rsidRPr="00905E8E">
        <w:rPr>
          <w:lang w:val="fr-FR"/>
        </w:rPr>
        <w:t>l’évaluation</w:t>
      </w:r>
      <w:r w:rsidR="00F848A6">
        <w:rPr>
          <w:rFonts w:cs="Times New Roman"/>
          <w:szCs w:val="24"/>
          <w:lang w:val="fr-FR"/>
        </w:rPr>
        <w:t xml:space="preserve"> sur les politiques de sauvegarde réalisée par l</w:t>
      </w:r>
      <w:r w:rsidR="001051C0">
        <w:rPr>
          <w:rFonts w:cs="Times New Roman"/>
          <w:szCs w:val="24"/>
          <w:lang w:val="fr-FR"/>
        </w:rPr>
        <w:t>’</w:t>
      </w:r>
      <w:r w:rsidR="00F848A6">
        <w:rPr>
          <w:rFonts w:cs="Times New Roman"/>
          <w:szCs w:val="24"/>
          <w:lang w:val="fr-FR"/>
        </w:rPr>
        <w:t xml:space="preserve">IEG en 2010 et </w:t>
      </w:r>
      <w:r w:rsidRPr="003D3F80">
        <w:rPr>
          <w:rFonts w:cs="Times New Roman"/>
          <w:szCs w:val="24"/>
          <w:lang w:val="fr-FR"/>
        </w:rPr>
        <w:t>recomm</w:t>
      </w:r>
      <w:r w:rsidR="00F848A6">
        <w:rPr>
          <w:rFonts w:cs="Times New Roman"/>
          <w:szCs w:val="24"/>
          <w:lang w:val="fr-FR"/>
        </w:rPr>
        <w:t>a</w:t>
      </w:r>
      <w:r w:rsidRPr="003D3F80">
        <w:rPr>
          <w:rFonts w:cs="Times New Roman"/>
          <w:szCs w:val="24"/>
          <w:lang w:val="fr-FR"/>
        </w:rPr>
        <w:t xml:space="preserve">ndations </w:t>
      </w:r>
      <w:r w:rsidR="00F848A6">
        <w:rPr>
          <w:rFonts w:cs="Times New Roman"/>
          <w:szCs w:val="24"/>
          <w:lang w:val="fr-FR"/>
        </w:rPr>
        <w:t>connexes revêtant une importance particulière pour le processus d</w:t>
      </w:r>
      <w:r w:rsidR="008F15D0">
        <w:rPr>
          <w:rFonts w:cs="Times New Roman"/>
          <w:szCs w:val="24"/>
          <w:lang w:val="fr-FR"/>
        </w:rPr>
        <w:t>’</w:t>
      </w:r>
      <w:r w:rsidR="00F848A6">
        <w:rPr>
          <w:rFonts w:cs="Times New Roman"/>
          <w:szCs w:val="24"/>
          <w:lang w:val="fr-FR"/>
        </w:rPr>
        <w:t>examen et de mise à jour desdites politiques </w:t>
      </w:r>
      <w:r w:rsidRPr="003D3F80">
        <w:rPr>
          <w:rFonts w:cs="Times New Roman"/>
          <w:szCs w:val="24"/>
          <w:lang w:val="fr-FR"/>
        </w:rPr>
        <w:t>;</w:t>
      </w:r>
    </w:p>
    <w:p w:rsidR="00094AE2" w:rsidRPr="003D3F80" w:rsidRDefault="00094AE2" w:rsidP="00094AE2">
      <w:pPr>
        <w:pStyle w:val="ListParagraph"/>
        <w:rPr>
          <w:rFonts w:cs="Times New Roman"/>
          <w:szCs w:val="24"/>
          <w:lang w:val="fr-FR"/>
        </w:rPr>
      </w:pPr>
    </w:p>
    <w:p w:rsidR="00094AE2" w:rsidRPr="003D3F80" w:rsidRDefault="00094AE2" w:rsidP="00094AE2">
      <w:pPr>
        <w:pStyle w:val="ListParagraph"/>
        <w:numPr>
          <w:ilvl w:val="0"/>
          <w:numId w:val="39"/>
        </w:numPr>
        <w:spacing w:after="200" w:line="276" w:lineRule="auto"/>
        <w:ind w:left="1080" w:hanging="360"/>
        <w:rPr>
          <w:rFonts w:cs="Times New Roman"/>
          <w:szCs w:val="24"/>
          <w:lang w:val="fr-FR"/>
        </w:rPr>
      </w:pPr>
      <w:r w:rsidRPr="003D3F80">
        <w:rPr>
          <w:rFonts w:cs="Times New Roman"/>
          <w:szCs w:val="24"/>
          <w:lang w:val="fr-FR"/>
        </w:rPr>
        <w:t>recomm</w:t>
      </w:r>
      <w:r w:rsidR="00F848A6">
        <w:rPr>
          <w:rFonts w:cs="Times New Roman"/>
          <w:szCs w:val="24"/>
          <w:lang w:val="fr-FR"/>
        </w:rPr>
        <w:t>a</w:t>
      </w:r>
      <w:r w:rsidRPr="003D3F80">
        <w:rPr>
          <w:rFonts w:cs="Times New Roman"/>
          <w:szCs w:val="24"/>
          <w:lang w:val="fr-FR"/>
        </w:rPr>
        <w:t xml:space="preserve">ndations </w:t>
      </w:r>
      <w:r w:rsidR="00F848A6">
        <w:rPr>
          <w:rFonts w:cs="Times New Roman"/>
          <w:szCs w:val="24"/>
          <w:lang w:val="fr-FR"/>
        </w:rPr>
        <w:t>pour aider la Banque à promouvoir un nouveau partenariat avec ses emprunteurs sur la base d</w:t>
      </w:r>
      <w:r w:rsidR="001051C0">
        <w:rPr>
          <w:rFonts w:cs="Times New Roman"/>
          <w:szCs w:val="24"/>
          <w:lang w:val="fr-FR"/>
        </w:rPr>
        <w:t>’</w:t>
      </w:r>
      <w:r w:rsidR="00F848A6">
        <w:rPr>
          <w:rFonts w:cs="Times New Roman"/>
          <w:szCs w:val="24"/>
          <w:lang w:val="fr-FR"/>
        </w:rPr>
        <w:t>un engagement commun en faveur de la viabilité environnementale et sociale </w:t>
      </w:r>
      <w:r w:rsidRPr="003D3F80">
        <w:rPr>
          <w:rFonts w:cs="Times New Roman"/>
          <w:szCs w:val="24"/>
          <w:lang w:val="fr-FR"/>
        </w:rPr>
        <w:t>;</w:t>
      </w:r>
    </w:p>
    <w:p w:rsidR="00094AE2" w:rsidRPr="003D3F80" w:rsidRDefault="00094AE2" w:rsidP="00094AE2">
      <w:pPr>
        <w:pStyle w:val="ListParagraph"/>
        <w:rPr>
          <w:rFonts w:cs="Times New Roman"/>
          <w:szCs w:val="24"/>
          <w:lang w:val="fr-FR"/>
        </w:rPr>
      </w:pPr>
    </w:p>
    <w:p w:rsidR="0085263C" w:rsidRDefault="004E085B">
      <w:pPr>
        <w:pStyle w:val="ListParagraph"/>
        <w:numPr>
          <w:ilvl w:val="0"/>
          <w:numId w:val="39"/>
        </w:numPr>
        <w:spacing w:after="200" w:line="276" w:lineRule="auto"/>
        <w:ind w:left="1080" w:hanging="360"/>
        <w:rPr>
          <w:rFonts w:cs="Times New Roman"/>
          <w:szCs w:val="24"/>
          <w:lang w:val="fr-FR"/>
        </w:rPr>
      </w:pPr>
      <w:r>
        <w:rPr>
          <w:rFonts w:cs="Times New Roman"/>
          <w:szCs w:val="24"/>
          <w:lang w:val="fr-FR"/>
        </w:rPr>
        <w:t xml:space="preserve">comment la Banque peut-elle mieux soutenir les efforts déployés par les emprunteurs </w:t>
      </w:r>
      <w:r>
        <w:rPr>
          <w:rFonts w:cs="Times New Roman"/>
          <w:szCs w:val="24"/>
          <w:lang w:val="fr-FR"/>
        </w:rPr>
        <w:lastRenderedPageBreak/>
        <w:t>pour renforcer le</w:t>
      </w:r>
      <w:r w:rsidR="00F848A6">
        <w:rPr>
          <w:rFonts w:cs="Times New Roman"/>
          <w:szCs w:val="24"/>
          <w:lang w:val="fr-FR"/>
        </w:rPr>
        <w:t>s</w:t>
      </w:r>
      <w:r>
        <w:rPr>
          <w:rFonts w:cs="Times New Roman"/>
          <w:szCs w:val="24"/>
          <w:lang w:val="fr-FR"/>
        </w:rPr>
        <w:t xml:space="preserve"> </w:t>
      </w:r>
      <w:r w:rsidR="00094AE2" w:rsidRPr="003D3F80">
        <w:rPr>
          <w:rFonts w:cs="Times New Roman"/>
          <w:szCs w:val="24"/>
          <w:lang w:val="fr-FR"/>
        </w:rPr>
        <w:t>syst</w:t>
      </w:r>
      <w:r>
        <w:rPr>
          <w:rFonts w:cs="Times New Roman"/>
          <w:szCs w:val="24"/>
          <w:lang w:val="fr-FR"/>
        </w:rPr>
        <w:t xml:space="preserve">èmes et </w:t>
      </w:r>
      <w:r w:rsidR="00094AE2" w:rsidRPr="003D3F80">
        <w:rPr>
          <w:rFonts w:cs="Times New Roman"/>
          <w:szCs w:val="24"/>
          <w:lang w:val="fr-FR"/>
        </w:rPr>
        <w:t xml:space="preserve">institutions </w:t>
      </w:r>
      <w:r w:rsidR="00F848A6">
        <w:rPr>
          <w:rFonts w:cs="Times New Roman"/>
          <w:szCs w:val="24"/>
          <w:lang w:val="fr-FR"/>
        </w:rPr>
        <w:t>impliqués dans la mise en œuvre d</w:t>
      </w:r>
      <w:r>
        <w:rPr>
          <w:rFonts w:cs="Times New Roman"/>
          <w:szCs w:val="24"/>
          <w:lang w:val="fr-FR"/>
        </w:rPr>
        <w:t xml:space="preserve">es politiques de sauvegarde </w:t>
      </w:r>
      <w:r w:rsidR="00094AE2" w:rsidRPr="003D3F80">
        <w:rPr>
          <w:rFonts w:cs="Times New Roman"/>
          <w:szCs w:val="24"/>
          <w:lang w:val="fr-FR"/>
        </w:rPr>
        <w:t>environ</w:t>
      </w:r>
      <w:r>
        <w:rPr>
          <w:rFonts w:cs="Times New Roman"/>
          <w:szCs w:val="24"/>
          <w:lang w:val="fr-FR"/>
        </w:rPr>
        <w:t>ne</w:t>
      </w:r>
      <w:r w:rsidR="00094AE2" w:rsidRPr="003D3F80">
        <w:rPr>
          <w:rFonts w:cs="Times New Roman"/>
          <w:szCs w:val="24"/>
          <w:lang w:val="fr-FR"/>
        </w:rPr>
        <w:t>mental</w:t>
      </w:r>
      <w:r>
        <w:rPr>
          <w:rFonts w:cs="Times New Roman"/>
          <w:szCs w:val="24"/>
          <w:lang w:val="fr-FR"/>
        </w:rPr>
        <w:t xml:space="preserve">e et </w:t>
      </w:r>
      <w:r w:rsidR="00094AE2" w:rsidRPr="003D3F80">
        <w:rPr>
          <w:rFonts w:cs="Times New Roman"/>
          <w:szCs w:val="24"/>
          <w:lang w:val="fr-FR"/>
        </w:rPr>
        <w:t>social</w:t>
      </w:r>
      <w:r>
        <w:rPr>
          <w:rFonts w:cs="Times New Roman"/>
          <w:szCs w:val="24"/>
          <w:lang w:val="fr-FR"/>
        </w:rPr>
        <w:t>e</w:t>
      </w:r>
      <w:r w:rsidR="00094AE2" w:rsidRPr="003D3F80">
        <w:rPr>
          <w:rFonts w:cs="Times New Roman"/>
          <w:szCs w:val="24"/>
          <w:lang w:val="fr-FR"/>
        </w:rPr>
        <w:t xml:space="preserve"> </w:t>
      </w:r>
      <w:r w:rsidR="00F848A6">
        <w:rPr>
          <w:rFonts w:cs="Times New Roman"/>
          <w:szCs w:val="24"/>
          <w:lang w:val="fr-FR"/>
        </w:rPr>
        <w:t>en vue d</w:t>
      </w:r>
      <w:r w:rsidR="001051C0">
        <w:rPr>
          <w:rFonts w:cs="Times New Roman"/>
          <w:szCs w:val="24"/>
          <w:lang w:val="fr-FR"/>
        </w:rPr>
        <w:t>’</w:t>
      </w:r>
      <w:r w:rsidR="00F848A6">
        <w:rPr>
          <w:rFonts w:cs="Times New Roman"/>
          <w:szCs w:val="24"/>
          <w:lang w:val="fr-FR"/>
        </w:rPr>
        <w:t>obtenir des résultats plus durables sur le terrain</w:t>
      </w:r>
      <w:r w:rsidR="00094AE2" w:rsidRPr="003D3F80">
        <w:rPr>
          <w:rFonts w:cs="Times New Roman"/>
          <w:szCs w:val="24"/>
          <w:lang w:val="fr-FR"/>
        </w:rPr>
        <w:t>.</w:t>
      </w:r>
    </w:p>
    <w:sectPr w:rsidR="0085263C" w:rsidSect="003B754F">
      <w:head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5B1" w:rsidRDefault="008E25B1" w:rsidP="00C1064D">
      <w:r>
        <w:separator/>
      </w:r>
    </w:p>
  </w:endnote>
  <w:endnote w:type="continuationSeparator" w:id="0">
    <w:p w:rsidR="008E25B1" w:rsidRDefault="008E25B1" w:rsidP="00C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B1" w:rsidRDefault="008E25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5B1" w:rsidRDefault="008E25B1" w:rsidP="00C1064D">
      <w:r>
        <w:separator/>
      </w:r>
    </w:p>
  </w:footnote>
  <w:footnote w:type="continuationSeparator" w:id="0">
    <w:p w:rsidR="008E25B1" w:rsidRDefault="008E25B1" w:rsidP="00C1064D">
      <w:r>
        <w:continuationSeparator/>
      </w:r>
    </w:p>
  </w:footnote>
  <w:footnote w:id="1">
    <w:p w:rsidR="008E25B1" w:rsidRPr="006362B8" w:rsidRDefault="008E25B1" w:rsidP="001D15F0">
      <w:pPr>
        <w:pStyle w:val="FootnoteText"/>
        <w:rPr>
          <w:lang w:val="fr-FR"/>
        </w:rPr>
      </w:pPr>
      <w:r w:rsidRPr="00551962">
        <w:rPr>
          <w:rStyle w:val="FootnoteReference"/>
        </w:rPr>
        <w:footnoteRef/>
      </w:r>
      <w:r w:rsidRPr="006362B8">
        <w:rPr>
          <w:lang w:val="fr-FR"/>
        </w:rPr>
        <w:t xml:space="preserve"> Avant la réorganisation de 1987, les politiques opérationnelles étaient pour l'essentiel consigné</w:t>
      </w:r>
      <w:r>
        <w:rPr>
          <w:lang w:val="fr-FR"/>
        </w:rPr>
        <w:t>es</w:t>
      </w:r>
      <w:r w:rsidRPr="006362B8">
        <w:rPr>
          <w:lang w:val="fr-FR"/>
        </w:rPr>
        <w:t xml:space="preserve"> dans les Directives du Manuel opérationnel</w:t>
      </w:r>
      <w:r>
        <w:rPr>
          <w:lang w:val="fr-FR"/>
        </w:rPr>
        <w:t xml:space="preserve"> </w:t>
      </w:r>
      <w:r w:rsidRPr="006362B8">
        <w:rPr>
          <w:lang w:val="fr-FR"/>
        </w:rPr>
        <w:t>et les Note</w:t>
      </w:r>
      <w:r>
        <w:rPr>
          <w:lang w:val="fr-FR"/>
        </w:rPr>
        <w:t>s</w:t>
      </w:r>
      <w:r w:rsidRPr="006362B8">
        <w:rPr>
          <w:lang w:val="fr-FR"/>
        </w:rPr>
        <w:t xml:space="preserve"> de politique opérationnelle que faisait paraître le Bureau du premier vice-président pour les opérations, sous l'autorité du président.</w:t>
      </w:r>
    </w:p>
  </w:footnote>
  <w:footnote w:id="2">
    <w:p w:rsidR="008E25B1" w:rsidRPr="00104E69" w:rsidRDefault="008E25B1" w:rsidP="001D15F0">
      <w:pPr>
        <w:pStyle w:val="FootnoteText"/>
        <w:jc w:val="both"/>
        <w:rPr>
          <w:lang w:val="fr-FR"/>
        </w:rPr>
      </w:pPr>
      <w:r w:rsidRPr="00551962">
        <w:rPr>
          <w:rStyle w:val="FootnoteReference"/>
        </w:rPr>
        <w:footnoteRef/>
      </w:r>
      <w:r w:rsidRPr="00104E69">
        <w:rPr>
          <w:lang w:val="fr-FR"/>
        </w:rPr>
        <w:t xml:space="preserve"> </w:t>
      </w:r>
      <w:r>
        <w:rPr>
          <w:lang w:val="fr-FR"/>
        </w:rPr>
        <w:t xml:space="preserve">Directive opérationnelle </w:t>
      </w:r>
      <w:r w:rsidRPr="00104E69">
        <w:rPr>
          <w:lang w:val="fr-FR"/>
        </w:rPr>
        <w:t xml:space="preserve">4.00, Annexe A: </w:t>
      </w:r>
      <w:r>
        <w:rPr>
          <w:lang w:val="fr-FR"/>
        </w:rPr>
        <w:t xml:space="preserve">Évaluation environnementale </w:t>
      </w:r>
      <w:r w:rsidRPr="00104E69">
        <w:rPr>
          <w:lang w:val="fr-FR"/>
        </w:rPr>
        <w:t>(1989).</w:t>
      </w:r>
    </w:p>
  </w:footnote>
  <w:footnote w:id="3">
    <w:p w:rsidR="008E25B1" w:rsidRPr="00104E69" w:rsidRDefault="008E25B1" w:rsidP="001D15F0">
      <w:pPr>
        <w:pStyle w:val="FootnoteText"/>
        <w:jc w:val="both"/>
        <w:rPr>
          <w:lang w:val="fr-FR"/>
        </w:rPr>
      </w:pPr>
      <w:r w:rsidRPr="00551962">
        <w:rPr>
          <w:rStyle w:val="FootnoteReference"/>
        </w:rPr>
        <w:footnoteRef/>
      </w:r>
      <w:r w:rsidRPr="00104E69">
        <w:rPr>
          <w:lang w:val="fr-FR"/>
        </w:rPr>
        <w:t>OP 4.01 Évaluation environnementale</w:t>
      </w:r>
      <w:r>
        <w:rPr>
          <w:lang w:val="fr-FR"/>
        </w:rPr>
        <w:t> ;</w:t>
      </w:r>
      <w:r w:rsidRPr="00104E69">
        <w:rPr>
          <w:lang w:val="fr-FR"/>
        </w:rPr>
        <w:t xml:space="preserve"> OP 4.04 Habitats naturels</w:t>
      </w:r>
      <w:r>
        <w:rPr>
          <w:lang w:val="fr-FR"/>
        </w:rPr>
        <w:t> ;</w:t>
      </w:r>
      <w:r w:rsidRPr="00104E69">
        <w:rPr>
          <w:lang w:val="fr-FR"/>
        </w:rPr>
        <w:t xml:space="preserve"> OP 4.09 Lutte antiparasitaire</w:t>
      </w:r>
      <w:r>
        <w:rPr>
          <w:lang w:val="fr-FR"/>
        </w:rPr>
        <w:t> ;</w:t>
      </w:r>
      <w:r w:rsidRPr="00104E69">
        <w:rPr>
          <w:lang w:val="fr-FR"/>
        </w:rPr>
        <w:t xml:space="preserve"> OP 4.10 Populations autochtones</w:t>
      </w:r>
      <w:r>
        <w:rPr>
          <w:lang w:val="fr-FR"/>
        </w:rPr>
        <w:t> ;</w:t>
      </w:r>
      <w:r w:rsidRPr="00104E69">
        <w:rPr>
          <w:lang w:val="fr-FR"/>
        </w:rPr>
        <w:t xml:space="preserve"> OP 4.11 Patrimoine</w:t>
      </w:r>
      <w:r>
        <w:rPr>
          <w:lang w:val="fr-FR"/>
        </w:rPr>
        <w:t xml:space="preserve"> physique et culturel ;</w:t>
      </w:r>
      <w:r w:rsidRPr="00104E69">
        <w:rPr>
          <w:lang w:val="fr-FR"/>
        </w:rPr>
        <w:t xml:space="preserve"> OP 4.12 </w:t>
      </w:r>
      <w:r>
        <w:rPr>
          <w:lang w:val="fr-FR"/>
        </w:rPr>
        <w:t>Réinstallation forcée ;</w:t>
      </w:r>
      <w:r w:rsidRPr="00104E69">
        <w:rPr>
          <w:lang w:val="fr-FR"/>
        </w:rPr>
        <w:t xml:space="preserve"> OP</w:t>
      </w:r>
      <w:r>
        <w:rPr>
          <w:lang w:val="fr-FR"/>
        </w:rPr>
        <w:t> </w:t>
      </w:r>
      <w:r w:rsidRPr="00104E69">
        <w:rPr>
          <w:lang w:val="fr-FR"/>
        </w:rPr>
        <w:t>4.36</w:t>
      </w:r>
      <w:r>
        <w:rPr>
          <w:lang w:val="fr-FR"/>
        </w:rPr>
        <w:t> Forêts ;</w:t>
      </w:r>
      <w:r w:rsidRPr="00104E69">
        <w:rPr>
          <w:lang w:val="fr-FR"/>
        </w:rPr>
        <w:t xml:space="preserve"> OP 4.37 </w:t>
      </w:r>
      <w:r>
        <w:rPr>
          <w:lang w:val="fr-FR"/>
        </w:rPr>
        <w:t>Sécurité des barrages ;</w:t>
      </w:r>
      <w:r w:rsidRPr="00104E69">
        <w:rPr>
          <w:lang w:val="fr-FR"/>
        </w:rPr>
        <w:t xml:space="preserve"> OP 7.50 </w:t>
      </w:r>
      <w:r>
        <w:rPr>
          <w:lang w:val="fr-FR"/>
        </w:rPr>
        <w:t>Projets sur les voies navigables internationales ;</w:t>
      </w:r>
      <w:r w:rsidRPr="00104E69">
        <w:rPr>
          <w:lang w:val="fr-FR"/>
        </w:rPr>
        <w:t xml:space="preserve"> OP</w:t>
      </w:r>
      <w:r>
        <w:rPr>
          <w:lang w:val="fr-FR"/>
        </w:rPr>
        <w:t> </w:t>
      </w:r>
      <w:r w:rsidRPr="00104E69">
        <w:rPr>
          <w:lang w:val="fr-FR"/>
        </w:rPr>
        <w:t>7.60</w:t>
      </w:r>
      <w:r>
        <w:rPr>
          <w:lang w:val="fr-FR"/>
        </w:rPr>
        <w:t> Projets sur les territoires contestés</w:t>
      </w:r>
      <w:r w:rsidRPr="00104E69">
        <w:rPr>
          <w:lang w:val="fr-FR"/>
        </w:rPr>
        <w:t>.</w:t>
      </w:r>
    </w:p>
  </w:footnote>
  <w:footnote w:id="4">
    <w:p w:rsidR="008E25B1" w:rsidRPr="00551962" w:rsidRDefault="008E25B1" w:rsidP="003B754F">
      <w:pPr>
        <w:pStyle w:val="FootnoteText"/>
      </w:pPr>
      <w:r w:rsidRPr="00551962">
        <w:rPr>
          <w:rStyle w:val="FootnoteReference"/>
        </w:rPr>
        <w:footnoteRef/>
      </w:r>
      <w:r w:rsidRPr="00551962">
        <w:t xml:space="preserve"> “Safeguards and Sustainability in a Changing World: An Independent Evaluation of World Bank Group Experience,” </w:t>
      </w:r>
      <w:hyperlink r:id="rId1" w:history="1">
        <w:r w:rsidRPr="00551962">
          <w:t>http://go.worldbank.org/ZA4YFV9OL0</w:t>
        </w:r>
      </w:hyperlink>
      <w:r w:rsidRPr="00551962">
        <w:t>.</w:t>
      </w:r>
      <w:r>
        <w:t xml:space="preserve"> </w:t>
      </w:r>
    </w:p>
  </w:footnote>
  <w:footnote w:id="5">
    <w:p w:rsidR="008E25B1" w:rsidRPr="00F40798" w:rsidRDefault="008E25B1">
      <w:pPr>
        <w:pStyle w:val="FootnoteText"/>
        <w:rPr>
          <w:lang w:val="fr-CH"/>
        </w:rPr>
      </w:pPr>
      <w:r>
        <w:rPr>
          <w:rStyle w:val="FootnoteReference"/>
        </w:rPr>
        <w:footnoteRef/>
      </w:r>
      <w:r w:rsidRPr="002508ED">
        <w:rPr>
          <w:lang w:val="fr-CH"/>
        </w:rPr>
        <w:t xml:space="preserve"> </w:t>
      </w:r>
      <w:r>
        <w:rPr>
          <w:lang w:val="fr-CH"/>
        </w:rPr>
        <w:t>Réponse de la direction/Relevé d'interventions de la direction</w:t>
      </w:r>
      <w:r w:rsidRPr="002508ED">
        <w:rPr>
          <w:lang w:val="fr-CH"/>
        </w:rPr>
        <w:t>,</w:t>
      </w:r>
      <w:r>
        <w:rPr>
          <w:lang w:val="fr-CH"/>
        </w:rPr>
        <w:t xml:space="preserve"> </w:t>
      </w:r>
      <w:hyperlink r:id="rId2" w:history="1">
        <w:r w:rsidRPr="002508ED">
          <w:rPr>
            <w:rStyle w:val="Hyperlink"/>
            <w:lang w:val="fr-CH"/>
          </w:rPr>
          <w:t>http://go.worldbank.org/ZA4YFV9OL0</w:t>
        </w:r>
      </w:hyperlink>
      <w:r>
        <w:rPr>
          <w:lang w:val="fr-CH"/>
        </w:rPr>
        <w:t>.</w:t>
      </w:r>
      <w:r w:rsidRPr="002508ED">
        <w:rPr>
          <w:lang w:val="fr-CH"/>
        </w:rPr>
        <w:t xml:space="preserve"> </w:t>
      </w:r>
    </w:p>
  </w:footnote>
  <w:footnote w:id="6">
    <w:p w:rsidR="008E25B1" w:rsidRPr="00BA3785" w:rsidRDefault="008E25B1" w:rsidP="00E53177">
      <w:pPr>
        <w:pStyle w:val="FootnoteText"/>
        <w:rPr>
          <w:lang w:val="fr-FR"/>
        </w:rPr>
      </w:pPr>
      <w:r w:rsidRPr="00551962">
        <w:rPr>
          <w:rStyle w:val="FootnoteReference"/>
        </w:rPr>
        <w:footnoteRef/>
      </w:r>
      <w:r w:rsidRPr="00BA3785">
        <w:rPr>
          <w:lang w:val="fr-FR"/>
        </w:rPr>
        <w:t xml:space="preserve"> Voir le site web sur l'efficacité de l'aide  http://www.oecd.org/dac/aideffectiveness/. </w:t>
      </w:r>
      <w:r w:rsidRPr="00BA3785">
        <w:rPr>
          <w:bCs/>
          <w:color w:val="333333"/>
          <w:lang w:val="fr-FR"/>
        </w:rPr>
        <w:t xml:space="preserve">La Déclaration de Paris, approuvée le 2 mars 2005, est un accord international passé entre plus de 100 ministres, dirigeants d’organisations et autres représentants officiels de haut niveau par lequel les pays et organisations concernés se sont engagés à intensifier leurs efforts d’harmonisation, d’alignement et de gestion de l’aide </w:t>
      </w:r>
      <w:r>
        <w:rPr>
          <w:bCs/>
          <w:color w:val="333333"/>
          <w:lang w:val="fr-FR"/>
        </w:rPr>
        <w:t xml:space="preserve">par les résultats, au moyen </w:t>
      </w:r>
      <w:r w:rsidRPr="00BA3785">
        <w:rPr>
          <w:bCs/>
          <w:color w:val="333333"/>
          <w:lang w:val="fr-FR"/>
        </w:rPr>
        <w:t xml:space="preserve"> d’un ensemble d’interventions et d’indicateurs mesurables</w:t>
      </w:r>
      <w:r w:rsidRPr="00BA3785">
        <w:rPr>
          <w:color w:val="333333"/>
          <w:lang w:val="fr-FR"/>
        </w:rPr>
        <w:t xml:space="preserve">. </w:t>
      </w:r>
    </w:p>
  </w:footnote>
  <w:footnote w:id="7">
    <w:p w:rsidR="008E25B1" w:rsidRPr="00877A8C" w:rsidRDefault="008E25B1">
      <w:pPr>
        <w:pStyle w:val="FootnoteText"/>
        <w:rPr>
          <w:lang w:val="fr-FR"/>
        </w:rPr>
      </w:pPr>
      <w:r>
        <w:rPr>
          <w:rStyle w:val="FootnoteReference"/>
        </w:rPr>
        <w:footnoteRef/>
      </w:r>
      <w:r w:rsidRPr="00877A8C">
        <w:rPr>
          <w:lang w:val="fr-FR"/>
        </w:rPr>
        <w:t xml:space="preserve"> Établi en 2008, le Programme d'action d'Accra s'appuie sur les engagements </w:t>
      </w:r>
      <w:r>
        <w:rPr>
          <w:lang w:val="fr-FR"/>
        </w:rPr>
        <w:t xml:space="preserve">pris </w:t>
      </w:r>
      <w:r w:rsidRPr="00877A8C">
        <w:rPr>
          <w:lang w:val="fr-FR"/>
        </w:rPr>
        <w:t xml:space="preserve">dans le cadre de la Déclaration de Paris. </w:t>
      </w:r>
    </w:p>
  </w:footnote>
  <w:footnote w:id="8">
    <w:p w:rsidR="008E25B1" w:rsidRPr="00B04BD1" w:rsidRDefault="008E25B1">
      <w:pPr>
        <w:pStyle w:val="FootnoteText"/>
        <w:rPr>
          <w:lang w:val="fr-FR"/>
        </w:rPr>
      </w:pPr>
      <w:r>
        <w:rPr>
          <w:rStyle w:val="FootnoteReference"/>
        </w:rPr>
        <w:footnoteRef/>
      </w:r>
      <w:r w:rsidRPr="00B04BD1">
        <w:rPr>
          <w:lang w:val="fr-FR"/>
        </w:rPr>
        <w:t xml:space="preserve"> </w:t>
      </w:r>
      <w:hyperlink r:id="rId3" w:history="1">
        <w:r w:rsidRPr="00B04BD1">
          <w:rPr>
            <w:rStyle w:val="Hyperlink"/>
            <w:lang w:val="fr-FR"/>
          </w:rPr>
          <w:t>http://www.aideffectiveness.org/busanhlf4/</w:t>
        </w:r>
      </w:hyperlink>
      <w:r w:rsidRPr="00B04BD1">
        <w:rPr>
          <w:lang w:val="fr-FR"/>
        </w:rPr>
        <w:t>.</w:t>
      </w:r>
    </w:p>
  </w:footnote>
  <w:footnote w:id="9">
    <w:p w:rsidR="008E25B1" w:rsidRPr="00877A8C" w:rsidRDefault="008E25B1" w:rsidP="008E6047">
      <w:pPr>
        <w:pStyle w:val="FootnoteText"/>
        <w:rPr>
          <w:rFonts w:cs="Times New Roman"/>
          <w:lang w:val="fr-FR"/>
        </w:rPr>
      </w:pPr>
      <w:r w:rsidRPr="00551962">
        <w:rPr>
          <w:rStyle w:val="FootnoteReference"/>
          <w:rFonts w:cs="Times New Roman"/>
        </w:rPr>
        <w:footnoteRef/>
      </w:r>
      <w:r w:rsidRPr="00877A8C">
        <w:rPr>
          <w:rFonts w:cs="Times New Roman"/>
          <w:lang w:val="fr-FR"/>
        </w:rPr>
        <w:t xml:space="preserve"> </w:t>
      </w:r>
      <w:r>
        <w:rPr>
          <w:rFonts w:cs="Times New Roman"/>
          <w:lang w:val="fr-FR"/>
        </w:rPr>
        <w:t xml:space="preserve">Voir </w:t>
      </w:r>
      <w:r w:rsidRPr="00877A8C">
        <w:rPr>
          <w:rFonts w:cs="Times New Roman"/>
          <w:lang w:val="fr-FR"/>
        </w:rPr>
        <w:t xml:space="preserve">le site de la </w:t>
      </w:r>
      <w:r>
        <w:rPr>
          <w:rFonts w:cs="Times New Roman"/>
          <w:lang w:val="fr-FR"/>
        </w:rPr>
        <w:t xml:space="preserve">Banque </w:t>
      </w:r>
      <w:r w:rsidRPr="00877A8C">
        <w:rPr>
          <w:rFonts w:cs="Times New Roman"/>
          <w:lang w:val="fr-FR"/>
        </w:rPr>
        <w:t>sur cette question</w:t>
      </w:r>
      <w:r>
        <w:rPr>
          <w:rFonts w:cs="Times New Roman"/>
          <w:lang w:val="fr-FR"/>
        </w:rPr>
        <w:t xml:space="preserve"> (</w:t>
      </w:r>
      <w:hyperlink r:id="rId4" w:history="1">
        <w:r w:rsidRPr="00877A8C">
          <w:rPr>
            <w:rFonts w:cs="Times New Roman"/>
            <w:color w:val="204E84"/>
            <w:u w:val="single"/>
            <w:lang w:val="fr-FR"/>
          </w:rPr>
          <w:t>http://go.worldbank.org/RHRJVXDW60</w:t>
        </w:r>
      </w:hyperlink>
      <w:r w:rsidRPr="00877A8C">
        <w:rPr>
          <w:lang w:val="fr-FR"/>
        </w:rPr>
        <w:t>)</w:t>
      </w:r>
      <w:r w:rsidRPr="00877A8C">
        <w:rPr>
          <w:rFonts w:cs="Times New Roman"/>
          <w:lang w:val="fr-FR"/>
        </w:rPr>
        <w:t>.</w:t>
      </w:r>
    </w:p>
  </w:footnote>
  <w:footnote w:id="10">
    <w:p w:rsidR="008E25B1" w:rsidRPr="00D9311A" w:rsidRDefault="008E25B1" w:rsidP="008F28C5">
      <w:pPr>
        <w:pStyle w:val="FootnoteText"/>
        <w:rPr>
          <w:rFonts w:cs="Times New Roman"/>
          <w:lang w:val="fr-FR"/>
        </w:rPr>
      </w:pPr>
      <w:r w:rsidRPr="00551962">
        <w:rPr>
          <w:rStyle w:val="FootnoteReference"/>
          <w:rFonts w:cs="Times New Roman"/>
        </w:rPr>
        <w:footnoteRef/>
      </w:r>
      <w:r w:rsidRPr="00D9311A">
        <w:rPr>
          <w:rFonts w:cs="Times New Roman"/>
          <w:lang w:val="fr-FR"/>
        </w:rPr>
        <w:t xml:space="preserve"> Voir le site web </w:t>
      </w:r>
      <w:r>
        <w:rPr>
          <w:rFonts w:cs="Times New Roman"/>
          <w:lang w:val="fr-FR"/>
        </w:rPr>
        <w:t xml:space="preserve">de </w:t>
      </w:r>
      <w:r w:rsidRPr="00D9311A">
        <w:rPr>
          <w:rFonts w:cs="Times New Roman"/>
          <w:lang w:val="fr-FR"/>
        </w:rPr>
        <w:t xml:space="preserve">la réforme des prêts d'investissement </w:t>
      </w:r>
      <w:r>
        <w:rPr>
          <w:rFonts w:cs="Times New Roman"/>
          <w:lang w:val="fr-FR"/>
        </w:rPr>
        <w:t>(</w:t>
      </w:r>
      <w:r w:rsidRPr="00D9311A">
        <w:rPr>
          <w:rFonts w:cs="Times New Roman"/>
          <w:lang w:val="fr-FR"/>
        </w:rPr>
        <w:t xml:space="preserve"> </w:t>
      </w:r>
      <w:hyperlink r:id="rId5" w:history="1">
        <w:r w:rsidRPr="00D9311A">
          <w:rPr>
            <w:rStyle w:val="Hyperlink"/>
            <w:rFonts w:cs="Times New Roman"/>
            <w:color w:val="204E84"/>
            <w:lang w:val="fr-FR"/>
          </w:rPr>
          <w:t>http://go.worldbank.org/QE64AT0D50</w:t>
        </w:r>
      </w:hyperlink>
      <w:r w:rsidRPr="00D9311A">
        <w:rPr>
          <w:lang w:val="fr-FR"/>
        </w:rPr>
        <w:t>).</w:t>
      </w:r>
    </w:p>
  </w:footnote>
  <w:footnote w:id="11">
    <w:p w:rsidR="008E25B1" w:rsidRPr="00551962" w:rsidRDefault="008E25B1" w:rsidP="00263C05">
      <w:pPr>
        <w:pStyle w:val="FootnoteText"/>
        <w:rPr>
          <w:rFonts w:cs="Times New Roman"/>
        </w:rPr>
      </w:pPr>
      <w:r w:rsidRPr="00551962">
        <w:rPr>
          <w:rStyle w:val="FootnoteReference"/>
          <w:rFonts w:cs="Times New Roman"/>
        </w:rPr>
        <w:footnoteRef/>
      </w:r>
      <w:r>
        <w:rPr>
          <w:rFonts w:cs="Times New Roman"/>
        </w:rPr>
        <w:t xml:space="preserve"> </w:t>
      </w:r>
      <w:r w:rsidRPr="005B07A6">
        <w:rPr>
          <w:rFonts w:cs="Times New Roman"/>
          <w:i/>
        </w:rPr>
        <w:t>Proposed Adoption and Application of World Bank Performance Standards for Private Sector Projects Supported by IBRD/IDA</w:t>
      </w:r>
      <w:r>
        <w:rPr>
          <w:rFonts w:cs="Times New Roman"/>
        </w:rPr>
        <w:t xml:space="preserve"> (R2012-0130).</w:t>
      </w:r>
    </w:p>
  </w:footnote>
  <w:footnote w:id="12">
    <w:p w:rsidR="008E25B1" w:rsidRPr="00760C5A" w:rsidRDefault="008E25B1" w:rsidP="00362A53">
      <w:pPr>
        <w:pStyle w:val="FootnoteText"/>
        <w:rPr>
          <w:rFonts w:cs="Times New Roman"/>
          <w:lang w:val="fr-FR"/>
        </w:rPr>
      </w:pPr>
      <w:r w:rsidRPr="00551962">
        <w:rPr>
          <w:rStyle w:val="FootnoteReference"/>
          <w:rFonts w:cs="Times New Roman"/>
        </w:rPr>
        <w:footnoteRef/>
      </w:r>
      <w:r w:rsidRPr="00760C5A">
        <w:rPr>
          <w:rFonts w:cs="Times New Roman"/>
          <w:lang w:val="fr-FR"/>
        </w:rPr>
        <w:t xml:space="preserve"> Pour une comparaison </w:t>
      </w:r>
      <w:r>
        <w:rPr>
          <w:rFonts w:cs="Times New Roman"/>
          <w:lang w:val="fr-FR"/>
        </w:rPr>
        <w:t>détaillée des politiques de sauvegarde et des Normes  de performance de l'IFC (version de 2012)</w:t>
      </w:r>
      <w:r w:rsidRPr="00760C5A">
        <w:rPr>
          <w:rFonts w:cs="Times New Roman"/>
          <w:lang w:val="fr-FR"/>
        </w:rPr>
        <w:t xml:space="preserve">, </w:t>
      </w:r>
      <w:r>
        <w:rPr>
          <w:rFonts w:cs="Times New Roman"/>
          <w:lang w:val="fr-FR"/>
        </w:rPr>
        <w:t>voir le site de l'IFC  (</w:t>
      </w:r>
      <w:r w:rsidRPr="00760C5A">
        <w:rPr>
          <w:rFonts w:cs="Times New Roman"/>
          <w:lang w:val="fr-FR"/>
        </w:rPr>
        <w:t>www.ifc.org/sustainability</w:t>
      </w:r>
      <w:r>
        <w:rPr>
          <w:rFonts w:cs="Times New Roman"/>
          <w:lang w:val="fr-FR"/>
        </w:rPr>
        <w:t>)</w:t>
      </w:r>
      <w:r w:rsidRPr="00760C5A">
        <w:rPr>
          <w:rFonts w:cs="Times New Roman"/>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B1" w:rsidRDefault="008E25B1" w:rsidP="002508E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23434"/>
      <w:docPartObj>
        <w:docPartGallery w:val="Page Numbers (Top of Page)"/>
        <w:docPartUnique/>
      </w:docPartObj>
    </w:sdtPr>
    <w:sdtEndPr/>
    <w:sdtContent>
      <w:p w:rsidR="008E25B1" w:rsidRDefault="008E25B1">
        <w:pPr>
          <w:pStyle w:val="Header"/>
        </w:pPr>
        <w:r>
          <w:tab/>
        </w:r>
        <w:r w:rsidR="009F6210">
          <w:fldChar w:fldCharType="begin"/>
        </w:r>
        <w:r w:rsidR="009F6210">
          <w:instrText xml:space="preserve"> PAGE   \* MERGEFORMAT </w:instrText>
        </w:r>
        <w:r w:rsidR="009F6210">
          <w:fldChar w:fldCharType="separate"/>
        </w:r>
        <w:r w:rsidR="009F6210">
          <w:rPr>
            <w:noProof/>
          </w:rPr>
          <w:t>20</w:t>
        </w:r>
        <w:r w:rsidR="009F6210">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EA0EA730"/>
    <w:lvl w:ilvl="0">
      <w:numFmt w:val="bullet"/>
      <w:lvlText w:val="*"/>
      <w:lvlJc w:val="left"/>
    </w:lvl>
  </w:abstractNum>
  <w:abstractNum w:abstractNumId="3">
    <w:nsid w:val="00F14B9D"/>
    <w:multiLevelType w:val="hybridMultilevel"/>
    <w:tmpl w:val="85208576"/>
    <w:lvl w:ilvl="0" w:tplc="366093F8">
      <w:start w:val="3"/>
      <w:numFmt w:val="decimal"/>
      <w:lvlText w:val="%1."/>
      <w:lvlJc w:val="left"/>
      <w:pPr>
        <w:ind w:left="360" w:hanging="360"/>
      </w:pPr>
      <w:rPr>
        <w:rFonts w:cstheme="minorBidi"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410682"/>
    <w:multiLevelType w:val="hybridMultilevel"/>
    <w:tmpl w:val="D5E677BA"/>
    <w:lvl w:ilvl="0" w:tplc="BBBA718A">
      <w:start w:val="1"/>
      <w:numFmt w:val="bullet"/>
      <w:lvlText w:val=""/>
      <w:lvlJc w:val="left"/>
      <w:pPr>
        <w:tabs>
          <w:tab w:val="num" w:pos="720"/>
        </w:tabs>
        <w:ind w:left="720" w:hanging="360"/>
      </w:pPr>
      <w:rPr>
        <w:rFonts w:ascii="Wingdings 2" w:hAnsi="Wingdings 2" w:hint="default"/>
      </w:rPr>
    </w:lvl>
    <w:lvl w:ilvl="1" w:tplc="32707784" w:tentative="1">
      <w:start w:val="1"/>
      <w:numFmt w:val="bullet"/>
      <w:lvlText w:val=""/>
      <w:lvlJc w:val="left"/>
      <w:pPr>
        <w:tabs>
          <w:tab w:val="num" w:pos="1440"/>
        </w:tabs>
        <w:ind w:left="1440" w:hanging="360"/>
      </w:pPr>
      <w:rPr>
        <w:rFonts w:ascii="Wingdings 2" w:hAnsi="Wingdings 2" w:hint="default"/>
      </w:rPr>
    </w:lvl>
    <w:lvl w:ilvl="2" w:tplc="A7222BD6" w:tentative="1">
      <w:start w:val="1"/>
      <w:numFmt w:val="bullet"/>
      <w:lvlText w:val=""/>
      <w:lvlJc w:val="left"/>
      <w:pPr>
        <w:tabs>
          <w:tab w:val="num" w:pos="2160"/>
        </w:tabs>
        <w:ind w:left="2160" w:hanging="360"/>
      </w:pPr>
      <w:rPr>
        <w:rFonts w:ascii="Wingdings 2" w:hAnsi="Wingdings 2" w:hint="default"/>
      </w:rPr>
    </w:lvl>
    <w:lvl w:ilvl="3" w:tplc="1CF66BB4" w:tentative="1">
      <w:start w:val="1"/>
      <w:numFmt w:val="bullet"/>
      <w:lvlText w:val=""/>
      <w:lvlJc w:val="left"/>
      <w:pPr>
        <w:tabs>
          <w:tab w:val="num" w:pos="2880"/>
        </w:tabs>
        <w:ind w:left="2880" w:hanging="360"/>
      </w:pPr>
      <w:rPr>
        <w:rFonts w:ascii="Wingdings 2" w:hAnsi="Wingdings 2" w:hint="default"/>
      </w:rPr>
    </w:lvl>
    <w:lvl w:ilvl="4" w:tplc="5366C12C" w:tentative="1">
      <w:start w:val="1"/>
      <w:numFmt w:val="bullet"/>
      <w:lvlText w:val=""/>
      <w:lvlJc w:val="left"/>
      <w:pPr>
        <w:tabs>
          <w:tab w:val="num" w:pos="3600"/>
        </w:tabs>
        <w:ind w:left="3600" w:hanging="360"/>
      </w:pPr>
      <w:rPr>
        <w:rFonts w:ascii="Wingdings 2" w:hAnsi="Wingdings 2" w:hint="default"/>
      </w:rPr>
    </w:lvl>
    <w:lvl w:ilvl="5" w:tplc="6F86D89A" w:tentative="1">
      <w:start w:val="1"/>
      <w:numFmt w:val="bullet"/>
      <w:lvlText w:val=""/>
      <w:lvlJc w:val="left"/>
      <w:pPr>
        <w:tabs>
          <w:tab w:val="num" w:pos="4320"/>
        </w:tabs>
        <w:ind w:left="4320" w:hanging="360"/>
      </w:pPr>
      <w:rPr>
        <w:rFonts w:ascii="Wingdings 2" w:hAnsi="Wingdings 2" w:hint="default"/>
      </w:rPr>
    </w:lvl>
    <w:lvl w:ilvl="6" w:tplc="0C3CA6EC" w:tentative="1">
      <w:start w:val="1"/>
      <w:numFmt w:val="bullet"/>
      <w:lvlText w:val=""/>
      <w:lvlJc w:val="left"/>
      <w:pPr>
        <w:tabs>
          <w:tab w:val="num" w:pos="5040"/>
        </w:tabs>
        <w:ind w:left="5040" w:hanging="360"/>
      </w:pPr>
      <w:rPr>
        <w:rFonts w:ascii="Wingdings 2" w:hAnsi="Wingdings 2" w:hint="default"/>
      </w:rPr>
    </w:lvl>
    <w:lvl w:ilvl="7" w:tplc="584233E2" w:tentative="1">
      <w:start w:val="1"/>
      <w:numFmt w:val="bullet"/>
      <w:lvlText w:val=""/>
      <w:lvlJc w:val="left"/>
      <w:pPr>
        <w:tabs>
          <w:tab w:val="num" w:pos="5760"/>
        </w:tabs>
        <w:ind w:left="5760" w:hanging="360"/>
      </w:pPr>
      <w:rPr>
        <w:rFonts w:ascii="Wingdings 2" w:hAnsi="Wingdings 2" w:hint="default"/>
      </w:rPr>
    </w:lvl>
    <w:lvl w:ilvl="8" w:tplc="DBAAB44E" w:tentative="1">
      <w:start w:val="1"/>
      <w:numFmt w:val="bullet"/>
      <w:lvlText w:val=""/>
      <w:lvlJc w:val="left"/>
      <w:pPr>
        <w:tabs>
          <w:tab w:val="num" w:pos="6480"/>
        </w:tabs>
        <w:ind w:left="6480" w:hanging="360"/>
      </w:pPr>
      <w:rPr>
        <w:rFonts w:ascii="Wingdings 2" w:hAnsi="Wingdings 2" w:hint="default"/>
      </w:rPr>
    </w:lvl>
  </w:abstractNum>
  <w:abstractNum w:abstractNumId="5">
    <w:nsid w:val="08165A2D"/>
    <w:multiLevelType w:val="hybridMultilevel"/>
    <w:tmpl w:val="67685A64"/>
    <w:lvl w:ilvl="0" w:tplc="366093F8">
      <w:start w:val="3"/>
      <w:numFmt w:val="decimal"/>
      <w:lvlText w:val="%1."/>
      <w:lvlJc w:val="left"/>
      <w:pPr>
        <w:ind w:left="360" w:hanging="360"/>
      </w:pPr>
      <w:rPr>
        <w:rFonts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67452"/>
    <w:multiLevelType w:val="hybridMultilevel"/>
    <w:tmpl w:val="85B0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04BA1"/>
    <w:multiLevelType w:val="hybridMultilevel"/>
    <w:tmpl w:val="33803BBE"/>
    <w:lvl w:ilvl="0" w:tplc="5650B184">
      <w:start w:val="1"/>
      <w:numFmt w:val="bullet"/>
      <w:lvlText w:val=""/>
      <w:lvlJc w:val="left"/>
      <w:pPr>
        <w:tabs>
          <w:tab w:val="num" w:pos="720"/>
        </w:tabs>
        <w:ind w:left="720" w:hanging="360"/>
      </w:pPr>
      <w:rPr>
        <w:rFonts w:ascii="Wingdings 2" w:hAnsi="Wingdings 2" w:hint="default"/>
      </w:rPr>
    </w:lvl>
    <w:lvl w:ilvl="1" w:tplc="A5B80A7C" w:tentative="1">
      <w:start w:val="1"/>
      <w:numFmt w:val="bullet"/>
      <w:lvlText w:val=""/>
      <w:lvlJc w:val="left"/>
      <w:pPr>
        <w:tabs>
          <w:tab w:val="num" w:pos="1440"/>
        </w:tabs>
        <w:ind w:left="1440" w:hanging="360"/>
      </w:pPr>
      <w:rPr>
        <w:rFonts w:ascii="Wingdings 2" w:hAnsi="Wingdings 2" w:hint="default"/>
      </w:rPr>
    </w:lvl>
    <w:lvl w:ilvl="2" w:tplc="A6B62C94" w:tentative="1">
      <w:start w:val="1"/>
      <w:numFmt w:val="bullet"/>
      <w:lvlText w:val=""/>
      <w:lvlJc w:val="left"/>
      <w:pPr>
        <w:tabs>
          <w:tab w:val="num" w:pos="2160"/>
        </w:tabs>
        <w:ind w:left="2160" w:hanging="360"/>
      </w:pPr>
      <w:rPr>
        <w:rFonts w:ascii="Wingdings 2" w:hAnsi="Wingdings 2" w:hint="default"/>
      </w:rPr>
    </w:lvl>
    <w:lvl w:ilvl="3" w:tplc="B7722EFA" w:tentative="1">
      <w:start w:val="1"/>
      <w:numFmt w:val="bullet"/>
      <w:lvlText w:val=""/>
      <w:lvlJc w:val="left"/>
      <w:pPr>
        <w:tabs>
          <w:tab w:val="num" w:pos="2880"/>
        </w:tabs>
        <w:ind w:left="2880" w:hanging="360"/>
      </w:pPr>
      <w:rPr>
        <w:rFonts w:ascii="Wingdings 2" w:hAnsi="Wingdings 2" w:hint="default"/>
      </w:rPr>
    </w:lvl>
    <w:lvl w:ilvl="4" w:tplc="87C64CF6" w:tentative="1">
      <w:start w:val="1"/>
      <w:numFmt w:val="bullet"/>
      <w:lvlText w:val=""/>
      <w:lvlJc w:val="left"/>
      <w:pPr>
        <w:tabs>
          <w:tab w:val="num" w:pos="3600"/>
        </w:tabs>
        <w:ind w:left="3600" w:hanging="360"/>
      </w:pPr>
      <w:rPr>
        <w:rFonts w:ascii="Wingdings 2" w:hAnsi="Wingdings 2" w:hint="default"/>
      </w:rPr>
    </w:lvl>
    <w:lvl w:ilvl="5" w:tplc="C73E1E98" w:tentative="1">
      <w:start w:val="1"/>
      <w:numFmt w:val="bullet"/>
      <w:lvlText w:val=""/>
      <w:lvlJc w:val="left"/>
      <w:pPr>
        <w:tabs>
          <w:tab w:val="num" w:pos="4320"/>
        </w:tabs>
        <w:ind w:left="4320" w:hanging="360"/>
      </w:pPr>
      <w:rPr>
        <w:rFonts w:ascii="Wingdings 2" w:hAnsi="Wingdings 2" w:hint="default"/>
      </w:rPr>
    </w:lvl>
    <w:lvl w:ilvl="6" w:tplc="168A135C" w:tentative="1">
      <w:start w:val="1"/>
      <w:numFmt w:val="bullet"/>
      <w:lvlText w:val=""/>
      <w:lvlJc w:val="left"/>
      <w:pPr>
        <w:tabs>
          <w:tab w:val="num" w:pos="5040"/>
        </w:tabs>
        <w:ind w:left="5040" w:hanging="360"/>
      </w:pPr>
      <w:rPr>
        <w:rFonts w:ascii="Wingdings 2" w:hAnsi="Wingdings 2" w:hint="default"/>
      </w:rPr>
    </w:lvl>
    <w:lvl w:ilvl="7" w:tplc="20A22FE8" w:tentative="1">
      <w:start w:val="1"/>
      <w:numFmt w:val="bullet"/>
      <w:lvlText w:val=""/>
      <w:lvlJc w:val="left"/>
      <w:pPr>
        <w:tabs>
          <w:tab w:val="num" w:pos="5760"/>
        </w:tabs>
        <w:ind w:left="5760" w:hanging="360"/>
      </w:pPr>
      <w:rPr>
        <w:rFonts w:ascii="Wingdings 2" w:hAnsi="Wingdings 2" w:hint="default"/>
      </w:rPr>
    </w:lvl>
    <w:lvl w:ilvl="8" w:tplc="4F3AC980" w:tentative="1">
      <w:start w:val="1"/>
      <w:numFmt w:val="bullet"/>
      <w:lvlText w:val=""/>
      <w:lvlJc w:val="left"/>
      <w:pPr>
        <w:tabs>
          <w:tab w:val="num" w:pos="6480"/>
        </w:tabs>
        <w:ind w:left="6480" w:hanging="360"/>
      </w:pPr>
      <w:rPr>
        <w:rFonts w:ascii="Wingdings 2" w:hAnsi="Wingdings 2" w:hint="default"/>
      </w:rPr>
    </w:lvl>
  </w:abstractNum>
  <w:abstractNum w:abstractNumId="8">
    <w:nsid w:val="35732AA7"/>
    <w:multiLevelType w:val="hybridMultilevel"/>
    <w:tmpl w:val="0B6C9ECA"/>
    <w:lvl w:ilvl="0" w:tplc="493260AC">
      <w:start w:val="1"/>
      <w:numFmt w:val="decimal"/>
      <w:pStyle w:val="ippara2"/>
      <w:lvlText w:val="%1."/>
      <w:lvlJc w:val="left"/>
      <w:pPr>
        <w:ind w:left="5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63229"/>
    <w:multiLevelType w:val="hybridMultilevel"/>
    <w:tmpl w:val="B2FAB9BA"/>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65C7A"/>
    <w:multiLevelType w:val="hybridMultilevel"/>
    <w:tmpl w:val="0950A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AB2285"/>
    <w:multiLevelType w:val="hybridMultilevel"/>
    <w:tmpl w:val="2FB6E1C8"/>
    <w:lvl w:ilvl="0" w:tplc="38B4C8D6">
      <w:start w:val="2"/>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41B0C"/>
    <w:multiLevelType w:val="hybridMultilevel"/>
    <w:tmpl w:val="A09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1437C"/>
    <w:multiLevelType w:val="hybridMultilevel"/>
    <w:tmpl w:val="637AC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705E86"/>
    <w:multiLevelType w:val="hybridMultilevel"/>
    <w:tmpl w:val="AB623BC6"/>
    <w:lvl w:ilvl="0" w:tplc="04090001">
      <w:start w:val="1"/>
      <w:numFmt w:val="bullet"/>
      <w:lvlText w:val=""/>
      <w:lvlJc w:val="left"/>
      <w:pPr>
        <w:ind w:left="45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97AFD"/>
    <w:multiLevelType w:val="hybridMultilevel"/>
    <w:tmpl w:val="0CC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817DC"/>
    <w:multiLevelType w:val="hybridMultilevel"/>
    <w:tmpl w:val="EC1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5"/>
  </w:num>
  <w:num w:numId="5">
    <w:abstractNumId w:val="6"/>
  </w:num>
  <w:num w:numId="6">
    <w:abstractNumId w:val="1"/>
  </w:num>
  <w:num w:numId="7">
    <w:abstractNumId w:val="0"/>
  </w:num>
  <w:num w:numId="8">
    <w:abstractNumId w:val="10"/>
  </w:num>
  <w:num w:numId="9">
    <w:abstractNumId w:val="13"/>
  </w:num>
  <w:num w:numId="10">
    <w:abstractNumId w:val="14"/>
  </w:num>
  <w:num w:numId="11">
    <w:abstractNumId w:val="11"/>
  </w:num>
  <w:num w:numId="12">
    <w:abstractNumId w:val="3"/>
  </w:num>
  <w:num w:numId="13">
    <w:abstractNumId w:val="5"/>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6"/>
  </w:num>
  <w:num w:numId="38">
    <w:abstractNumId w:val="9"/>
  </w:num>
  <w:num w:numId="39">
    <w:abstractNumId w:val="2"/>
    <w:lvlOverride w:ilvl="0">
      <w:lvl w:ilvl="0">
        <w:numFmt w:val="bullet"/>
        <w:lvlText w:val=""/>
        <w:legacy w:legacy="1" w:legacySpace="0" w:legacyIndent="0"/>
        <w:lvlJc w:val="left"/>
        <w:rPr>
          <w:rFonts w:ascii="Symbol" w:hAnsi="Symbol" w:hint="default"/>
          <w:sz w:val="22"/>
        </w:rPr>
      </w:lvl>
    </w:lvlOverride>
  </w:num>
  <w:num w:numId="4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docVars>
    <w:docVar w:name="dgnword-docGUID" w:val="{58D36F3F-5825-4FD1-8FF5-A0AFB272EC2A}"/>
    <w:docVar w:name="dgnword-eventsink" w:val="46939472"/>
  </w:docVars>
  <w:rsids>
    <w:rsidRoot w:val="00603C93"/>
    <w:rsid w:val="00000255"/>
    <w:rsid w:val="00000B9B"/>
    <w:rsid w:val="000032EE"/>
    <w:rsid w:val="00006BF0"/>
    <w:rsid w:val="000078D3"/>
    <w:rsid w:val="00011A20"/>
    <w:rsid w:val="00011D52"/>
    <w:rsid w:val="00012A61"/>
    <w:rsid w:val="00013A04"/>
    <w:rsid w:val="00016A7C"/>
    <w:rsid w:val="00016DBC"/>
    <w:rsid w:val="000172FD"/>
    <w:rsid w:val="00020059"/>
    <w:rsid w:val="0002080B"/>
    <w:rsid w:val="00021AEA"/>
    <w:rsid w:val="00023170"/>
    <w:rsid w:val="00024E84"/>
    <w:rsid w:val="00025AE0"/>
    <w:rsid w:val="00025EE8"/>
    <w:rsid w:val="000263CE"/>
    <w:rsid w:val="00026607"/>
    <w:rsid w:val="00027A17"/>
    <w:rsid w:val="00027AA5"/>
    <w:rsid w:val="000304B8"/>
    <w:rsid w:val="00031C2B"/>
    <w:rsid w:val="00032883"/>
    <w:rsid w:val="00034174"/>
    <w:rsid w:val="0004148B"/>
    <w:rsid w:val="000441DA"/>
    <w:rsid w:val="00045572"/>
    <w:rsid w:val="00045E43"/>
    <w:rsid w:val="000475A3"/>
    <w:rsid w:val="000501E9"/>
    <w:rsid w:val="0005062E"/>
    <w:rsid w:val="000507A7"/>
    <w:rsid w:val="00050DB9"/>
    <w:rsid w:val="00052F03"/>
    <w:rsid w:val="00052F42"/>
    <w:rsid w:val="00054480"/>
    <w:rsid w:val="000544E7"/>
    <w:rsid w:val="00055555"/>
    <w:rsid w:val="0005570E"/>
    <w:rsid w:val="000557AC"/>
    <w:rsid w:val="00057466"/>
    <w:rsid w:val="00060541"/>
    <w:rsid w:val="0006221B"/>
    <w:rsid w:val="000636EE"/>
    <w:rsid w:val="0006453F"/>
    <w:rsid w:val="000667C2"/>
    <w:rsid w:val="000670F2"/>
    <w:rsid w:val="00067390"/>
    <w:rsid w:val="0007109E"/>
    <w:rsid w:val="000725D5"/>
    <w:rsid w:val="00080BA3"/>
    <w:rsid w:val="00081DFE"/>
    <w:rsid w:val="00082B1E"/>
    <w:rsid w:val="0008401C"/>
    <w:rsid w:val="00084407"/>
    <w:rsid w:val="000850D2"/>
    <w:rsid w:val="00091817"/>
    <w:rsid w:val="00091FE7"/>
    <w:rsid w:val="00093CAD"/>
    <w:rsid w:val="00094AE2"/>
    <w:rsid w:val="000954E3"/>
    <w:rsid w:val="00097021"/>
    <w:rsid w:val="000A05E5"/>
    <w:rsid w:val="000A2FB4"/>
    <w:rsid w:val="000A3536"/>
    <w:rsid w:val="000A4C84"/>
    <w:rsid w:val="000A5C6F"/>
    <w:rsid w:val="000A6191"/>
    <w:rsid w:val="000A62D0"/>
    <w:rsid w:val="000A6646"/>
    <w:rsid w:val="000A7DAB"/>
    <w:rsid w:val="000B0E3C"/>
    <w:rsid w:val="000B1C16"/>
    <w:rsid w:val="000B24B8"/>
    <w:rsid w:val="000B3960"/>
    <w:rsid w:val="000B518E"/>
    <w:rsid w:val="000B57AC"/>
    <w:rsid w:val="000B5A5C"/>
    <w:rsid w:val="000B62E6"/>
    <w:rsid w:val="000C0C23"/>
    <w:rsid w:val="000C1ABC"/>
    <w:rsid w:val="000C1B27"/>
    <w:rsid w:val="000C2775"/>
    <w:rsid w:val="000C354B"/>
    <w:rsid w:val="000C617E"/>
    <w:rsid w:val="000C657E"/>
    <w:rsid w:val="000C761A"/>
    <w:rsid w:val="000C7994"/>
    <w:rsid w:val="000C7EB8"/>
    <w:rsid w:val="000D0E64"/>
    <w:rsid w:val="000D10B9"/>
    <w:rsid w:val="000D1ACB"/>
    <w:rsid w:val="000D1F63"/>
    <w:rsid w:val="000D347E"/>
    <w:rsid w:val="000D4520"/>
    <w:rsid w:val="000D4DAA"/>
    <w:rsid w:val="000D67DB"/>
    <w:rsid w:val="000E0E30"/>
    <w:rsid w:val="000E18EB"/>
    <w:rsid w:val="000E28F8"/>
    <w:rsid w:val="000E30EC"/>
    <w:rsid w:val="000E32D4"/>
    <w:rsid w:val="000E40B1"/>
    <w:rsid w:val="000E461C"/>
    <w:rsid w:val="000E5840"/>
    <w:rsid w:val="000E790B"/>
    <w:rsid w:val="000F0878"/>
    <w:rsid w:val="000F125E"/>
    <w:rsid w:val="000F262B"/>
    <w:rsid w:val="000F3CE7"/>
    <w:rsid w:val="000F3F46"/>
    <w:rsid w:val="000F4707"/>
    <w:rsid w:val="000F660B"/>
    <w:rsid w:val="000F6A05"/>
    <w:rsid w:val="000F6A2C"/>
    <w:rsid w:val="000F781F"/>
    <w:rsid w:val="00100CD3"/>
    <w:rsid w:val="00100E37"/>
    <w:rsid w:val="0010142B"/>
    <w:rsid w:val="00102044"/>
    <w:rsid w:val="00102817"/>
    <w:rsid w:val="0010495E"/>
    <w:rsid w:val="00104C95"/>
    <w:rsid w:val="00104E69"/>
    <w:rsid w:val="001051C0"/>
    <w:rsid w:val="001052B4"/>
    <w:rsid w:val="0011017E"/>
    <w:rsid w:val="001104D2"/>
    <w:rsid w:val="00112621"/>
    <w:rsid w:val="001126E9"/>
    <w:rsid w:val="00112C63"/>
    <w:rsid w:val="00113410"/>
    <w:rsid w:val="00113B10"/>
    <w:rsid w:val="00114B8A"/>
    <w:rsid w:val="001158F3"/>
    <w:rsid w:val="00115A27"/>
    <w:rsid w:val="0011682A"/>
    <w:rsid w:val="00116E2F"/>
    <w:rsid w:val="001174B7"/>
    <w:rsid w:val="00117522"/>
    <w:rsid w:val="00117A53"/>
    <w:rsid w:val="00120D84"/>
    <w:rsid w:val="00121FAF"/>
    <w:rsid w:val="00122357"/>
    <w:rsid w:val="00123E14"/>
    <w:rsid w:val="00124319"/>
    <w:rsid w:val="00125816"/>
    <w:rsid w:val="00125A02"/>
    <w:rsid w:val="00125BC2"/>
    <w:rsid w:val="00125C2C"/>
    <w:rsid w:val="0012663D"/>
    <w:rsid w:val="00126879"/>
    <w:rsid w:val="001272E9"/>
    <w:rsid w:val="0012748C"/>
    <w:rsid w:val="00130EE6"/>
    <w:rsid w:val="00131B6C"/>
    <w:rsid w:val="00131C76"/>
    <w:rsid w:val="001348C0"/>
    <w:rsid w:val="00134D90"/>
    <w:rsid w:val="00137C8F"/>
    <w:rsid w:val="00140010"/>
    <w:rsid w:val="001401C2"/>
    <w:rsid w:val="00140B8A"/>
    <w:rsid w:val="001410C8"/>
    <w:rsid w:val="001416C4"/>
    <w:rsid w:val="00143089"/>
    <w:rsid w:val="00143443"/>
    <w:rsid w:val="00143BAD"/>
    <w:rsid w:val="00146472"/>
    <w:rsid w:val="001472C1"/>
    <w:rsid w:val="0015090A"/>
    <w:rsid w:val="00151FC6"/>
    <w:rsid w:val="00152F82"/>
    <w:rsid w:val="00153F1B"/>
    <w:rsid w:val="00154C43"/>
    <w:rsid w:val="001555C7"/>
    <w:rsid w:val="00155799"/>
    <w:rsid w:val="00160C3F"/>
    <w:rsid w:val="00161482"/>
    <w:rsid w:val="00162B0B"/>
    <w:rsid w:val="001638CD"/>
    <w:rsid w:val="00163CD4"/>
    <w:rsid w:val="00163EB4"/>
    <w:rsid w:val="00164914"/>
    <w:rsid w:val="00165C2D"/>
    <w:rsid w:val="00173B7A"/>
    <w:rsid w:val="00175B9C"/>
    <w:rsid w:val="001760DA"/>
    <w:rsid w:val="001809C9"/>
    <w:rsid w:val="00181485"/>
    <w:rsid w:val="0018162F"/>
    <w:rsid w:val="00182397"/>
    <w:rsid w:val="0018282E"/>
    <w:rsid w:val="00182E81"/>
    <w:rsid w:val="0018485F"/>
    <w:rsid w:val="00184866"/>
    <w:rsid w:val="00184D2E"/>
    <w:rsid w:val="0018530D"/>
    <w:rsid w:val="0018648E"/>
    <w:rsid w:val="00192018"/>
    <w:rsid w:val="001951D7"/>
    <w:rsid w:val="00196440"/>
    <w:rsid w:val="001965D2"/>
    <w:rsid w:val="001A042A"/>
    <w:rsid w:val="001A1162"/>
    <w:rsid w:val="001A15B2"/>
    <w:rsid w:val="001A2637"/>
    <w:rsid w:val="001A47D4"/>
    <w:rsid w:val="001A4D95"/>
    <w:rsid w:val="001A5C74"/>
    <w:rsid w:val="001A5F38"/>
    <w:rsid w:val="001A6857"/>
    <w:rsid w:val="001A6AEF"/>
    <w:rsid w:val="001A7412"/>
    <w:rsid w:val="001A7DC9"/>
    <w:rsid w:val="001B1A74"/>
    <w:rsid w:val="001B2969"/>
    <w:rsid w:val="001B2F82"/>
    <w:rsid w:val="001B593C"/>
    <w:rsid w:val="001B5DDA"/>
    <w:rsid w:val="001B637C"/>
    <w:rsid w:val="001B6A15"/>
    <w:rsid w:val="001B6C5E"/>
    <w:rsid w:val="001B6CF3"/>
    <w:rsid w:val="001C01C4"/>
    <w:rsid w:val="001C49F2"/>
    <w:rsid w:val="001C7DCD"/>
    <w:rsid w:val="001D0DD1"/>
    <w:rsid w:val="001D15F0"/>
    <w:rsid w:val="001D162E"/>
    <w:rsid w:val="001D3176"/>
    <w:rsid w:val="001D3736"/>
    <w:rsid w:val="001D4863"/>
    <w:rsid w:val="001D5B3B"/>
    <w:rsid w:val="001D63B7"/>
    <w:rsid w:val="001D7446"/>
    <w:rsid w:val="001D772D"/>
    <w:rsid w:val="001E00A5"/>
    <w:rsid w:val="001E023E"/>
    <w:rsid w:val="001E22E5"/>
    <w:rsid w:val="001E23CC"/>
    <w:rsid w:val="001E3F34"/>
    <w:rsid w:val="001E4CF8"/>
    <w:rsid w:val="001E4FCB"/>
    <w:rsid w:val="001E5F96"/>
    <w:rsid w:val="001E65F2"/>
    <w:rsid w:val="001E70CB"/>
    <w:rsid w:val="001E7D66"/>
    <w:rsid w:val="001F016B"/>
    <w:rsid w:val="001F6C03"/>
    <w:rsid w:val="001F773F"/>
    <w:rsid w:val="001F77AA"/>
    <w:rsid w:val="001F7BFD"/>
    <w:rsid w:val="00200322"/>
    <w:rsid w:val="002027EF"/>
    <w:rsid w:val="0020458F"/>
    <w:rsid w:val="00211797"/>
    <w:rsid w:val="002120A2"/>
    <w:rsid w:val="0021330E"/>
    <w:rsid w:val="00213396"/>
    <w:rsid w:val="00214008"/>
    <w:rsid w:val="0021403F"/>
    <w:rsid w:val="002147F4"/>
    <w:rsid w:val="002150D7"/>
    <w:rsid w:val="00215D56"/>
    <w:rsid w:val="00215FDD"/>
    <w:rsid w:val="00217629"/>
    <w:rsid w:val="00220A49"/>
    <w:rsid w:val="0022228D"/>
    <w:rsid w:val="002222DE"/>
    <w:rsid w:val="002224FE"/>
    <w:rsid w:val="00222A5A"/>
    <w:rsid w:val="00222DD1"/>
    <w:rsid w:val="00223C02"/>
    <w:rsid w:val="00224564"/>
    <w:rsid w:val="0022536B"/>
    <w:rsid w:val="0022735A"/>
    <w:rsid w:val="002313C2"/>
    <w:rsid w:val="00234B4E"/>
    <w:rsid w:val="00235311"/>
    <w:rsid w:val="002353CB"/>
    <w:rsid w:val="00236447"/>
    <w:rsid w:val="00236914"/>
    <w:rsid w:val="002369A8"/>
    <w:rsid w:val="00236C43"/>
    <w:rsid w:val="0024098F"/>
    <w:rsid w:val="00242E06"/>
    <w:rsid w:val="002437B4"/>
    <w:rsid w:val="00244B2E"/>
    <w:rsid w:val="00247B6C"/>
    <w:rsid w:val="002504C2"/>
    <w:rsid w:val="00250622"/>
    <w:rsid w:val="002508ED"/>
    <w:rsid w:val="00251162"/>
    <w:rsid w:val="00251719"/>
    <w:rsid w:val="002521F8"/>
    <w:rsid w:val="00253F37"/>
    <w:rsid w:val="002541CA"/>
    <w:rsid w:val="00254D8A"/>
    <w:rsid w:val="0025584B"/>
    <w:rsid w:val="00255951"/>
    <w:rsid w:val="00257FF9"/>
    <w:rsid w:val="0026002B"/>
    <w:rsid w:val="00261D2A"/>
    <w:rsid w:val="002621BB"/>
    <w:rsid w:val="002629F0"/>
    <w:rsid w:val="00262B86"/>
    <w:rsid w:val="0026332D"/>
    <w:rsid w:val="00263BBA"/>
    <w:rsid w:val="00263C05"/>
    <w:rsid w:val="00263CC6"/>
    <w:rsid w:val="00266F97"/>
    <w:rsid w:val="0026766F"/>
    <w:rsid w:val="002707BF"/>
    <w:rsid w:val="00270825"/>
    <w:rsid w:val="00270EC8"/>
    <w:rsid w:val="00271209"/>
    <w:rsid w:val="00272E22"/>
    <w:rsid w:val="00274984"/>
    <w:rsid w:val="00275241"/>
    <w:rsid w:val="002760C0"/>
    <w:rsid w:val="00277321"/>
    <w:rsid w:val="0028196B"/>
    <w:rsid w:val="00281AD2"/>
    <w:rsid w:val="0028300E"/>
    <w:rsid w:val="002840EA"/>
    <w:rsid w:val="00284A90"/>
    <w:rsid w:val="00284DE7"/>
    <w:rsid w:val="00286E4B"/>
    <w:rsid w:val="00290323"/>
    <w:rsid w:val="00292549"/>
    <w:rsid w:val="00292D97"/>
    <w:rsid w:val="002939B5"/>
    <w:rsid w:val="00294C06"/>
    <w:rsid w:val="002963A4"/>
    <w:rsid w:val="00297D08"/>
    <w:rsid w:val="002A0422"/>
    <w:rsid w:val="002A0F90"/>
    <w:rsid w:val="002A15AF"/>
    <w:rsid w:val="002A4CE0"/>
    <w:rsid w:val="002A7756"/>
    <w:rsid w:val="002B0B60"/>
    <w:rsid w:val="002B12E7"/>
    <w:rsid w:val="002B1A18"/>
    <w:rsid w:val="002B1B01"/>
    <w:rsid w:val="002B2295"/>
    <w:rsid w:val="002B24C8"/>
    <w:rsid w:val="002B47E4"/>
    <w:rsid w:val="002B5FD3"/>
    <w:rsid w:val="002B73A4"/>
    <w:rsid w:val="002B7656"/>
    <w:rsid w:val="002B7A1F"/>
    <w:rsid w:val="002C0053"/>
    <w:rsid w:val="002C0432"/>
    <w:rsid w:val="002C0893"/>
    <w:rsid w:val="002C09AB"/>
    <w:rsid w:val="002C0AD6"/>
    <w:rsid w:val="002C208D"/>
    <w:rsid w:val="002C28B6"/>
    <w:rsid w:val="002C34EF"/>
    <w:rsid w:val="002C4AEE"/>
    <w:rsid w:val="002C4B41"/>
    <w:rsid w:val="002C4D98"/>
    <w:rsid w:val="002C54B1"/>
    <w:rsid w:val="002C5B86"/>
    <w:rsid w:val="002D04BD"/>
    <w:rsid w:val="002D2B37"/>
    <w:rsid w:val="002D3BB3"/>
    <w:rsid w:val="002D4405"/>
    <w:rsid w:val="002E1690"/>
    <w:rsid w:val="002E18E1"/>
    <w:rsid w:val="002E4078"/>
    <w:rsid w:val="002E5FA1"/>
    <w:rsid w:val="002E76B5"/>
    <w:rsid w:val="002F08C9"/>
    <w:rsid w:val="002F1AEC"/>
    <w:rsid w:val="002F1B28"/>
    <w:rsid w:val="002F3A41"/>
    <w:rsid w:val="002F7AEB"/>
    <w:rsid w:val="002F7C10"/>
    <w:rsid w:val="002F7F87"/>
    <w:rsid w:val="003001E7"/>
    <w:rsid w:val="003002BB"/>
    <w:rsid w:val="00301291"/>
    <w:rsid w:val="00301932"/>
    <w:rsid w:val="00301CEE"/>
    <w:rsid w:val="003025BC"/>
    <w:rsid w:val="00303EB3"/>
    <w:rsid w:val="00305336"/>
    <w:rsid w:val="003116BA"/>
    <w:rsid w:val="00312032"/>
    <w:rsid w:val="00314622"/>
    <w:rsid w:val="003146EA"/>
    <w:rsid w:val="00316422"/>
    <w:rsid w:val="003165E2"/>
    <w:rsid w:val="00316A98"/>
    <w:rsid w:val="00316F8B"/>
    <w:rsid w:val="00321B98"/>
    <w:rsid w:val="00321ED5"/>
    <w:rsid w:val="0032202A"/>
    <w:rsid w:val="003232F1"/>
    <w:rsid w:val="00323867"/>
    <w:rsid w:val="00324B84"/>
    <w:rsid w:val="0032530F"/>
    <w:rsid w:val="003258F0"/>
    <w:rsid w:val="00325A78"/>
    <w:rsid w:val="00326837"/>
    <w:rsid w:val="00326A49"/>
    <w:rsid w:val="00326F4B"/>
    <w:rsid w:val="00331FCE"/>
    <w:rsid w:val="00332509"/>
    <w:rsid w:val="0033290D"/>
    <w:rsid w:val="00334301"/>
    <w:rsid w:val="0033469D"/>
    <w:rsid w:val="003349C8"/>
    <w:rsid w:val="00334D5B"/>
    <w:rsid w:val="003354F3"/>
    <w:rsid w:val="00335CF3"/>
    <w:rsid w:val="003363FD"/>
    <w:rsid w:val="00340055"/>
    <w:rsid w:val="003419C4"/>
    <w:rsid w:val="00342113"/>
    <w:rsid w:val="00344A2D"/>
    <w:rsid w:val="00344EB3"/>
    <w:rsid w:val="00344F8F"/>
    <w:rsid w:val="00345496"/>
    <w:rsid w:val="003464DB"/>
    <w:rsid w:val="00347678"/>
    <w:rsid w:val="00347987"/>
    <w:rsid w:val="00347A47"/>
    <w:rsid w:val="00350F0A"/>
    <w:rsid w:val="003514CC"/>
    <w:rsid w:val="0035447E"/>
    <w:rsid w:val="003545A3"/>
    <w:rsid w:val="003545C0"/>
    <w:rsid w:val="00356108"/>
    <w:rsid w:val="00356552"/>
    <w:rsid w:val="0035730A"/>
    <w:rsid w:val="00360010"/>
    <w:rsid w:val="00362405"/>
    <w:rsid w:val="00362A53"/>
    <w:rsid w:val="00363A89"/>
    <w:rsid w:val="00364818"/>
    <w:rsid w:val="003665D0"/>
    <w:rsid w:val="0036685E"/>
    <w:rsid w:val="00366CDB"/>
    <w:rsid w:val="00366DF0"/>
    <w:rsid w:val="003677C8"/>
    <w:rsid w:val="00371707"/>
    <w:rsid w:val="00371879"/>
    <w:rsid w:val="00371A03"/>
    <w:rsid w:val="003722E2"/>
    <w:rsid w:val="00372ABE"/>
    <w:rsid w:val="00372D12"/>
    <w:rsid w:val="00374278"/>
    <w:rsid w:val="00374396"/>
    <w:rsid w:val="00374649"/>
    <w:rsid w:val="00374C40"/>
    <w:rsid w:val="003751DB"/>
    <w:rsid w:val="00375F08"/>
    <w:rsid w:val="00377050"/>
    <w:rsid w:val="00377574"/>
    <w:rsid w:val="003779EB"/>
    <w:rsid w:val="003779F8"/>
    <w:rsid w:val="00377B59"/>
    <w:rsid w:val="0038004C"/>
    <w:rsid w:val="00380FDB"/>
    <w:rsid w:val="00383D60"/>
    <w:rsid w:val="00386FA0"/>
    <w:rsid w:val="00390AE3"/>
    <w:rsid w:val="003923EA"/>
    <w:rsid w:val="0039361D"/>
    <w:rsid w:val="00394801"/>
    <w:rsid w:val="0039539D"/>
    <w:rsid w:val="003956E3"/>
    <w:rsid w:val="00395B3C"/>
    <w:rsid w:val="003975A4"/>
    <w:rsid w:val="00397872"/>
    <w:rsid w:val="00397E24"/>
    <w:rsid w:val="003A09EF"/>
    <w:rsid w:val="003A0CFD"/>
    <w:rsid w:val="003A1785"/>
    <w:rsid w:val="003A283A"/>
    <w:rsid w:val="003A3250"/>
    <w:rsid w:val="003A336B"/>
    <w:rsid w:val="003A4095"/>
    <w:rsid w:val="003A6BC3"/>
    <w:rsid w:val="003B4444"/>
    <w:rsid w:val="003B5390"/>
    <w:rsid w:val="003B5726"/>
    <w:rsid w:val="003B588A"/>
    <w:rsid w:val="003B7088"/>
    <w:rsid w:val="003B754F"/>
    <w:rsid w:val="003B7724"/>
    <w:rsid w:val="003C06A1"/>
    <w:rsid w:val="003C0F5D"/>
    <w:rsid w:val="003C2EF0"/>
    <w:rsid w:val="003C48C8"/>
    <w:rsid w:val="003C62B8"/>
    <w:rsid w:val="003C6AD6"/>
    <w:rsid w:val="003C7480"/>
    <w:rsid w:val="003C7865"/>
    <w:rsid w:val="003D11BA"/>
    <w:rsid w:val="003D33D9"/>
    <w:rsid w:val="003D3D86"/>
    <w:rsid w:val="003D3F80"/>
    <w:rsid w:val="003D771B"/>
    <w:rsid w:val="003E0A03"/>
    <w:rsid w:val="003E0B02"/>
    <w:rsid w:val="003E0B6C"/>
    <w:rsid w:val="003E1336"/>
    <w:rsid w:val="003E1504"/>
    <w:rsid w:val="003E3251"/>
    <w:rsid w:val="003E52E6"/>
    <w:rsid w:val="003E67E1"/>
    <w:rsid w:val="003F001E"/>
    <w:rsid w:val="003F13F0"/>
    <w:rsid w:val="003F2149"/>
    <w:rsid w:val="003F2BBB"/>
    <w:rsid w:val="003F3C87"/>
    <w:rsid w:val="003F5FCB"/>
    <w:rsid w:val="003F6160"/>
    <w:rsid w:val="003F69C3"/>
    <w:rsid w:val="003F78B0"/>
    <w:rsid w:val="0040107C"/>
    <w:rsid w:val="0040254F"/>
    <w:rsid w:val="004040F9"/>
    <w:rsid w:val="0041078A"/>
    <w:rsid w:val="00411B60"/>
    <w:rsid w:val="00413B6F"/>
    <w:rsid w:val="00414580"/>
    <w:rsid w:val="004148C8"/>
    <w:rsid w:val="004153EC"/>
    <w:rsid w:val="0041557C"/>
    <w:rsid w:val="0041623C"/>
    <w:rsid w:val="004162F2"/>
    <w:rsid w:val="00416468"/>
    <w:rsid w:val="00420CD6"/>
    <w:rsid w:val="00423836"/>
    <w:rsid w:val="00423E62"/>
    <w:rsid w:val="0042458B"/>
    <w:rsid w:val="00424A67"/>
    <w:rsid w:val="00425975"/>
    <w:rsid w:val="00425ADF"/>
    <w:rsid w:val="00427EF5"/>
    <w:rsid w:val="00430407"/>
    <w:rsid w:val="00430FA6"/>
    <w:rsid w:val="00431B6E"/>
    <w:rsid w:val="00431EC9"/>
    <w:rsid w:val="00433ABD"/>
    <w:rsid w:val="00434950"/>
    <w:rsid w:val="00435E1A"/>
    <w:rsid w:val="00437B66"/>
    <w:rsid w:val="004410D1"/>
    <w:rsid w:val="00443111"/>
    <w:rsid w:val="004432B3"/>
    <w:rsid w:val="00445105"/>
    <w:rsid w:val="00445F3E"/>
    <w:rsid w:val="00446A6D"/>
    <w:rsid w:val="00446EE1"/>
    <w:rsid w:val="0044746E"/>
    <w:rsid w:val="00447981"/>
    <w:rsid w:val="0045101C"/>
    <w:rsid w:val="0045116E"/>
    <w:rsid w:val="00451373"/>
    <w:rsid w:val="0045368D"/>
    <w:rsid w:val="00453FE9"/>
    <w:rsid w:val="004540BF"/>
    <w:rsid w:val="00454288"/>
    <w:rsid w:val="00454412"/>
    <w:rsid w:val="00456009"/>
    <w:rsid w:val="00460014"/>
    <w:rsid w:val="004607B8"/>
    <w:rsid w:val="004633D6"/>
    <w:rsid w:val="00463616"/>
    <w:rsid w:val="004642A4"/>
    <w:rsid w:val="00464AD9"/>
    <w:rsid w:val="00464AE5"/>
    <w:rsid w:val="00465760"/>
    <w:rsid w:val="00467DFC"/>
    <w:rsid w:val="00470C16"/>
    <w:rsid w:val="00470F3A"/>
    <w:rsid w:val="004716FB"/>
    <w:rsid w:val="00472D24"/>
    <w:rsid w:val="00474CCA"/>
    <w:rsid w:val="00476964"/>
    <w:rsid w:val="00477FA2"/>
    <w:rsid w:val="00480E25"/>
    <w:rsid w:val="00480F57"/>
    <w:rsid w:val="00481433"/>
    <w:rsid w:val="00482821"/>
    <w:rsid w:val="00484EF2"/>
    <w:rsid w:val="00484F64"/>
    <w:rsid w:val="00485A7A"/>
    <w:rsid w:val="00487551"/>
    <w:rsid w:val="004913B1"/>
    <w:rsid w:val="00492797"/>
    <w:rsid w:val="00493005"/>
    <w:rsid w:val="00494183"/>
    <w:rsid w:val="00494A36"/>
    <w:rsid w:val="0049504A"/>
    <w:rsid w:val="0049505C"/>
    <w:rsid w:val="00497361"/>
    <w:rsid w:val="004A15D1"/>
    <w:rsid w:val="004A30E0"/>
    <w:rsid w:val="004A31B7"/>
    <w:rsid w:val="004A4793"/>
    <w:rsid w:val="004A47B8"/>
    <w:rsid w:val="004A487A"/>
    <w:rsid w:val="004A5E4A"/>
    <w:rsid w:val="004A7E49"/>
    <w:rsid w:val="004B19A1"/>
    <w:rsid w:val="004B2221"/>
    <w:rsid w:val="004B35B5"/>
    <w:rsid w:val="004B43F9"/>
    <w:rsid w:val="004B43FC"/>
    <w:rsid w:val="004B5EE8"/>
    <w:rsid w:val="004B6509"/>
    <w:rsid w:val="004B69CC"/>
    <w:rsid w:val="004C0144"/>
    <w:rsid w:val="004C405A"/>
    <w:rsid w:val="004C535E"/>
    <w:rsid w:val="004C53AF"/>
    <w:rsid w:val="004C6D7F"/>
    <w:rsid w:val="004C7356"/>
    <w:rsid w:val="004C778F"/>
    <w:rsid w:val="004C7AA9"/>
    <w:rsid w:val="004D0207"/>
    <w:rsid w:val="004D1ED6"/>
    <w:rsid w:val="004D41EE"/>
    <w:rsid w:val="004D43F7"/>
    <w:rsid w:val="004D4D4A"/>
    <w:rsid w:val="004D4F0C"/>
    <w:rsid w:val="004D7708"/>
    <w:rsid w:val="004E033D"/>
    <w:rsid w:val="004E034F"/>
    <w:rsid w:val="004E085B"/>
    <w:rsid w:val="004E27DC"/>
    <w:rsid w:val="004E31D9"/>
    <w:rsid w:val="004E4024"/>
    <w:rsid w:val="004E70FC"/>
    <w:rsid w:val="004E7A77"/>
    <w:rsid w:val="004F02AB"/>
    <w:rsid w:val="004F061A"/>
    <w:rsid w:val="004F0DF1"/>
    <w:rsid w:val="004F1770"/>
    <w:rsid w:val="004F3540"/>
    <w:rsid w:val="004F530F"/>
    <w:rsid w:val="004F5886"/>
    <w:rsid w:val="004F6AC8"/>
    <w:rsid w:val="004F6BEE"/>
    <w:rsid w:val="004F7E0C"/>
    <w:rsid w:val="00501E9D"/>
    <w:rsid w:val="0050224F"/>
    <w:rsid w:val="0050264C"/>
    <w:rsid w:val="00502E87"/>
    <w:rsid w:val="00503364"/>
    <w:rsid w:val="005115D8"/>
    <w:rsid w:val="00512867"/>
    <w:rsid w:val="0051367A"/>
    <w:rsid w:val="0051505D"/>
    <w:rsid w:val="005152AE"/>
    <w:rsid w:val="0051564B"/>
    <w:rsid w:val="005156AB"/>
    <w:rsid w:val="00517524"/>
    <w:rsid w:val="00520181"/>
    <w:rsid w:val="00520661"/>
    <w:rsid w:val="00522003"/>
    <w:rsid w:val="00522B61"/>
    <w:rsid w:val="00522C9E"/>
    <w:rsid w:val="005263A9"/>
    <w:rsid w:val="0052756C"/>
    <w:rsid w:val="00531D99"/>
    <w:rsid w:val="005349A5"/>
    <w:rsid w:val="00536A84"/>
    <w:rsid w:val="00537950"/>
    <w:rsid w:val="00537FB0"/>
    <w:rsid w:val="00540285"/>
    <w:rsid w:val="005438AE"/>
    <w:rsid w:val="00545B3A"/>
    <w:rsid w:val="00546835"/>
    <w:rsid w:val="00546B63"/>
    <w:rsid w:val="00547568"/>
    <w:rsid w:val="0055049F"/>
    <w:rsid w:val="00551962"/>
    <w:rsid w:val="005528F0"/>
    <w:rsid w:val="00553C1A"/>
    <w:rsid w:val="00553E5C"/>
    <w:rsid w:val="005540EA"/>
    <w:rsid w:val="005547FA"/>
    <w:rsid w:val="00563E75"/>
    <w:rsid w:val="0056498C"/>
    <w:rsid w:val="00570628"/>
    <w:rsid w:val="00572525"/>
    <w:rsid w:val="005725ED"/>
    <w:rsid w:val="0057290B"/>
    <w:rsid w:val="005758BD"/>
    <w:rsid w:val="005803CB"/>
    <w:rsid w:val="005813D7"/>
    <w:rsid w:val="00582436"/>
    <w:rsid w:val="00583E53"/>
    <w:rsid w:val="00583F54"/>
    <w:rsid w:val="005848E7"/>
    <w:rsid w:val="00585478"/>
    <w:rsid w:val="00585F6B"/>
    <w:rsid w:val="0058753B"/>
    <w:rsid w:val="0059087F"/>
    <w:rsid w:val="00590DE5"/>
    <w:rsid w:val="005919E4"/>
    <w:rsid w:val="00594566"/>
    <w:rsid w:val="005958BA"/>
    <w:rsid w:val="0059615D"/>
    <w:rsid w:val="005A10B2"/>
    <w:rsid w:val="005A1878"/>
    <w:rsid w:val="005A2A1E"/>
    <w:rsid w:val="005A2BFA"/>
    <w:rsid w:val="005A2DC8"/>
    <w:rsid w:val="005A57B8"/>
    <w:rsid w:val="005A6063"/>
    <w:rsid w:val="005A68CD"/>
    <w:rsid w:val="005A6FA6"/>
    <w:rsid w:val="005B0645"/>
    <w:rsid w:val="005B07A6"/>
    <w:rsid w:val="005B0879"/>
    <w:rsid w:val="005B0AD5"/>
    <w:rsid w:val="005B1514"/>
    <w:rsid w:val="005B1B35"/>
    <w:rsid w:val="005B1C8E"/>
    <w:rsid w:val="005B3B28"/>
    <w:rsid w:val="005B409D"/>
    <w:rsid w:val="005B48A3"/>
    <w:rsid w:val="005B4BFF"/>
    <w:rsid w:val="005B4D03"/>
    <w:rsid w:val="005B662B"/>
    <w:rsid w:val="005B6B9D"/>
    <w:rsid w:val="005B7F8D"/>
    <w:rsid w:val="005C0003"/>
    <w:rsid w:val="005C2BF4"/>
    <w:rsid w:val="005C2E5C"/>
    <w:rsid w:val="005C4013"/>
    <w:rsid w:val="005C577B"/>
    <w:rsid w:val="005C5B56"/>
    <w:rsid w:val="005C75B0"/>
    <w:rsid w:val="005D28D7"/>
    <w:rsid w:val="005D37C3"/>
    <w:rsid w:val="005D48D2"/>
    <w:rsid w:val="005D5023"/>
    <w:rsid w:val="005D5612"/>
    <w:rsid w:val="005D5671"/>
    <w:rsid w:val="005D7301"/>
    <w:rsid w:val="005E1749"/>
    <w:rsid w:val="005E2E9B"/>
    <w:rsid w:val="005E42B3"/>
    <w:rsid w:val="005E4540"/>
    <w:rsid w:val="005E53D1"/>
    <w:rsid w:val="005E5817"/>
    <w:rsid w:val="005E6166"/>
    <w:rsid w:val="005E7404"/>
    <w:rsid w:val="005F20BD"/>
    <w:rsid w:val="005F2A7F"/>
    <w:rsid w:val="005F5718"/>
    <w:rsid w:val="005F5D5A"/>
    <w:rsid w:val="005F6C8A"/>
    <w:rsid w:val="00600FE1"/>
    <w:rsid w:val="00601AA9"/>
    <w:rsid w:val="006024D5"/>
    <w:rsid w:val="006030E8"/>
    <w:rsid w:val="00603C91"/>
    <w:rsid w:val="00603C93"/>
    <w:rsid w:val="0060471E"/>
    <w:rsid w:val="0060582A"/>
    <w:rsid w:val="006071E6"/>
    <w:rsid w:val="006106E4"/>
    <w:rsid w:val="006107B6"/>
    <w:rsid w:val="00610E34"/>
    <w:rsid w:val="00613113"/>
    <w:rsid w:val="006135D3"/>
    <w:rsid w:val="006142A2"/>
    <w:rsid w:val="006148C9"/>
    <w:rsid w:val="006173E8"/>
    <w:rsid w:val="0061762D"/>
    <w:rsid w:val="00620449"/>
    <w:rsid w:val="00621057"/>
    <w:rsid w:val="00621064"/>
    <w:rsid w:val="00621F44"/>
    <w:rsid w:val="0062214F"/>
    <w:rsid w:val="0062255D"/>
    <w:rsid w:val="00622C63"/>
    <w:rsid w:val="006231ED"/>
    <w:rsid w:val="00623685"/>
    <w:rsid w:val="00623EBC"/>
    <w:rsid w:val="00624470"/>
    <w:rsid w:val="00624D9B"/>
    <w:rsid w:val="00625A0A"/>
    <w:rsid w:val="0063159A"/>
    <w:rsid w:val="00631B63"/>
    <w:rsid w:val="00631E33"/>
    <w:rsid w:val="006334EA"/>
    <w:rsid w:val="006345A8"/>
    <w:rsid w:val="00634714"/>
    <w:rsid w:val="006356B0"/>
    <w:rsid w:val="006362B8"/>
    <w:rsid w:val="0064108B"/>
    <w:rsid w:val="00641763"/>
    <w:rsid w:val="00642E51"/>
    <w:rsid w:val="00644D49"/>
    <w:rsid w:val="00645150"/>
    <w:rsid w:val="006456DA"/>
    <w:rsid w:val="006465B6"/>
    <w:rsid w:val="0064711E"/>
    <w:rsid w:val="00647DBE"/>
    <w:rsid w:val="00650979"/>
    <w:rsid w:val="00650EC9"/>
    <w:rsid w:val="00651365"/>
    <w:rsid w:val="0065207E"/>
    <w:rsid w:val="0065502A"/>
    <w:rsid w:val="00655868"/>
    <w:rsid w:val="00657CB9"/>
    <w:rsid w:val="006606E8"/>
    <w:rsid w:val="0066140D"/>
    <w:rsid w:val="00662E3C"/>
    <w:rsid w:val="006641B3"/>
    <w:rsid w:val="006644AC"/>
    <w:rsid w:val="00664EF2"/>
    <w:rsid w:val="00666297"/>
    <w:rsid w:val="00667480"/>
    <w:rsid w:val="0067043B"/>
    <w:rsid w:val="00670C76"/>
    <w:rsid w:val="00671672"/>
    <w:rsid w:val="00673C5D"/>
    <w:rsid w:val="00674FAD"/>
    <w:rsid w:val="0067636F"/>
    <w:rsid w:val="0068099B"/>
    <w:rsid w:val="006814DE"/>
    <w:rsid w:val="006836B6"/>
    <w:rsid w:val="00684D68"/>
    <w:rsid w:val="006852E7"/>
    <w:rsid w:val="00685F17"/>
    <w:rsid w:val="006867EB"/>
    <w:rsid w:val="00686AC4"/>
    <w:rsid w:val="00691621"/>
    <w:rsid w:val="006933A6"/>
    <w:rsid w:val="006939F6"/>
    <w:rsid w:val="006975DB"/>
    <w:rsid w:val="006A1EE0"/>
    <w:rsid w:val="006A2E82"/>
    <w:rsid w:val="006A3B08"/>
    <w:rsid w:val="006A48A2"/>
    <w:rsid w:val="006A66A5"/>
    <w:rsid w:val="006A6F91"/>
    <w:rsid w:val="006B0274"/>
    <w:rsid w:val="006B0AA6"/>
    <w:rsid w:val="006B0E71"/>
    <w:rsid w:val="006B48E0"/>
    <w:rsid w:val="006B510C"/>
    <w:rsid w:val="006B54D2"/>
    <w:rsid w:val="006B59C7"/>
    <w:rsid w:val="006C2E53"/>
    <w:rsid w:val="006C333C"/>
    <w:rsid w:val="006C3FCD"/>
    <w:rsid w:val="006C45EF"/>
    <w:rsid w:val="006C492E"/>
    <w:rsid w:val="006C5C9B"/>
    <w:rsid w:val="006C60C3"/>
    <w:rsid w:val="006C6B95"/>
    <w:rsid w:val="006D2021"/>
    <w:rsid w:val="006D2598"/>
    <w:rsid w:val="006D2D74"/>
    <w:rsid w:val="006D2EC8"/>
    <w:rsid w:val="006D2FC7"/>
    <w:rsid w:val="006D3175"/>
    <w:rsid w:val="006D39C7"/>
    <w:rsid w:val="006D57C9"/>
    <w:rsid w:val="006D60F6"/>
    <w:rsid w:val="006D741A"/>
    <w:rsid w:val="006D7875"/>
    <w:rsid w:val="006E1AB6"/>
    <w:rsid w:val="006E2172"/>
    <w:rsid w:val="006E34F3"/>
    <w:rsid w:val="006E4160"/>
    <w:rsid w:val="006E608A"/>
    <w:rsid w:val="006E69B7"/>
    <w:rsid w:val="006F2173"/>
    <w:rsid w:val="006F2F11"/>
    <w:rsid w:val="006F35DD"/>
    <w:rsid w:val="006F4B88"/>
    <w:rsid w:val="007018F7"/>
    <w:rsid w:val="007022B5"/>
    <w:rsid w:val="0070453C"/>
    <w:rsid w:val="00704B7B"/>
    <w:rsid w:val="00704FF3"/>
    <w:rsid w:val="0070768F"/>
    <w:rsid w:val="00710D3B"/>
    <w:rsid w:val="007118AC"/>
    <w:rsid w:val="007129DB"/>
    <w:rsid w:val="00712B15"/>
    <w:rsid w:val="007135EB"/>
    <w:rsid w:val="00714FCA"/>
    <w:rsid w:val="00715E70"/>
    <w:rsid w:val="007179DC"/>
    <w:rsid w:val="00721B0C"/>
    <w:rsid w:val="00722B08"/>
    <w:rsid w:val="00723067"/>
    <w:rsid w:val="00724397"/>
    <w:rsid w:val="00725047"/>
    <w:rsid w:val="007250C0"/>
    <w:rsid w:val="00725FB0"/>
    <w:rsid w:val="0073150C"/>
    <w:rsid w:val="00734B67"/>
    <w:rsid w:val="00734BA7"/>
    <w:rsid w:val="00736631"/>
    <w:rsid w:val="00736B9B"/>
    <w:rsid w:val="00737B0D"/>
    <w:rsid w:val="00741811"/>
    <w:rsid w:val="00742FDC"/>
    <w:rsid w:val="0074511E"/>
    <w:rsid w:val="00747CA2"/>
    <w:rsid w:val="007518D4"/>
    <w:rsid w:val="007524D6"/>
    <w:rsid w:val="00752F53"/>
    <w:rsid w:val="00753831"/>
    <w:rsid w:val="00753E60"/>
    <w:rsid w:val="00754119"/>
    <w:rsid w:val="00754351"/>
    <w:rsid w:val="0075472D"/>
    <w:rsid w:val="00756BC6"/>
    <w:rsid w:val="007572BC"/>
    <w:rsid w:val="00760BC4"/>
    <w:rsid w:val="007620BA"/>
    <w:rsid w:val="007623E6"/>
    <w:rsid w:val="007629EE"/>
    <w:rsid w:val="00765820"/>
    <w:rsid w:val="00765B57"/>
    <w:rsid w:val="0076621A"/>
    <w:rsid w:val="00767C20"/>
    <w:rsid w:val="00767F27"/>
    <w:rsid w:val="0077024B"/>
    <w:rsid w:val="00772077"/>
    <w:rsid w:val="0077219E"/>
    <w:rsid w:val="0077291B"/>
    <w:rsid w:val="00774F7B"/>
    <w:rsid w:val="007753D4"/>
    <w:rsid w:val="00775AB7"/>
    <w:rsid w:val="00775FBF"/>
    <w:rsid w:val="007761CC"/>
    <w:rsid w:val="00777FDB"/>
    <w:rsid w:val="00780406"/>
    <w:rsid w:val="0078156C"/>
    <w:rsid w:val="00781D66"/>
    <w:rsid w:val="00782B30"/>
    <w:rsid w:val="00784E23"/>
    <w:rsid w:val="00785262"/>
    <w:rsid w:val="00785DCD"/>
    <w:rsid w:val="00786EAB"/>
    <w:rsid w:val="00786ED8"/>
    <w:rsid w:val="007876AB"/>
    <w:rsid w:val="00790AFD"/>
    <w:rsid w:val="0079180E"/>
    <w:rsid w:val="007918F8"/>
    <w:rsid w:val="00791D75"/>
    <w:rsid w:val="00792100"/>
    <w:rsid w:val="0079285F"/>
    <w:rsid w:val="00792B88"/>
    <w:rsid w:val="00793928"/>
    <w:rsid w:val="00793BF9"/>
    <w:rsid w:val="007942C0"/>
    <w:rsid w:val="00795DE7"/>
    <w:rsid w:val="00797853"/>
    <w:rsid w:val="007978E3"/>
    <w:rsid w:val="00797E67"/>
    <w:rsid w:val="007A33CB"/>
    <w:rsid w:val="007A464B"/>
    <w:rsid w:val="007A4AB5"/>
    <w:rsid w:val="007A5A6C"/>
    <w:rsid w:val="007A73E1"/>
    <w:rsid w:val="007B1224"/>
    <w:rsid w:val="007B1304"/>
    <w:rsid w:val="007B3B25"/>
    <w:rsid w:val="007B44E8"/>
    <w:rsid w:val="007B4619"/>
    <w:rsid w:val="007B4C47"/>
    <w:rsid w:val="007B5C07"/>
    <w:rsid w:val="007B625B"/>
    <w:rsid w:val="007B7707"/>
    <w:rsid w:val="007B7E9B"/>
    <w:rsid w:val="007C0468"/>
    <w:rsid w:val="007C234A"/>
    <w:rsid w:val="007C2710"/>
    <w:rsid w:val="007C3722"/>
    <w:rsid w:val="007C435F"/>
    <w:rsid w:val="007C4C88"/>
    <w:rsid w:val="007C75FB"/>
    <w:rsid w:val="007D06D2"/>
    <w:rsid w:val="007D07B6"/>
    <w:rsid w:val="007D198A"/>
    <w:rsid w:val="007D34E9"/>
    <w:rsid w:val="007D43B7"/>
    <w:rsid w:val="007D45DD"/>
    <w:rsid w:val="007D4887"/>
    <w:rsid w:val="007D50A4"/>
    <w:rsid w:val="007D530A"/>
    <w:rsid w:val="007D5BF5"/>
    <w:rsid w:val="007D7623"/>
    <w:rsid w:val="007D7FDF"/>
    <w:rsid w:val="007E01F0"/>
    <w:rsid w:val="007E02AE"/>
    <w:rsid w:val="007E079A"/>
    <w:rsid w:val="007E1736"/>
    <w:rsid w:val="007E1E74"/>
    <w:rsid w:val="007E26BF"/>
    <w:rsid w:val="007E69FA"/>
    <w:rsid w:val="007E7461"/>
    <w:rsid w:val="007F0A63"/>
    <w:rsid w:val="007F106C"/>
    <w:rsid w:val="007F1954"/>
    <w:rsid w:val="007F2C36"/>
    <w:rsid w:val="007F2C6E"/>
    <w:rsid w:val="007F3FC3"/>
    <w:rsid w:val="007F5119"/>
    <w:rsid w:val="007F694D"/>
    <w:rsid w:val="007F6A0C"/>
    <w:rsid w:val="00800963"/>
    <w:rsid w:val="0080208D"/>
    <w:rsid w:val="00804CF5"/>
    <w:rsid w:val="00806B26"/>
    <w:rsid w:val="00806C3B"/>
    <w:rsid w:val="00810906"/>
    <w:rsid w:val="00811C1C"/>
    <w:rsid w:val="00812CC3"/>
    <w:rsid w:val="0081394A"/>
    <w:rsid w:val="00813995"/>
    <w:rsid w:val="00814A21"/>
    <w:rsid w:val="00814AB9"/>
    <w:rsid w:val="00817181"/>
    <w:rsid w:val="00820EEE"/>
    <w:rsid w:val="00821E0F"/>
    <w:rsid w:val="00823EF7"/>
    <w:rsid w:val="00824F86"/>
    <w:rsid w:val="00825347"/>
    <w:rsid w:val="00826C76"/>
    <w:rsid w:val="0082790E"/>
    <w:rsid w:val="00827BDC"/>
    <w:rsid w:val="00827D9F"/>
    <w:rsid w:val="00832204"/>
    <w:rsid w:val="00833395"/>
    <w:rsid w:val="00833662"/>
    <w:rsid w:val="00833CFF"/>
    <w:rsid w:val="00834F4B"/>
    <w:rsid w:val="0083500A"/>
    <w:rsid w:val="00837A34"/>
    <w:rsid w:val="0084024A"/>
    <w:rsid w:val="0084088E"/>
    <w:rsid w:val="008419B4"/>
    <w:rsid w:val="00841D08"/>
    <w:rsid w:val="00844E3D"/>
    <w:rsid w:val="00845441"/>
    <w:rsid w:val="00845E5B"/>
    <w:rsid w:val="008471D3"/>
    <w:rsid w:val="00847AE1"/>
    <w:rsid w:val="0085044D"/>
    <w:rsid w:val="00850FBF"/>
    <w:rsid w:val="00851089"/>
    <w:rsid w:val="00851932"/>
    <w:rsid w:val="0085263C"/>
    <w:rsid w:val="00853598"/>
    <w:rsid w:val="00853626"/>
    <w:rsid w:val="008547C7"/>
    <w:rsid w:val="00857679"/>
    <w:rsid w:val="008578AA"/>
    <w:rsid w:val="00860D5B"/>
    <w:rsid w:val="0086181C"/>
    <w:rsid w:val="00861C1F"/>
    <w:rsid w:val="00862B80"/>
    <w:rsid w:val="00862C5D"/>
    <w:rsid w:val="008639A7"/>
    <w:rsid w:val="00863E90"/>
    <w:rsid w:val="00864AC6"/>
    <w:rsid w:val="00865302"/>
    <w:rsid w:val="00867572"/>
    <w:rsid w:val="00867821"/>
    <w:rsid w:val="00870475"/>
    <w:rsid w:val="00870A26"/>
    <w:rsid w:val="0087126F"/>
    <w:rsid w:val="008735A8"/>
    <w:rsid w:val="00873819"/>
    <w:rsid w:val="00874CBE"/>
    <w:rsid w:val="008756CD"/>
    <w:rsid w:val="008766EC"/>
    <w:rsid w:val="00876CA0"/>
    <w:rsid w:val="00877A8C"/>
    <w:rsid w:val="00880E86"/>
    <w:rsid w:val="00882518"/>
    <w:rsid w:val="00885B12"/>
    <w:rsid w:val="00885B56"/>
    <w:rsid w:val="00886712"/>
    <w:rsid w:val="00890601"/>
    <w:rsid w:val="008915AC"/>
    <w:rsid w:val="0089298B"/>
    <w:rsid w:val="00893D57"/>
    <w:rsid w:val="00894BBD"/>
    <w:rsid w:val="00895853"/>
    <w:rsid w:val="00897715"/>
    <w:rsid w:val="008A2DA7"/>
    <w:rsid w:val="008A369D"/>
    <w:rsid w:val="008A4135"/>
    <w:rsid w:val="008A4697"/>
    <w:rsid w:val="008A4C1C"/>
    <w:rsid w:val="008A514F"/>
    <w:rsid w:val="008B0E94"/>
    <w:rsid w:val="008B161E"/>
    <w:rsid w:val="008B295B"/>
    <w:rsid w:val="008B3A04"/>
    <w:rsid w:val="008B7E6F"/>
    <w:rsid w:val="008C22C3"/>
    <w:rsid w:val="008C24AA"/>
    <w:rsid w:val="008C2BC4"/>
    <w:rsid w:val="008C4074"/>
    <w:rsid w:val="008C5986"/>
    <w:rsid w:val="008C647D"/>
    <w:rsid w:val="008C7932"/>
    <w:rsid w:val="008D0B70"/>
    <w:rsid w:val="008D10AC"/>
    <w:rsid w:val="008D1DAB"/>
    <w:rsid w:val="008D2ECB"/>
    <w:rsid w:val="008D3303"/>
    <w:rsid w:val="008D3761"/>
    <w:rsid w:val="008D460A"/>
    <w:rsid w:val="008D472B"/>
    <w:rsid w:val="008D5395"/>
    <w:rsid w:val="008D6488"/>
    <w:rsid w:val="008D7ECF"/>
    <w:rsid w:val="008E0843"/>
    <w:rsid w:val="008E25B1"/>
    <w:rsid w:val="008E28BE"/>
    <w:rsid w:val="008E6047"/>
    <w:rsid w:val="008F15D0"/>
    <w:rsid w:val="008F25F2"/>
    <w:rsid w:val="008F28C5"/>
    <w:rsid w:val="008F3992"/>
    <w:rsid w:val="008F4879"/>
    <w:rsid w:val="008F52E2"/>
    <w:rsid w:val="008F7073"/>
    <w:rsid w:val="00900D3A"/>
    <w:rsid w:val="00901A76"/>
    <w:rsid w:val="009021E2"/>
    <w:rsid w:val="00903D64"/>
    <w:rsid w:val="0090488C"/>
    <w:rsid w:val="00905E8E"/>
    <w:rsid w:val="00906E70"/>
    <w:rsid w:val="00910320"/>
    <w:rsid w:val="00910793"/>
    <w:rsid w:val="00910C1A"/>
    <w:rsid w:val="009111BD"/>
    <w:rsid w:val="00913268"/>
    <w:rsid w:val="00913DD1"/>
    <w:rsid w:val="009157D1"/>
    <w:rsid w:val="009164A3"/>
    <w:rsid w:val="009171E1"/>
    <w:rsid w:val="009220AC"/>
    <w:rsid w:val="0092262C"/>
    <w:rsid w:val="009233F0"/>
    <w:rsid w:val="009234F2"/>
    <w:rsid w:val="00923FCB"/>
    <w:rsid w:val="0092582E"/>
    <w:rsid w:val="009265BA"/>
    <w:rsid w:val="00934D55"/>
    <w:rsid w:val="0093703C"/>
    <w:rsid w:val="00937522"/>
    <w:rsid w:val="0093773B"/>
    <w:rsid w:val="00940173"/>
    <w:rsid w:val="00940961"/>
    <w:rsid w:val="00941054"/>
    <w:rsid w:val="00942B79"/>
    <w:rsid w:val="00942EF6"/>
    <w:rsid w:val="009431BA"/>
    <w:rsid w:val="00943B63"/>
    <w:rsid w:val="00945064"/>
    <w:rsid w:val="009461C3"/>
    <w:rsid w:val="00947600"/>
    <w:rsid w:val="0095163E"/>
    <w:rsid w:val="0095276A"/>
    <w:rsid w:val="0095363D"/>
    <w:rsid w:val="00953928"/>
    <w:rsid w:val="00955221"/>
    <w:rsid w:val="00956BEA"/>
    <w:rsid w:val="00956C29"/>
    <w:rsid w:val="009609BE"/>
    <w:rsid w:val="009621E0"/>
    <w:rsid w:val="00962DFB"/>
    <w:rsid w:val="00963EBC"/>
    <w:rsid w:val="0096572A"/>
    <w:rsid w:val="00965882"/>
    <w:rsid w:val="0096624D"/>
    <w:rsid w:val="009664F0"/>
    <w:rsid w:val="009667F9"/>
    <w:rsid w:val="0096717A"/>
    <w:rsid w:val="00967F66"/>
    <w:rsid w:val="009719CB"/>
    <w:rsid w:val="009721FC"/>
    <w:rsid w:val="009734FE"/>
    <w:rsid w:val="00974C08"/>
    <w:rsid w:val="00980075"/>
    <w:rsid w:val="0098145A"/>
    <w:rsid w:val="00981905"/>
    <w:rsid w:val="00981E07"/>
    <w:rsid w:val="00981FCC"/>
    <w:rsid w:val="0098287D"/>
    <w:rsid w:val="00982F48"/>
    <w:rsid w:val="0098374A"/>
    <w:rsid w:val="00983C84"/>
    <w:rsid w:val="00985643"/>
    <w:rsid w:val="00985A9D"/>
    <w:rsid w:val="00986829"/>
    <w:rsid w:val="00987020"/>
    <w:rsid w:val="009905CD"/>
    <w:rsid w:val="00990626"/>
    <w:rsid w:val="00992911"/>
    <w:rsid w:val="009932C2"/>
    <w:rsid w:val="00995251"/>
    <w:rsid w:val="00996359"/>
    <w:rsid w:val="00996B1D"/>
    <w:rsid w:val="00996CB1"/>
    <w:rsid w:val="009A047E"/>
    <w:rsid w:val="009A12FD"/>
    <w:rsid w:val="009A1544"/>
    <w:rsid w:val="009A15EE"/>
    <w:rsid w:val="009A1719"/>
    <w:rsid w:val="009A2C26"/>
    <w:rsid w:val="009A55AC"/>
    <w:rsid w:val="009A55BC"/>
    <w:rsid w:val="009A5948"/>
    <w:rsid w:val="009A7A2F"/>
    <w:rsid w:val="009B00AA"/>
    <w:rsid w:val="009B0377"/>
    <w:rsid w:val="009B2EB7"/>
    <w:rsid w:val="009B3B9B"/>
    <w:rsid w:val="009B48E3"/>
    <w:rsid w:val="009B6011"/>
    <w:rsid w:val="009B7FD9"/>
    <w:rsid w:val="009C06D8"/>
    <w:rsid w:val="009C27AE"/>
    <w:rsid w:val="009C3A68"/>
    <w:rsid w:val="009C3E2C"/>
    <w:rsid w:val="009C4A43"/>
    <w:rsid w:val="009C623F"/>
    <w:rsid w:val="009C67E3"/>
    <w:rsid w:val="009C6BFF"/>
    <w:rsid w:val="009D0D5C"/>
    <w:rsid w:val="009D1232"/>
    <w:rsid w:val="009D1374"/>
    <w:rsid w:val="009D2C59"/>
    <w:rsid w:val="009D31D9"/>
    <w:rsid w:val="009D37F3"/>
    <w:rsid w:val="009D4038"/>
    <w:rsid w:val="009D578D"/>
    <w:rsid w:val="009D684E"/>
    <w:rsid w:val="009E200E"/>
    <w:rsid w:val="009E244B"/>
    <w:rsid w:val="009E3FF8"/>
    <w:rsid w:val="009E46CF"/>
    <w:rsid w:val="009E48CD"/>
    <w:rsid w:val="009E5785"/>
    <w:rsid w:val="009E5BBC"/>
    <w:rsid w:val="009E5C91"/>
    <w:rsid w:val="009E62EA"/>
    <w:rsid w:val="009E6903"/>
    <w:rsid w:val="009F0437"/>
    <w:rsid w:val="009F12BA"/>
    <w:rsid w:val="009F2B8A"/>
    <w:rsid w:val="009F2E86"/>
    <w:rsid w:val="009F2F94"/>
    <w:rsid w:val="009F32AC"/>
    <w:rsid w:val="009F374A"/>
    <w:rsid w:val="009F6210"/>
    <w:rsid w:val="009F6AA1"/>
    <w:rsid w:val="009F7909"/>
    <w:rsid w:val="009F7C52"/>
    <w:rsid w:val="00A00232"/>
    <w:rsid w:val="00A009C8"/>
    <w:rsid w:val="00A00B5E"/>
    <w:rsid w:val="00A017F1"/>
    <w:rsid w:val="00A0300A"/>
    <w:rsid w:val="00A036A1"/>
    <w:rsid w:val="00A04537"/>
    <w:rsid w:val="00A05ABE"/>
    <w:rsid w:val="00A11C62"/>
    <w:rsid w:val="00A12E78"/>
    <w:rsid w:val="00A13BCB"/>
    <w:rsid w:val="00A13DD1"/>
    <w:rsid w:val="00A16A39"/>
    <w:rsid w:val="00A178CE"/>
    <w:rsid w:val="00A23401"/>
    <w:rsid w:val="00A241F9"/>
    <w:rsid w:val="00A24A6D"/>
    <w:rsid w:val="00A24FB2"/>
    <w:rsid w:val="00A26251"/>
    <w:rsid w:val="00A26906"/>
    <w:rsid w:val="00A27AC8"/>
    <w:rsid w:val="00A30CE5"/>
    <w:rsid w:val="00A316CA"/>
    <w:rsid w:val="00A3298A"/>
    <w:rsid w:val="00A35011"/>
    <w:rsid w:val="00A35784"/>
    <w:rsid w:val="00A35C8C"/>
    <w:rsid w:val="00A35CA9"/>
    <w:rsid w:val="00A40B5D"/>
    <w:rsid w:val="00A40D51"/>
    <w:rsid w:val="00A41860"/>
    <w:rsid w:val="00A426FA"/>
    <w:rsid w:val="00A42B39"/>
    <w:rsid w:val="00A46BE0"/>
    <w:rsid w:val="00A4753B"/>
    <w:rsid w:val="00A47E17"/>
    <w:rsid w:val="00A47ED7"/>
    <w:rsid w:val="00A51DB7"/>
    <w:rsid w:val="00A533C2"/>
    <w:rsid w:val="00A56D1D"/>
    <w:rsid w:val="00A57BF8"/>
    <w:rsid w:val="00A57E83"/>
    <w:rsid w:val="00A57F41"/>
    <w:rsid w:val="00A615E9"/>
    <w:rsid w:val="00A61D9A"/>
    <w:rsid w:val="00A63779"/>
    <w:rsid w:val="00A67461"/>
    <w:rsid w:val="00A71A68"/>
    <w:rsid w:val="00A71EFD"/>
    <w:rsid w:val="00A732B2"/>
    <w:rsid w:val="00A7474D"/>
    <w:rsid w:val="00A80358"/>
    <w:rsid w:val="00A80795"/>
    <w:rsid w:val="00A85443"/>
    <w:rsid w:val="00A85D2B"/>
    <w:rsid w:val="00A86202"/>
    <w:rsid w:val="00A90205"/>
    <w:rsid w:val="00A91794"/>
    <w:rsid w:val="00A91D0E"/>
    <w:rsid w:val="00A92A9F"/>
    <w:rsid w:val="00A92BD0"/>
    <w:rsid w:val="00A93B78"/>
    <w:rsid w:val="00A94510"/>
    <w:rsid w:val="00A94EE1"/>
    <w:rsid w:val="00A953F0"/>
    <w:rsid w:val="00A962DE"/>
    <w:rsid w:val="00A96674"/>
    <w:rsid w:val="00A97DBA"/>
    <w:rsid w:val="00AA0A4F"/>
    <w:rsid w:val="00AA21C5"/>
    <w:rsid w:val="00AA3ADB"/>
    <w:rsid w:val="00AA3BE0"/>
    <w:rsid w:val="00AA3E7A"/>
    <w:rsid w:val="00AA50E7"/>
    <w:rsid w:val="00AB2ADB"/>
    <w:rsid w:val="00AB5004"/>
    <w:rsid w:val="00AB5D0E"/>
    <w:rsid w:val="00AB689D"/>
    <w:rsid w:val="00AB74CD"/>
    <w:rsid w:val="00AB7BFD"/>
    <w:rsid w:val="00AC018B"/>
    <w:rsid w:val="00AC01F1"/>
    <w:rsid w:val="00AC2761"/>
    <w:rsid w:val="00AC389B"/>
    <w:rsid w:val="00AC66D5"/>
    <w:rsid w:val="00AC7F4C"/>
    <w:rsid w:val="00AD034F"/>
    <w:rsid w:val="00AD0AAF"/>
    <w:rsid w:val="00AD1EAE"/>
    <w:rsid w:val="00AD23D6"/>
    <w:rsid w:val="00AD2C27"/>
    <w:rsid w:val="00AD50EB"/>
    <w:rsid w:val="00AD5861"/>
    <w:rsid w:val="00AD5C00"/>
    <w:rsid w:val="00AD5EE1"/>
    <w:rsid w:val="00AD6BB1"/>
    <w:rsid w:val="00AE0B55"/>
    <w:rsid w:val="00AE21AF"/>
    <w:rsid w:val="00AE2290"/>
    <w:rsid w:val="00AE2F36"/>
    <w:rsid w:val="00AE449F"/>
    <w:rsid w:val="00AE4E6F"/>
    <w:rsid w:val="00AE4EB0"/>
    <w:rsid w:val="00AE64BB"/>
    <w:rsid w:val="00AF1355"/>
    <w:rsid w:val="00AF1EED"/>
    <w:rsid w:val="00AF33E6"/>
    <w:rsid w:val="00AF3E46"/>
    <w:rsid w:val="00AF4A3A"/>
    <w:rsid w:val="00AF4EFE"/>
    <w:rsid w:val="00AF5636"/>
    <w:rsid w:val="00B02165"/>
    <w:rsid w:val="00B031A6"/>
    <w:rsid w:val="00B03213"/>
    <w:rsid w:val="00B04BD1"/>
    <w:rsid w:val="00B06F53"/>
    <w:rsid w:val="00B10074"/>
    <w:rsid w:val="00B12BA7"/>
    <w:rsid w:val="00B13734"/>
    <w:rsid w:val="00B13829"/>
    <w:rsid w:val="00B169F2"/>
    <w:rsid w:val="00B1719D"/>
    <w:rsid w:val="00B228CD"/>
    <w:rsid w:val="00B2504C"/>
    <w:rsid w:val="00B251EA"/>
    <w:rsid w:val="00B30D73"/>
    <w:rsid w:val="00B31DBE"/>
    <w:rsid w:val="00B35CD6"/>
    <w:rsid w:val="00B36540"/>
    <w:rsid w:val="00B37315"/>
    <w:rsid w:val="00B40F78"/>
    <w:rsid w:val="00B410E7"/>
    <w:rsid w:val="00B42478"/>
    <w:rsid w:val="00B425B1"/>
    <w:rsid w:val="00B43FCE"/>
    <w:rsid w:val="00B455A1"/>
    <w:rsid w:val="00B4677F"/>
    <w:rsid w:val="00B50094"/>
    <w:rsid w:val="00B50546"/>
    <w:rsid w:val="00B531C8"/>
    <w:rsid w:val="00B539C7"/>
    <w:rsid w:val="00B56E43"/>
    <w:rsid w:val="00B60CF6"/>
    <w:rsid w:val="00B61345"/>
    <w:rsid w:val="00B626BA"/>
    <w:rsid w:val="00B63E74"/>
    <w:rsid w:val="00B6588D"/>
    <w:rsid w:val="00B66563"/>
    <w:rsid w:val="00B67215"/>
    <w:rsid w:val="00B67B0C"/>
    <w:rsid w:val="00B70E55"/>
    <w:rsid w:val="00B71BA5"/>
    <w:rsid w:val="00B72EBC"/>
    <w:rsid w:val="00B741AD"/>
    <w:rsid w:val="00B762F6"/>
    <w:rsid w:val="00B76DF2"/>
    <w:rsid w:val="00B8061D"/>
    <w:rsid w:val="00B8295F"/>
    <w:rsid w:val="00B82C2D"/>
    <w:rsid w:val="00B831CA"/>
    <w:rsid w:val="00B83915"/>
    <w:rsid w:val="00B8501E"/>
    <w:rsid w:val="00B867B2"/>
    <w:rsid w:val="00B90449"/>
    <w:rsid w:val="00B95380"/>
    <w:rsid w:val="00B95625"/>
    <w:rsid w:val="00B9565D"/>
    <w:rsid w:val="00B96D9B"/>
    <w:rsid w:val="00B97B2E"/>
    <w:rsid w:val="00BA0A23"/>
    <w:rsid w:val="00BA0B18"/>
    <w:rsid w:val="00BA29D1"/>
    <w:rsid w:val="00BA3467"/>
    <w:rsid w:val="00BA3785"/>
    <w:rsid w:val="00BA56DD"/>
    <w:rsid w:val="00BB0005"/>
    <w:rsid w:val="00BB4903"/>
    <w:rsid w:val="00BB5549"/>
    <w:rsid w:val="00BB56EE"/>
    <w:rsid w:val="00BB5CD3"/>
    <w:rsid w:val="00BB6F28"/>
    <w:rsid w:val="00BB7DB9"/>
    <w:rsid w:val="00BB7E3F"/>
    <w:rsid w:val="00BC189F"/>
    <w:rsid w:val="00BC19FD"/>
    <w:rsid w:val="00BC1E99"/>
    <w:rsid w:val="00BC2187"/>
    <w:rsid w:val="00BC367D"/>
    <w:rsid w:val="00BC59A0"/>
    <w:rsid w:val="00BC71DE"/>
    <w:rsid w:val="00BC7ECA"/>
    <w:rsid w:val="00BD039E"/>
    <w:rsid w:val="00BD0573"/>
    <w:rsid w:val="00BD0A7A"/>
    <w:rsid w:val="00BD1398"/>
    <w:rsid w:val="00BD2899"/>
    <w:rsid w:val="00BD5006"/>
    <w:rsid w:val="00BD5540"/>
    <w:rsid w:val="00BD7033"/>
    <w:rsid w:val="00BD70C7"/>
    <w:rsid w:val="00BE0218"/>
    <w:rsid w:val="00BE0AA6"/>
    <w:rsid w:val="00BE146B"/>
    <w:rsid w:val="00BE495A"/>
    <w:rsid w:val="00BE4DA7"/>
    <w:rsid w:val="00BE5BAA"/>
    <w:rsid w:val="00BE68D0"/>
    <w:rsid w:val="00BE7043"/>
    <w:rsid w:val="00BE7DFA"/>
    <w:rsid w:val="00BF0A7D"/>
    <w:rsid w:val="00BF2FB0"/>
    <w:rsid w:val="00BF3F75"/>
    <w:rsid w:val="00BF66A4"/>
    <w:rsid w:val="00BF6E78"/>
    <w:rsid w:val="00BF78DD"/>
    <w:rsid w:val="00C000DD"/>
    <w:rsid w:val="00C004E6"/>
    <w:rsid w:val="00C00649"/>
    <w:rsid w:val="00C02605"/>
    <w:rsid w:val="00C02967"/>
    <w:rsid w:val="00C0419C"/>
    <w:rsid w:val="00C06065"/>
    <w:rsid w:val="00C06B26"/>
    <w:rsid w:val="00C06DB4"/>
    <w:rsid w:val="00C1016B"/>
    <w:rsid w:val="00C1064D"/>
    <w:rsid w:val="00C1092A"/>
    <w:rsid w:val="00C11508"/>
    <w:rsid w:val="00C1157F"/>
    <w:rsid w:val="00C11886"/>
    <w:rsid w:val="00C12FC3"/>
    <w:rsid w:val="00C13650"/>
    <w:rsid w:val="00C1489A"/>
    <w:rsid w:val="00C14ADF"/>
    <w:rsid w:val="00C16D7A"/>
    <w:rsid w:val="00C16D80"/>
    <w:rsid w:val="00C17C83"/>
    <w:rsid w:val="00C204B5"/>
    <w:rsid w:val="00C269C5"/>
    <w:rsid w:val="00C269ED"/>
    <w:rsid w:val="00C27BB9"/>
    <w:rsid w:val="00C30134"/>
    <w:rsid w:val="00C306B0"/>
    <w:rsid w:val="00C32A25"/>
    <w:rsid w:val="00C32FD7"/>
    <w:rsid w:val="00C33E10"/>
    <w:rsid w:val="00C34054"/>
    <w:rsid w:val="00C340CB"/>
    <w:rsid w:val="00C34C50"/>
    <w:rsid w:val="00C35F1A"/>
    <w:rsid w:val="00C36BAA"/>
    <w:rsid w:val="00C36E99"/>
    <w:rsid w:val="00C37F27"/>
    <w:rsid w:val="00C40AAB"/>
    <w:rsid w:val="00C42466"/>
    <w:rsid w:val="00C43B3D"/>
    <w:rsid w:val="00C4744E"/>
    <w:rsid w:val="00C519F6"/>
    <w:rsid w:val="00C51E99"/>
    <w:rsid w:val="00C53113"/>
    <w:rsid w:val="00C54C81"/>
    <w:rsid w:val="00C54D52"/>
    <w:rsid w:val="00C556D5"/>
    <w:rsid w:val="00C55BC0"/>
    <w:rsid w:val="00C61FE0"/>
    <w:rsid w:val="00C62A11"/>
    <w:rsid w:val="00C62A59"/>
    <w:rsid w:val="00C62E91"/>
    <w:rsid w:val="00C64830"/>
    <w:rsid w:val="00C658F8"/>
    <w:rsid w:val="00C668F3"/>
    <w:rsid w:val="00C66D3B"/>
    <w:rsid w:val="00C70816"/>
    <w:rsid w:val="00C70ABB"/>
    <w:rsid w:val="00C72E8B"/>
    <w:rsid w:val="00C72EA7"/>
    <w:rsid w:val="00C73387"/>
    <w:rsid w:val="00C73DA8"/>
    <w:rsid w:val="00C74F93"/>
    <w:rsid w:val="00C759C3"/>
    <w:rsid w:val="00C7675F"/>
    <w:rsid w:val="00C8143F"/>
    <w:rsid w:val="00C81998"/>
    <w:rsid w:val="00C82820"/>
    <w:rsid w:val="00C83F12"/>
    <w:rsid w:val="00C84396"/>
    <w:rsid w:val="00C848A4"/>
    <w:rsid w:val="00C85565"/>
    <w:rsid w:val="00C879C3"/>
    <w:rsid w:val="00C87D6B"/>
    <w:rsid w:val="00C90D02"/>
    <w:rsid w:val="00C91269"/>
    <w:rsid w:val="00C92E65"/>
    <w:rsid w:val="00C95E54"/>
    <w:rsid w:val="00C95FD3"/>
    <w:rsid w:val="00C97CF6"/>
    <w:rsid w:val="00CA161A"/>
    <w:rsid w:val="00CA17B0"/>
    <w:rsid w:val="00CA3252"/>
    <w:rsid w:val="00CA3C13"/>
    <w:rsid w:val="00CA76C9"/>
    <w:rsid w:val="00CA7ED4"/>
    <w:rsid w:val="00CB2351"/>
    <w:rsid w:val="00CB7513"/>
    <w:rsid w:val="00CB7F04"/>
    <w:rsid w:val="00CC14B7"/>
    <w:rsid w:val="00CC3478"/>
    <w:rsid w:val="00CC3D35"/>
    <w:rsid w:val="00CC51D1"/>
    <w:rsid w:val="00CC55B6"/>
    <w:rsid w:val="00CC623A"/>
    <w:rsid w:val="00CC7A98"/>
    <w:rsid w:val="00CD1531"/>
    <w:rsid w:val="00CD17FA"/>
    <w:rsid w:val="00CD1A4C"/>
    <w:rsid w:val="00CD1F23"/>
    <w:rsid w:val="00CD3369"/>
    <w:rsid w:val="00CD373E"/>
    <w:rsid w:val="00CD37C9"/>
    <w:rsid w:val="00CD45DF"/>
    <w:rsid w:val="00CD5B5B"/>
    <w:rsid w:val="00CD60DA"/>
    <w:rsid w:val="00CD632B"/>
    <w:rsid w:val="00CD72BE"/>
    <w:rsid w:val="00CD72E2"/>
    <w:rsid w:val="00CD7EA6"/>
    <w:rsid w:val="00CE08A7"/>
    <w:rsid w:val="00CE09C7"/>
    <w:rsid w:val="00CE20EF"/>
    <w:rsid w:val="00CE283F"/>
    <w:rsid w:val="00CE291A"/>
    <w:rsid w:val="00CE2999"/>
    <w:rsid w:val="00CE42D6"/>
    <w:rsid w:val="00CE6FD2"/>
    <w:rsid w:val="00CF281B"/>
    <w:rsid w:val="00D00604"/>
    <w:rsid w:val="00D00D4E"/>
    <w:rsid w:val="00D01644"/>
    <w:rsid w:val="00D01921"/>
    <w:rsid w:val="00D01CD4"/>
    <w:rsid w:val="00D022DB"/>
    <w:rsid w:val="00D02506"/>
    <w:rsid w:val="00D02F6B"/>
    <w:rsid w:val="00D05465"/>
    <w:rsid w:val="00D0650C"/>
    <w:rsid w:val="00D07EFB"/>
    <w:rsid w:val="00D12479"/>
    <w:rsid w:val="00D12FF3"/>
    <w:rsid w:val="00D13D77"/>
    <w:rsid w:val="00D163BE"/>
    <w:rsid w:val="00D167DF"/>
    <w:rsid w:val="00D16913"/>
    <w:rsid w:val="00D17266"/>
    <w:rsid w:val="00D17B21"/>
    <w:rsid w:val="00D20DAE"/>
    <w:rsid w:val="00D22945"/>
    <w:rsid w:val="00D2386E"/>
    <w:rsid w:val="00D35025"/>
    <w:rsid w:val="00D3676F"/>
    <w:rsid w:val="00D3718B"/>
    <w:rsid w:val="00D3778C"/>
    <w:rsid w:val="00D40CCF"/>
    <w:rsid w:val="00D42431"/>
    <w:rsid w:val="00D42D4C"/>
    <w:rsid w:val="00D4558F"/>
    <w:rsid w:val="00D5110A"/>
    <w:rsid w:val="00D51551"/>
    <w:rsid w:val="00D5155D"/>
    <w:rsid w:val="00D53334"/>
    <w:rsid w:val="00D54112"/>
    <w:rsid w:val="00D5470D"/>
    <w:rsid w:val="00D6397F"/>
    <w:rsid w:val="00D65399"/>
    <w:rsid w:val="00D660FC"/>
    <w:rsid w:val="00D664D0"/>
    <w:rsid w:val="00D67104"/>
    <w:rsid w:val="00D6781E"/>
    <w:rsid w:val="00D67863"/>
    <w:rsid w:val="00D71C97"/>
    <w:rsid w:val="00D729DF"/>
    <w:rsid w:val="00D72AD8"/>
    <w:rsid w:val="00D73106"/>
    <w:rsid w:val="00D74316"/>
    <w:rsid w:val="00D74EC2"/>
    <w:rsid w:val="00D756D8"/>
    <w:rsid w:val="00D75DD5"/>
    <w:rsid w:val="00D7694D"/>
    <w:rsid w:val="00D771EF"/>
    <w:rsid w:val="00D77789"/>
    <w:rsid w:val="00D77F75"/>
    <w:rsid w:val="00D80ED0"/>
    <w:rsid w:val="00D826E6"/>
    <w:rsid w:val="00D8568B"/>
    <w:rsid w:val="00D85841"/>
    <w:rsid w:val="00D9117B"/>
    <w:rsid w:val="00D9311A"/>
    <w:rsid w:val="00D936F8"/>
    <w:rsid w:val="00D951F2"/>
    <w:rsid w:val="00D9548A"/>
    <w:rsid w:val="00D958DD"/>
    <w:rsid w:val="00D970B6"/>
    <w:rsid w:val="00D97CA5"/>
    <w:rsid w:val="00DA02B4"/>
    <w:rsid w:val="00DA1C74"/>
    <w:rsid w:val="00DA1F6E"/>
    <w:rsid w:val="00DA2247"/>
    <w:rsid w:val="00DA3F6B"/>
    <w:rsid w:val="00DA6102"/>
    <w:rsid w:val="00DA7FDD"/>
    <w:rsid w:val="00DB0AF1"/>
    <w:rsid w:val="00DB17F7"/>
    <w:rsid w:val="00DB2B34"/>
    <w:rsid w:val="00DB386D"/>
    <w:rsid w:val="00DB4421"/>
    <w:rsid w:val="00DB6EEE"/>
    <w:rsid w:val="00DC0C08"/>
    <w:rsid w:val="00DC4E78"/>
    <w:rsid w:val="00DC57EF"/>
    <w:rsid w:val="00DD3DE7"/>
    <w:rsid w:val="00DD466A"/>
    <w:rsid w:val="00DD5655"/>
    <w:rsid w:val="00DD6842"/>
    <w:rsid w:val="00DD753E"/>
    <w:rsid w:val="00DE1F76"/>
    <w:rsid w:val="00DE2FE7"/>
    <w:rsid w:val="00DE36D5"/>
    <w:rsid w:val="00DE5955"/>
    <w:rsid w:val="00DE5C1A"/>
    <w:rsid w:val="00DE6DD1"/>
    <w:rsid w:val="00DF155D"/>
    <w:rsid w:val="00DF18A6"/>
    <w:rsid w:val="00DF1BE4"/>
    <w:rsid w:val="00DF2F93"/>
    <w:rsid w:val="00E00357"/>
    <w:rsid w:val="00E011EC"/>
    <w:rsid w:val="00E01AE6"/>
    <w:rsid w:val="00E02169"/>
    <w:rsid w:val="00E021B5"/>
    <w:rsid w:val="00E03ED2"/>
    <w:rsid w:val="00E048C2"/>
    <w:rsid w:val="00E0536F"/>
    <w:rsid w:val="00E05FD8"/>
    <w:rsid w:val="00E07D5B"/>
    <w:rsid w:val="00E102DC"/>
    <w:rsid w:val="00E12654"/>
    <w:rsid w:val="00E12F0E"/>
    <w:rsid w:val="00E131D3"/>
    <w:rsid w:val="00E13858"/>
    <w:rsid w:val="00E1488F"/>
    <w:rsid w:val="00E16FC6"/>
    <w:rsid w:val="00E17520"/>
    <w:rsid w:val="00E20158"/>
    <w:rsid w:val="00E2079F"/>
    <w:rsid w:val="00E22D6E"/>
    <w:rsid w:val="00E25520"/>
    <w:rsid w:val="00E259B8"/>
    <w:rsid w:val="00E3241A"/>
    <w:rsid w:val="00E33DD9"/>
    <w:rsid w:val="00E364ED"/>
    <w:rsid w:val="00E37137"/>
    <w:rsid w:val="00E374F7"/>
    <w:rsid w:val="00E41FE6"/>
    <w:rsid w:val="00E42300"/>
    <w:rsid w:val="00E42D6F"/>
    <w:rsid w:val="00E43347"/>
    <w:rsid w:val="00E4347B"/>
    <w:rsid w:val="00E44081"/>
    <w:rsid w:val="00E46632"/>
    <w:rsid w:val="00E4764A"/>
    <w:rsid w:val="00E51141"/>
    <w:rsid w:val="00E516A1"/>
    <w:rsid w:val="00E517F8"/>
    <w:rsid w:val="00E51ABD"/>
    <w:rsid w:val="00E51B6D"/>
    <w:rsid w:val="00E53177"/>
    <w:rsid w:val="00E53940"/>
    <w:rsid w:val="00E543E2"/>
    <w:rsid w:val="00E54805"/>
    <w:rsid w:val="00E54AA6"/>
    <w:rsid w:val="00E55017"/>
    <w:rsid w:val="00E5571D"/>
    <w:rsid w:val="00E56268"/>
    <w:rsid w:val="00E569EF"/>
    <w:rsid w:val="00E5793D"/>
    <w:rsid w:val="00E6030F"/>
    <w:rsid w:val="00E60D67"/>
    <w:rsid w:val="00E62846"/>
    <w:rsid w:val="00E62FB2"/>
    <w:rsid w:val="00E637C4"/>
    <w:rsid w:val="00E675CA"/>
    <w:rsid w:val="00E67A0D"/>
    <w:rsid w:val="00E70D13"/>
    <w:rsid w:val="00E72A9B"/>
    <w:rsid w:val="00E72B68"/>
    <w:rsid w:val="00E742F3"/>
    <w:rsid w:val="00E74A9F"/>
    <w:rsid w:val="00E75540"/>
    <w:rsid w:val="00E765CD"/>
    <w:rsid w:val="00E76B43"/>
    <w:rsid w:val="00E77E13"/>
    <w:rsid w:val="00E8096F"/>
    <w:rsid w:val="00E80A2D"/>
    <w:rsid w:val="00E81874"/>
    <w:rsid w:val="00E820F2"/>
    <w:rsid w:val="00E8251D"/>
    <w:rsid w:val="00E82CD3"/>
    <w:rsid w:val="00E83559"/>
    <w:rsid w:val="00E84544"/>
    <w:rsid w:val="00E84C16"/>
    <w:rsid w:val="00E8529E"/>
    <w:rsid w:val="00E903FD"/>
    <w:rsid w:val="00E916CB"/>
    <w:rsid w:val="00E959C2"/>
    <w:rsid w:val="00E96732"/>
    <w:rsid w:val="00EA040D"/>
    <w:rsid w:val="00EA1F93"/>
    <w:rsid w:val="00EA20A0"/>
    <w:rsid w:val="00EA550F"/>
    <w:rsid w:val="00EA5AB0"/>
    <w:rsid w:val="00EA63E0"/>
    <w:rsid w:val="00EA6CF9"/>
    <w:rsid w:val="00EB0423"/>
    <w:rsid w:val="00EB1F21"/>
    <w:rsid w:val="00EB2B8B"/>
    <w:rsid w:val="00EB4127"/>
    <w:rsid w:val="00EB64E8"/>
    <w:rsid w:val="00EB77E0"/>
    <w:rsid w:val="00EB7C34"/>
    <w:rsid w:val="00EB7F24"/>
    <w:rsid w:val="00EC12CC"/>
    <w:rsid w:val="00EC3155"/>
    <w:rsid w:val="00EC3804"/>
    <w:rsid w:val="00EC3F67"/>
    <w:rsid w:val="00EC40D8"/>
    <w:rsid w:val="00EC5A7D"/>
    <w:rsid w:val="00EC69B3"/>
    <w:rsid w:val="00EC6C31"/>
    <w:rsid w:val="00EC6DF2"/>
    <w:rsid w:val="00ED1648"/>
    <w:rsid w:val="00ED1897"/>
    <w:rsid w:val="00ED3E26"/>
    <w:rsid w:val="00ED7007"/>
    <w:rsid w:val="00ED7E5C"/>
    <w:rsid w:val="00ED7F90"/>
    <w:rsid w:val="00EE15A6"/>
    <w:rsid w:val="00EE21AA"/>
    <w:rsid w:val="00EE26B3"/>
    <w:rsid w:val="00EE2956"/>
    <w:rsid w:val="00EE45BF"/>
    <w:rsid w:val="00EE4719"/>
    <w:rsid w:val="00EE54FD"/>
    <w:rsid w:val="00EE5750"/>
    <w:rsid w:val="00EE6633"/>
    <w:rsid w:val="00EE797A"/>
    <w:rsid w:val="00EF0BBA"/>
    <w:rsid w:val="00EF118F"/>
    <w:rsid w:val="00EF1522"/>
    <w:rsid w:val="00EF183A"/>
    <w:rsid w:val="00EF1F99"/>
    <w:rsid w:val="00EF3431"/>
    <w:rsid w:val="00EF3737"/>
    <w:rsid w:val="00EF4FAA"/>
    <w:rsid w:val="00EF70B6"/>
    <w:rsid w:val="00EF7712"/>
    <w:rsid w:val="00EF7F09"/>
    <w:rsid w:val="00EF7F15"/>
    <w:rsid w:val="00F05892"/>
    <w:rsid w:val="00F06459"/>
    <w:rsid w:val="00F076C1"/>
    <w:rsid w:val="00F10281"/>
    <w:rsid w:val="00F11F2A"/>
    <w:rsid w:val="00F128D7"/>
    <w:rsid w:val="00F137F1"/>
    <w:rsid w:val="00F14800"/>
    <w:rsid w:val="00F16147"/>
    <w:rsid w:val="00F16A6D"/>
    <w:rsid w:val="00F20A1E"/>
    <w:rsid w:val="00F20C8C"/>
    <w:rsid w:val="00F24833"/>
    <w:rsid w:val="00F251DF"/>
    <w:rsid w:val="00F264BD"/>
    <w:rsid w:val="00F26C68"/>
    <w:rsid w:val="00F2789D"/>
    <w:rsid w:val="00F31B40"/>
    <w:rsid w:val="00F33445"/>
    <w:rsid w:val="00F33D62"/>
    <w:rsid w:val="00F35239"/>
    <w:rsid w:val="00F40798"/>
    <w:rsid w:val="00F40DBD"/>
    <w:rsid w:val="00F41166"/>
    <w:rsid w:val="00F41AE0"/>
    <w:rsid w:val="00F43765"/>
    <w:rsid w:val="00F443D6"/>
    <w:rsid w:val="00F44DD8"/>
    <w:rsid w:val="00F44F4C"/>
    <w:rsid w:val="00F513FA"/>
    <w:rsid w:val="00F51B00"/>
    <w:rsid w:val="00F52AEB"/>
    <w:rsid w:val="00F53F5A"/>
    <w:rsid w:val="00F543D3"/>
    <w:rsid w:val="00F54D4F"/>
    <w:rsid w:val="00F54DCF"/>
    <w:rsid w:val="00F55B27"/>
    <w:rsid w:val="00F5698F"/>
    <w:rsid w:val="00F62EC7"/>
    <w:rsid w:val="00F643FF"/>
    <w:rsid w:val="00F65EF9"/>
    <w:rsid w:val="00F6625F"/>
    <w:rsid w:val="00F664F0"/>
    <w:rsid w:val="00F66ABB"/>
    <w:rsid w:val="00F67C48"/>
    <w:rsid w:val="00F70D47"/>
    <w:rsid w:val="00F713E4"/>
    <w:rsid w:val="00F71518"/>
    <w:rsid w:val="00F71B72"/>
    <w:rsid w:val="00F754D8"/>
    <w:rsid w:val="00F75EAC"/>
    <w:rsid w:val="00F76B66"/>
    <w:rsid w:val="00F77BAA"/>
    <w:rsid w:val="00F80034"/>
    <w:rsid w:val="00F80182"/>
    <w:rsid w:val="00F8068F"/>
    <w:rsid w:val="00F81A51"/>
    <w:rsid w:val="00F824A0"/>
    <w:rsid w:val="00F824AB"/>
    <w:rsid w:val="00F848A6"/>
    <w:rsid w:val="00F848EE"/>
    <w:rsid w:val="00F86441"/>
    <w:rsid w:val="00F86F40"/>
    <w:rsid w:val="00F87B2A"/>
    <w:rsid w:val="00F87FE9"/>
    <w:rsid w:val="00F90148"/>
    <w:rsid w:val="00F912C1"/>
    <w:rsid w:val="00F935E9"/>
    <w:rsid w:val="00F947C0"/>
    <w:rsid w:val="00F96136"/>
    <w:rsid w:val="00F9652A"/>
    <w:rsid w:val="00F9673B"/>
    <w:rsid w:val="00F974CB"/>
    <w:rsid w:val="00F97DD9"/>
    <w:rsid w:val="00FA0326"/>
    <w:rsid w:val="00FA06F4"/>
    <w:rsid w:val="00FA1570"/>
    <w:rsid w:val="00FA20EA"/>
    <w:rsid w:val="00FA225D"/>
    <w:rsid w:val="00FA5D50"/>
    <w:rsid w:val="00FA629E"/>
    <w:rsid w:val="00FA69C1"/>
    <w:rsid w:val="00FA7F06"/>
    <w:rsid w:val="00FB0BEC"/>
    <w:rsid w:val="00FB17EC"/>
    <w:rsid w:val="00FB4694"/>
    <w:rsid w:val="00FB4C4B"/>
    <w:rsid w:val="00FB67B8"/>
    <w:rsid w:val="00FB7253"/>
    <w:rsid w:val="00FC4FB1"/>
    <w:rsid w:val="00FC57C6"/>
    <w:rsid w:val="00FC5B56"/>
    <w:rsid w:val="00FC5EF8"/>
    <w:rsid w:val="00FC6FD9"/>
    <w:rsid w:val="00FC74AB"/>
    <w:rsid w:val="00FC7A86"/>
    <w:rsid w:val="00FC7AFB"/>
    <w:rsid w:val="00FD0492"/>
    <w:rsid w:val="00FD2260"/>
    <w:rsid w:val="00FD3446"/>
    <w:rsid w:val="00FD4271"/>
    <w:rsid w:val="00FD4309"/>
    <w:rsid w:val="00FD497C"/>
    <w:rsid w:val="00FD5586"/>
    <w:rsid w:val="00FD570A"/>
    <w:rsid w:val="00FD5DCA"/>
    <w:rsid w:val="00FD7879"/>
    <w:rsid w:val="00FE46DA"/>
    <w:rsid w:val="00FE4B45"/>
    <w:rsid w:val="00FE5852"/>
    <w:rsid w:val="00FE6261"/>
    <w:rsid w:val="00FE6477"/>
    <w:rsid w:val="00FF1B78"/>
    <w:rsid w:val="00FF37AD"/>
    <w:rsid w:val="00FF5A81"/>
    <w:rsid w:val="00FF5F61"/>
    <w:rsid w:val="00FF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8F"/>
    <w:pPr>
      <w:widowControl w:val="0"/>
      <w:spacing w:after="0" w:line="240" w:lineRule="auto"/>
    </w:pPr>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88C"/>
    <w:pPr>
      <w:spacing w:before="120" w:after="120"/>
      <w:ind w:left="720"/>
      <w:contextualSpacing/>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semiHidden/>
    <w:unhideWhenUsed/>
    <w:rsid w:val="00115A27"/>
    <w:rPr>
      <w:sz w:val="20"/>
      <w:szCs w:val="20"/>
    </w:rPr>
  </w:style>
  <w:style w:type="character" w:customStyle="1" w:styleId="CommentTextChar">
    <w:name w:val="Comment Text Char"/>
    <w:basedOn w:val="DefaultParagraphFont"/>
    <w:link w:val="CommentText"/>
    <w:uiPriority w:val="99"/>
    <w:semiHidden/>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basedOn w:val="Normal"/>
    <w:link w:val="FootnoteTextChar"/>
    <w:uiPriority w:val="99"/>
    <w:unhideWhenUsed/>
    <w:rsid w:val="00034174"/>
    <w:rPr>
      <w:sz w:val="20"/>
      <w:szCs w:val="20"/>
    </w:rPr>
  </w:style>
  <w:style w:type="character" w:customStyle="1" w:styleId="FootnoteTextChar">
    <w:name w:val="Footnote Text Char"/>
    <w:basedOn w:val="DefaultParagraphFont"/>
    <w:link w:val="FootnoteText"/>
    <w:uiPriority w:val="99"/>
    <w:rsid w:val="00034174"/>
    <w:rPr>
      <w:sz w:val="20"/>
      <w:szCs w:val="20"/>
    </w:rPr>
  </w:style>
  <w:style w:type="character" w:styleId="FootnoteReference">
    <w:name w:val="footnote reference"/>
    <w:basedOn w:val="DefaultParagraphFont"/>
    <w:uiPriority w:val="99"/>
    <w:semiHidden/>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iPriority w:val="99"/>
    <w:unhideWhenUsed/>
    <w:rsid w:val="0090488C"/>
    <w:pPr>
      <w:numPr>
        <w:numId w:val="6"/>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7"/>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semiHidden/>
    <w:unhideWhenUsed/>
    <w:rsid w:val="00464AE5"/>
    <w:rPr>
      <w:sz w:val="20"/>
      <w:szCs w:val="20"/>
    </w:rPr>
  </w:style>
  <w:style w:type="character" w:customStyle="1" w:styleId="EndnoteTextChar">
    <w:name w:val="Endnote Text Char"/>
    <w:basedOn w:val="DefaultParagraphFont"/>
    <w:link w:val="EndnoteText"/>
    <w:uiPriority w:val="99"/>
    <w:semiHidden/>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widowControl/>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5E4540"/>
    <w:pPr>
      <w:numPr>
        <w:numId w:val="14"/>
      </w:numPr>
    </w:pPr>
  </w:style>
  <w:style w:type="paragraph" w:customStyle="1" w:styleId="Heading2notoc">
    <w:name w:val="Heading 2 no toc"/>
    <w:basedOn w:val="Heading2"/>
    <w:uiPriority w:val="99"/>
    <w:rsid w:val="003B754F"/>
    <w:pPr>
      <w:keepNext/>
      <w:keepLines/>
      <w:widowControl/>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styleId="FollowedHyperlink">
    <w:name w:val="FollowedHyperlink"/>
    <w:basedOn w:val="DefaultParagraphFont"/>
    <w:uiPriority w:val="99"/>
    <w:semiHidden/>
    <w:unhideWhenUsed/>
    <w:rsid w:val="005A6F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8F"/>
    <w:pPr>
      <w:widowControl w:val="0"/>
      <w:spacing w:after="0" w:line="240" w:lineRule="auto"/>
    </w:pPr>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88C"/>
    <w:pPr>
      <w:spacing w:before="120" w:after="120"/>
      <w:ind w:left="720"/>
      <w:contextualSpacing/>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semiHidden/>
    <w:unhideWhenUsed/>
    <w:rsid w:val="00115A27"/>
    <w:rPr>
      <w:sz w:val="20"/>
      <w:szCs w:val="20"/>
    </w:rPr>
  </w:style>
  <w:style w:type="character" w:customStyle="1" w:styleId="CommentTextChar">
    <w:name w:val="Comment Text Char"/>
    <w:basedOn w:val="DefaultParagraphFont"/>
    <w:link w:val="CommentText"/>
    <w:uiPriority w:val="99"/>
    <w:semiHidden/>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basedOn w:val="Normal"/>
    <w:link w:val="FootnoteTextChar"/>
    <w:uiPriority w:val="99"/>
    <w:unhideWhenUsed/>
    <w:rsid w:val="00034174"/>
    <w:rPr>
      <w:sz w:val="20"/>
      <w:szCs w:val="20"/>
    </w:rPr>
  </w:style>
  <w:style w:type="character" w:customStyle="1" w:styleId="FootnoteTextChar">
    <w:name w:val="Footnote Text Char"/>
    <w:basedOn w:val="DefaultParagraphFont"/>
    <w:link w:val="FootnoteText"/>
    <w:uiPriority w:val="99"/>
    <w:rsid w:val="00034174"/>
    <w:rPr>
      <w:sz w:val="20"/>
      <w:szCs w:val="20"/>
    </w:rPr>
  </w:style>
  <w:style w:type="character" w:styleId="FootnoteReference">
    <w:name w:val="footnote reference"/>
    <w:basedOn w:val="DefaultParagraphFont"/>
    <w:uiPriority w:val="99"/>
    <w:semiHidden/>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iPriority w:val="99"/>
    <w:unhideWhenUsed/>
    <w:rsid w:val="0090488C"/>
    <w:pPr>
      <w:numPr>
        <w:numId w:val="6"/>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7"/>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semiHidden/>
    <w:unhideWhenUsed/>
    <w:rsid w:val="00464AE5"/>
    <w:rPr>
      <w:sz w:val="20"/>
      <w:szCs w:val="20"/>
    </w:rPr>
  </w:style>
  <w:style w:type="character" w:customStyle="1" w:styleId="EndnoteTextChar">
    <w:name w:val="Endnote Text Char"/>
    <w:basedOn w:val="DefaultParagraphFont"/>
    <w:link w:val="EndnoteText"/>
    <w:uiPriority w:val="99"/>
    <w:semiHidden/>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widowControl/>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5E4540"/>
    <w:pPr>
      <w:numPr>
        <w:numId w:val="14"/>
      </w:numPr>
    </w:pPr>
  </w:style>
  <w:style w:type="paragraph" w:customStyle="1" w:styleId="Heading2notoc">
    <w:name w:val="Heading 2 no toc"/>
    <w:basedOn w:val="Heading2"/>
    <w:uiPriority w:val="99"/>
    <w:rsid w:val="003B754F"/>
    <w:pPr>
      <w:keepNext/>
      <w:keepLines/>
      <w:widowControl/>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048044">
      <w:bodyDiv w:val="1"/>
      <w:marLeft w:val="0"/>
      <w:marRight w:val="0"/>
      <w:marTop w:val="0"/>
      <w:marBottom w:val="0"/>
      <w:divBdr>
        <w:top w:val="none" w:sz="0" w:space="0" w:color="auto"/>
        <w:left w:val="none" w:sz="0" w:space="0" w:color="auto"/>
        <w:bottom w:val="none" w:sz="0" w:space="0" w:color="auto"/>
        <w:right w:val="none" w:sz="0" w:space="0" w:color="auto"/>
      </w:divBdr>
      <w:divsChild>
        <w:div w:id="3724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afeguardsconsult@worldbank.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orldbank.org/safeguardsconsultation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ideffectiveness.org/busanhlf4/" TargetMode="External"/><Relationship Id="rId2" Type="http://schemas.openxmlformats.org/officeDocument/2006/relationships/hyperlink" Target="http://go.worldbank.org/ZA4YFV9OL0" TargetMode="External"/><Relationship Id="rId1" Type="http://schemas.openxmlformats.org/officeDocument/2006/relationships/hyperlink" Target="http://go.worldbank.org/ZA4YFV9OL0" TargetMode="External"/><Relationship Id="rId5" Type="http://schemas.openxmlformats.org/officeDocument/2006/relationships/hyperlink" Target="http://go.worldbank.org/QE64AT0D50" TargetMode="External"/><Relationship Id="rId4" Type="http://schemas.openxmlformats.org/officeDocument/2006/relationships/hyperlink" Target="http://go.worldbank.org/RHRJVXDW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859B-B070-4DBC-9742-D35DC7646AC6}">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534B369-6A3C-4186-802A-12EEAC0E5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1C20A8-409D-4F3C-9BE3-AF3CC0DA9791}">
  <ds:schemaRefs>
    <ds:schemaRef ds:uri="http://schemas.microsoft.com/sharepoint/v3/contenttype/forms"/>
  </ds:schemaRefs>
</ds:datastoreItem>
</file>

<file path=customXml/itemProps4.xml><?xml version="1.0" encoding="utf-8"?>
<ds:datastoreItem xmlns:ds="http://schemas.openxmlformats.org/officeDocument/2006/customXml" ds:itemID="{34AD9E24-FF48-4E16-B02B-A5CC55A903B1}">
  <ds:schemaRefs>
    <ds:schemaRef ds:uri="http://schemas.openxmlformats.org/officeDocument/2006/bibliography"/>
  </ds:schemaRefs>
</ds:datastoreItem>
</file>

<file path=customXml/itemProps5.xml><?xml version="1.0" encoding="utf-8"?>
<ds:datastoreItem xmlns:ds="http://schemas.openxmlformats.org/officeDocument/2006/customXml" ds:itemID="{576179BB-CBF1-433A-B9FD-A08EDAA1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8481</Words>
  <Characters>48347</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Qays Hamad (OPCQC)</dc:creator>
  <cp:lastModifiedBy>Jennifer Chato</cp:lastModifiedBy>
  <cp:revision>2</cp:revision>
  <cp:lastPrinted>2012-10-15T14:28:00Z</cp:lastPrinted>
  <dcterms:created xsi:type="dcterms:W3CDTF">2013-10-03T23:42:00Z</dcterms:created>
  <dcterms:modified xsi:type="dcterms:W3CDTF">2013-10-03T23:42:00Z</dcterms:modified>
</cp:coreProperties>
</file>