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8ED" w:rsidRPr="007B5C1C" w:rsidRDefault="00C471AB" w:rsidP="002508ED">
      <w:pPr>
        <w:spacing w:after="200" w:line="276" w:lineRule="auto"/>
        <w:rPr>
          <w:rFonts w:cs="Times New Roman"/>
          <w:smallCaps/>
        </w:rPr>
      </w:pPr>
      <w:r>
        <w:rPr>
          <w:rFonts w:cs="Times New Roman"/>
          <w:smallCaps/>
          <w:noProof/>
        </w:rPr>
        <w:pict>
          <v:shapetype id="_x0000_t202" coordsize="21600,21600" o:spt="202" path="m,l,21600r21600,l21600,xe">
            <v:stroke joinstyle="miter"/>
            <v:path gradientshapeok="t" o:connecttype="rect"/>
          </v:shapetype>
          <v:shape id="_x0000_s1026" type="#_x0000_t202" style="position:absolute;margin-left:11.25pt;margin-top:-3.35pt;width:440.25pt;height:651.6pt;z-index:251660288;mso-wrap-edited:f" wrapcoords="-36 0 -36 21575 21636 21575 21636 0 -36 0">
            <v:textbox style="mso-next-textbox:#_x0000_s1026">
              <w:txbxContent>
                <w:p w:rsidR="003910C1" w:rsidRDefault="003910C1" w:rsidP="003B754F">
                  <w:pPr>
                    <w:rPr>
                      <w:rFonts w:cs="Times New Roman"/>
                      <w:smallCaps/>
                    </w:rPr>
                  </w:pPr>
                </w:p>
                <w:p w:rsidR="003910C1" w:rsidRPr="002508ED" w:rsidRDefault="003910C1" w:rsidP="002508ED">
                  <w:pPr>
                    <w:jc w:val="center"/>
                    <w:rPr>
                      <w:rFonts w:cs="Times New Roman"/>
                      <w:b/>
                      <w:smallCaps/>
                    </w:rPr>
                  </w:pPr>
                </w:p>
                <w:p w:rsidR="003910C1" w:rsidRDefault="003910C1" w:rsidP="003B754F">
                  <w:pPr>
                    <w:rPr>
                      <w:rFonts w:cs="Times New Roman"/>
                      <w:smallCaps/>
                    </w:rPr>
                  </w:pPr>
                </w:p>
                <w:p w:rsidR="003910C1" w:rsidRDefault="003910C1" w:rsidP="003B754F">
                  <w:pPr>
                    <w:rPr>
                      <w:rFonts w:cs="Times New Roman"/>
                      <w:smallCaps/>
                    </w:rPr>
                  </w:pPr>
                </w:p>
                <w:p w:rsidR="003910C1" w:rsidRDefault="003910C1" w:rsidP="003B754F">
                  <w:pPr>
                    <w:rPr>
                      <w:rFonts w:cs="Times New Roman"/>
                      <w:smallCaps/>
                    </w:rPr>
                  </w:pPr>
                </w:p>
                <w:p w:rsidR="003910C1" w:rsidRDefault="003910C1" w:rsidP="003B754F">
                  <w:pPr>
                    <w:rPr>
                      <w:rFonts w:cs="Times New Roman"/>
                      <w:smallCaps/>
                    </w:rPr>
                  </w:pPr>
                </w:p>
                <w:p w:rsidR="003910C1" w:rsidRDefault="003910C1" w:rsidP="003B754F">
                  <w:pPr>
                    <w:rPr>
                      <w:rFonts w:cs="Times New Roman"/>
                      <w:smallCaps/>
                    </w:rPr>
                  </w:pPr>
                </w:p>
                <w:p w:rsidR="003910C1" w:rsidRDefault="003910C1" w:rsidP="003B754F">
                  <w:pPr>
                    <w:rPr>
                      <w:rFonts w:cs="Times New Roman"/>
                      <w:smallCaps/>
                    </w:rPr>
                  </w:pPr>
                </w:p>
                <w:p w:rsidR="003910C1" w:rsidRDefault="003910C1" w:rsidP="003B754F">
                  <w:pPr>
                    <w:rPr>
                      <w:rFonts w:cs="Times New Roman"/>
                      <w:smallCaps/>
                    </w:rPr>
                  </w:pPr>
                </w:p>
                <w:p w:rsidR="003910C1" w:rsidRDefault="003910C1" w:rsidP="003B754F">
                  <w:pPr>
                    <w:rPr>
                      <w:rFonts w:cs="Times New Roman"/>
                      <w:smallCaps/>
                    </w:rPr>
                  </w:pPr>
                </w:p>
                <w:p w:rsidR="003910C1" w:rsidRDefault="003910C1" w:rsidP="003B754F">
                  <w:pPr>
                    <w:rPr>
                      <w:rFonts w:cs="Times New Roman"/>
                      <w:smallCaps/>
                    </w:rPr>
                  </w:pPr>
                </w:p>
                <w:p w:rsidR="003910C1" w:rsidRDefault="003910C1" w:rsidP="003B754F">
                  <w:pPr>
                    <w:rPr>
                      <w:rFonts w:cs="Times New Roman"/>
                      <w:smallCaps/>
                    </w:rPr>
                  </w:pPr>
                </w:p>
                <w:p w:rsidR="003910C1" w:rsidRDefault="003910C1" w:rsidP="003B754F">
                  <w:pPr>
                    <w:rPr>
                      <w:rFonts w:cs="Times New Roman"/>
                      <w:smallCaps/>
                    </w:rPr>
                  </w:pPr>
                </w:p>
                <w:p w:rsidR="003910C1" w:rsidRDefault="003910C1" w:rsidP="003B754F">
                  <w:pPr>
                    <w:jc w:val="center"/>
                    <w:rPr>
                      <w:rFonts w:cs="Times New Roman"/>
                      <w:b/>
                      <w:bCs/>
                      <w:smallCaps/>
                      <w:sz w:val="36"/>
                      <w:szCs w:val="36"/>
                    </w:rPr>
                  </w:pPr>
                  <w:r>
                    <w:rPr>
                      <w:rFonts w:cs="Times New Roman"/>
                      <w:b/>
                      <w:bCs/>
                      <w:smallCaps/>
                      <w:sz w:val="36"/>
                      <w:szCs w:val="36"/>
                    </w:rPr>
                    <w:t>the World Bank’s Safeguard Policies</w:t>
                  </w:r>
                </w:p>
                <w:p w:rsidR="003910C1" w:rsidRDefault="003910C1" w:rsidP="003B754F">
                  <w:pPr>
                    <w:jc w:val="center"/>
                    <w:rPr>
                      <w:rFonts w:cs="Times New Roman"/>
                      <w:b/>
                      <w:bCs/>
                      <w:smallCaps/>
                      <w:sz w:val="36"/>
                      <w:szCs w:val="36"/>
                    </w:rPr>
                  </w:pPr>
                </w:p>
                <w:p w:rsidR="003910C1" w:rsidRDefault="003910C1" w:rsidP="003B754F">
                  <w:pPr>
                    <w:jc w:val="center"/>
                    <w:rPr>
                      <w:rFonts w:cs="Times New Roman"/>
                      <w:b/>
                      <w:bCs/>
                      <w:smallCaps/>
                      <w:sz w:val="36"/>
                      <w:szCs w:val="36"/>
                    </w:rPr>
                  </w:pPr>
                  <w:r>
                    <w:rPr>
                      <w:rFonts w:cs="Times New Roman"/>
                      <w:b/>
                      <w:bCs/>
                      <w:smallCaps/>
                      <w:sz w:val="36"/>
                      <w:szCs w:val="36"/>
                    </w:rPr>
                    <w:t xml:space="preserve">Proposed Review and Update </w:t>
                  </w:r>
                </w:p>
                <w:p w:rsidR="003910C1" w:rsidRDefault="003910C1" w:rsidP="003B754F">
                  <w:pPr>
                    <w:jc w:val="center"/>
                    <w:rPr>
                      <w:rFonts w:cs="Times New Roman"/>
                      <w:b/>
                      <w:bCs/>
                      <w:smallCaps/>
                      <w:sz w:val="36"/>
                      <w:szCs w:val="36"/>
                    </w:rPr>
                  </w:pPr>
                </w:p>
                <w:p w:rsidR="003910C1" w:rsidRDefault="003910C1" w:rsidP="003B754F">
                  <w:pPr>
                    <w:jc w:val="center"/>
                    <w:rPr>
                      <w:rFonts w:cs="Times New Roman"/>
                      <w:b/>
                      <w:bCs/>
                      <w:smallCaps/>
                      <w:sz w:val="36"/>
                      <w:szCs w:val="36"/>
                    </w:rPr>
                  </w:pPr>
                </w:p>
                <w:p w:rsidR="003910C1" w:rsidRDefault="003910C1" w:rsidP="003B754F">
                  <w:pPr>
                    <w:jc w:val="center"/>
                    <w:rPr>
                      <w:rFonts w:cs="Times New Roman"/>
                      <w:b/>
                      <w:bCs/>
                      <w:smallCaps/>
                      <w:sz w:val="36"/>
                      <w:szCs w:val="36"/>
                    </w:rPr>
                  </w:pPr>
                </w:p>
                <w:p w:rsidR="003910C1" w:rsidRDefault="003910C1" w:rsidP="003B754F">
                  <w:pPr>
                    <w:jc w:val="center"/>
                    <w:rPr>
                      <w:rFonts w:cs="Times New Roman"/>
                      <w:b/>
                      <w:bCs/>
                      <w:smallCaps/>
                      <w:sz w:val="36"/>
                      <w:szCs w:val="36"/>
                    </w:rPr>
                  </w:pPr>
                  <w:r>
                    <w:rPr>
                      <w:rFonts w:cs="Times New Roman"/>
                      <w:b/>
                      <w:bCs/>
                      <w:smallCaps/>
                      <w:sz w:val="36"/>
                      <w:szCs w:val="36"/>
                    </w:rPr>
                    <w:t>Approach Paper</w:t>
                  </w:r>
                </w:p>
                <w:p w:rsidR="003910C1" w:rsidRDefault="003910C1" w:rsidP="003B754F">
                  <w:pPr>
                    <w:pStyle w:val="Heading2notoc"/>
                  </w:pPr>
                </w:p>
                <w:p w:rsidR="003910C1" w:rsidRDefault="003910C1" w:rsidP="003B754F">
                  <w:pPr>
                    <w:pStyle w:val="Heading2notoc"/>
                  </w:pPr>
                </w:p>
                <w:p w:rsidR="003910C1" w:rsidRDefault="003910C1" w:rsidP="003B754F">
                  <w:pPr>
                    <w:pStyle w:val="Heading2notoc"/>
                  </w:pPr>
                </w:p>
                <w:p w:rsidR="003910C1" w:rsidRDefault="003910C1" w:rsidP="003B754F">
                  <w:pPr>
                    <w:pStyle w:val="Heading2notoc"/>
                  </w:pPr>
                </w:p>
                <w:p w:rsidR="003910C1" w:rsidRDefault="003910C1" w:rsidP="003B754F">
                  <w:pPr>
                    <w:pStyle w:val="Heading2notoc"/>
                  </w:pPr>
                </w:p>
                <w:p w:rsidR="003910C1" w:rsidRDefault="003910C1" w:rsidP="003B754F">
                  <w:pPr>
                    <w:pStyle w:val="Heading2notoc"/>
                  </w:pPr>
                </w:p>
                <w:p w:rsidR="003910C1" w:rsidRDefault="003910C1" w:rsidP="003B754F">
                  <w:pPr>
                    <w:pStyle w:val="Heading2notoc"/>
                  </w:pPr>
                </w:p>
                <w:p w:rsidR="003910C1" w:rsidRDefault="003910C1" w:rsidP="003B754F">
                  <w:pPr>
                    <w:pStyle w:val="Heading2notoc"/>
                  </w:pPr>
                </w:p>
                <w:p w:rsidR="003910C1" w:rsidRDefault="003910C1" w:rsidP="003B754F">
                  <w:pPr>
                    <w:jc w:val="center"/>
                    <w:rPr>
                      <w:rFonts w:cs="Times New Roman"/>
                      <w:b/>
                      <w:bCs/>
                      <w:sz w:val="28"/>
                      <w:szCs w:val="28"/>
                    </w:rPr>
                  </w:pPr>
                </w:p>
                <w:p w:rsidR="003910C1" w:rsidRDefault="003910C1" w:rsidP="003B754F">
                  <w:pPr>
                    <w:jc w:val="center"/>
                    <w:rPr>
                      <w:rFonts w:cs="Times New Roman"/>
                      <w:b/>
                      <w:bCs/>
                      <w:sz w:val="28"/>
                      <w:szCs w:val="28"/>
                    </w:rPr>
                  </w:pPr>
                </w:p>
                <w:p w:rsidR="003910C1" w:rsidRDefault="003910C1" w:rsidP="00EB4127">
                  <w:pPr>
                    <w:jc w:val="center"/>
                    <w:rPr>
                      <w:rFonts w:cs="Times New Roman"/>
                      <w:b/>
                      <w:bCs/>
                      <w:sz w:val="28"/>
                      <w:szCs w:val="28"/>
                    </w:rPr>
                  </w:pPr>
                  <w:r>
                    <w:rPr>
                      <w:rFonts w:cs="Times New Roman"/>
                      <w:b/>
                      <w:bCs/>
                      <w:sz w:val="28"/>
                      <w:szCs w:val="28"/>
                    </w:rPr>
                    <w:t xml:space="preserve">October </w:t>
                  </w:r>
                  <w:r w:rsidR="002046EB">
                    <w:rPr>
                      <w:rFonts w:cs="Times New Roman"/>
                      <w:b/>
                      <w:bCs/>
                      <w:sz w:val="28"/>
                      <w:szCs w:val="28"/>
                    </w:rPr>
                    <w:t>10</w:t>
                  </w:r>
                  <w:r>
                    <w:rPr>
                      <w:rFonts w:cs="Times New Roman"/>
                      <w:b/>
                      <w:bCs/>
                      <w:sz w:val="28"/>
                      <w:szCs w:val="28"/>
                    </w:rPr>
                    <w:t>, 2012</w:t>
                  </w:r>
                </w:p>
              </w:txbxContent>
            </v:textbox>
            <w10:wrap type="tight"/>
          </v:shape>
        </w:pict>
      </w:r>
    </w:p>
    <w:p w:rsidR="002508ED" w:rsidRPr="007B5C1C" w:rsidRDefault="002508ED" w:rsidP="002508ED">
      <w:pPr>
        <w:pStyle w:val="Heading1"/>
        <w:spacing w:before="0" w:after="200" w:line="276" w:lineRule="auto"/>
        <w:rPr>
          <w:sz w:val="24"/>
          <w:szCs w:val="24"/>
        </w:rPr>
      </w:pPr>
      <w:bookmarkStart w:id="0" w:name="_Toc316390050"/>
      <w:r w:rsidRPr="007B5C1C">
        <w:rPr>
          <w:sz w:val="24"/>
          <w:szCs w:val="24"/>
        </w:rPr>
        <w:lastRenderedPageBreak/>
        <w:t>Abbreviations and Acronyms</w:t>
      </w:r>
      <w:bookmarkEnd w:id="0"/>
    </w:p>
    <w:p w:rsidR="002508ED" w:rsidRPr="007B5C1C" w:rsidRDefault="007E079A" w:rsidP="002508ED">
      <w:pPr>
        <w:widowControl/>
        <w:spacing w:after="120" w:line="276" w:lineRule="auto"/>
        <w:ind w:left="2880" w:hanging="1440"/>
      </w:pPr>
      <w:r w:rsidRPr="007B5C1C">
        <w:t>BP</w:t>
      </w:r>
      <w:r w:rsidRPr="007B5C1C">
        <w:tab/>
        <w:t>Bank Procedures</w:t>
      </w:r>
    </w:p>
    <w:p w:rsidR="002508ED" w:rsidRPr="007B5C1C" w:rsidRDefault="007E079A" w:rsidP="002508ED">
      <w:pPr>
        <w:widowControl/>
        <w:spacing w:after="120" w:line="276" w:lineRule="auto"/>
        <w:ind w:left="2880" w:hanging="1440"/>
      </w:pPr>
      <w:r w:rsidRPr="007B5C1C">
        <w:t>CODE</w:t>
      </w:r>
      <w:r w:rsidRPr="007B5C1C">
        <w:tab/>
        <w:t>Committee on Development Effectiveness</w:t>
      </w:r>
    </w:p>
    <w:p w:rsidR="002508ED" w:rsidRPr="007B5C1C" w:rsidRDefault="007E079A" w:rsidP="002508ED">
      <w:pPr>
        <w:widowControl/>
        <w:spacing w:after="120" w:line="276" w:lineRule="auto"/>
        <w:ind w:left="2880" w:hanging="1440"/>
      </w:pPr>
      <w:r w:rsidRPr="007B5C1C">
        <w:t>DPL</w:t>
      </w:r>
      <w:r w:rsidRPr="007B5C1C">
        <w:tab/>
        <w:t>Development Policy Loan</w:t>
      </w:r>
    </w:p>
    <w:p w:rsidR="002508ED" w:rsidRPr="007B5C1C" w:rsidRDefault="007E079A" w:rsidP="002508ED">
      <w:pPr>
        <w:widowControl/>
        <w:spacing w:after="120" w:line="276" w:lineRule="auto"/>
        <w:ind w:left="2880" w:hanging="1440"/>
      </w:pPr>
      <w:r w:rsidRPr="007B5C1C">
        <w:t>EXT</w:t>
      </w:r>
      <w:r w:rsidRPr="007B5C1C">
        <w:tab/>
        <w:t>External Affairs</w:t>
      </w:r>
    </w:p>
    <w:p w:rsidR="002508ED" w:rsidRPr="007B5C1C" w:rsidRDefault="007E079A" w:rsidP="002508ED">
      <w:pPr>
        <w:widowControl/>
        <w:spacing w:after="120" w:line="276" w:lineRule="auto"/>
        <w:ind w:left="2880" w:hanging="1440"/>
      </w:pPr>
      <w:r w:rsidRPr="007B5C1C">
        <w:t>IEG</w:t>
      </w:r>
      <w:r w:rsidRPr="007B5C1C">
        <w:tab/>
        <w:t>Independent Evaluation Group</w:t>
      </w:r>
    </w:p>
    <w:p w:rsidR="002508ED" w:rsidRPr="007B5C1C" w:rsidRDefault="007E079A" w:rsidP="002508ED">
      <w:pPr>
        <w:widowControl/>
        <w:spacing w:after="120" w:line="276" w:lineRule="auto"/>
        <w:ind w:left="2880" w:hanging="1440"/>
      </w:pPr>
      <w:r w:rsidRPr="007B5C1C">
        <w:t>IFC</w:t>
      </w:r>
      <w:r w:rsidRPr="007B5C1C">
        <w:tab/>
        <w:t>International Finance Corporation</w:t>
      </w:r>
    </w:p>
    <w:p w:rsidR="002508ED" w:rsidRPr="007B5C1C" w:rsidRDefault="007E079A" w:rsidP="002508ED">
      <w:pPr>
        <w:widowControl/>
        <w:spacing w:after="120" w:line="276" w:lineRule="auto"/>
        <w:ind w:left="2880" w:hanging="1440"/>
      </w:pPr>
      <w:r w:rsidRPr="007B5C1C">
        <w:t>LEG</w:t>
      </w:r>
      <w:r w:rsidRPr="007B5C1C">
        <w:tab/>
        <w:t>Legal Department</w:t>
      </w:r>
    </w:p>
    <w:p w:rsidR="00C36BAA" w:rsidRPr="007B5C1C" w:rsidRDefault="00C36BAA">
      <w:pPr>
        <w:widowControl/>
        <w:spacing w:after="120" w:line="276" w:lineRule="auto"/>
        <w:ind w:left="2880" w:hanging="1440"/>
      </w:pPr>
      <w:r w:rsidRPr="007B5C1C">
        <w:t>MDB</w:t>
      </w:r>
      <w:r w:rsidRPr="007B5C1C">
        <w:tab/>
        <w:t>Multilateral Development Bank</w:t>
      </w:r>
    </w:p>
    <w:p w:rsidR="002508ED" w:rsidRPr="007B5C1C" w:rsidRDefault="007E079A" w:rsidP="002508ED">
      <w:pPr>
        <w:widowControl/>
        <w:spacing w:after="120" w:line="276" w:lineRule="auto"/>
        <w:ind w:left="2880" w:hanging="1440"/>
      </w:pPr>
      <w:r w:rsidRPr="007B5C1C">
        <w:t>MIGA</w:t>
      </w:r>
      <w:r w:rsidRPr="007B5C1C">
        <w:tab/>
        <w:t>Multilateral Investment Guarantee Agency</w:t>
      </w:r>
    </w:p>
    <w:p w:rsidR="002508ED" w:rsidRPr="007B5C1C" w:rsidRDefault="007E079A" w:rsidP="002508ED">
      <w:pPr>
        <w:widowControl/>
        <w:spacing w:after="120" w:line="276" w:lineRule="auto"/>
        <w:ind w:left="2880" w:hanging="1440"/>
      </w:pPr>
      <w:r w:rsidRPr="007B5C1C">
        <w:t>OD</w:t>
      </w:r>
      <w:r w:rsidRPr="007B5C1C">
        <w:tab/>
        <w:t>Operational Directive</w:t>
      </w:r>
    </w:p>
    <w:p w:rsidR="002508ED" w:rsidRPr="007B5C1C" w:rsidRDefault="007E079A" w:rsidP="002508ED">
      <w:pPr>
        <w:widowControl/>
        <w:spacing w:after="120" w:line="276" w:lineRule="auto"/>
        <w:ind w:left="2880" w:hanging="1440"/>
      </w:pPr>
      <w:r w:rsidRPr="007B5C1C">
        <w:t>OECD</w:t>
      </w:r>
      <w:r w:rsidRPr="007B5C1C">
        <w:tab/>
      </w:r>
      <w:proofErr w:type="spellStart"/>
      <w:r w:rsidRPr="007B5C1C">
        <w:t>Organisation</w:t>
      </w:r>
      <w:proofErr w:type="spellEnd"/>
      <w:r w:rsidRPr="007B5C1C">
        <w:t xml:space="preserve"> for Economic Cooperation and Development</w:t>
      </w:r>
    </w:p>
    <w:p w:rsidR="002508ED" w:rsidRPr="007B5C1C" w:rsidRDefault="007E079A" w:rsidP="002508ED">
      <w:pPr>
        <w:widowControl/>
        <w:spacing w:after="120" w:line="276" w:lineRule="auto"/>
        <w:ind w:left="2880" w:hanging="1440"/>
      </w:pPr>
      <w:r w:rsidRPr="007B5C1C">
        <w:t>OMS</w:t>
      </w:r>
      <w:r w:rsidRPr="007B5C1C">
        <w:tab/>
        <w:t>Operational Manual Statement</w:t>
      </w:r>
    </w:p>
    <w:p w:rsidR="002508ED" w:rsidRPr="007B5C1C" w:rsidRDefault="007E079A" w:rsidP="002508ED">
      <w:pPr>
        <w:widowControl/>
        <w:spacing w:after="120" w:line="276" w:lineRule="auto"/>
        <w:ind w:left="2880" w:hanging="1440"/>
      </w:pPr>
      <w:r w:rsidRPr="007B5C1C">
        <w:t>OP</w:t>
      </w:r>
      <w:r w:rsidRPr="007B5C1C">
        <w:tab/>
        <w:t>Operational Policy</w:t>
      </w:r>
    </w:p>
    <w:p w:rsidR="002508ED" w:rsidRPr="007B5C1C" w:rsidRDefault="007E079A" w:rsidP="002508ED">
      <w:pPr>
        <w:widowControl/>
        <w:spacing w:after="120" w:line="276" w:lineRule="auto"/>
        <w:ind w:left="2880" w:hanging="1440"/>
      </w:pPr>
      <w:r w:rsidRPr="007B5C1C">
        <w:t>OPCS</w:t>
      </w:r>
      <w:r w:rsidRPr="007B5C1C">
        <w:tab/>
        <w:t>Operations Policy and Country Services</w:t>
      </w:r>
    </w:p>
    <w:p w:rsidR="002508ED" w:rsidRPr="007B5C1C" w:rsidRDefault="007E079A" w:rsidP="002508ED">
      <w:pPr>
        <w:widowControl/>
        <w:spacing w:after="120" w:line="276" w:lineRule="auto"/>
        <w:ind w:left="2880" w:hanging="1440"/>
      </w:pPr>
      <w:r w:rsidRPr="007B5C1C">
        <w:t>OPN</w:t>
      </w:r>
      <w:r w:rsidRPr="007B5C1C">
        <w:tab/>
        <w:t>Operational Policy Note</w:t>
      </w:r>
    </w:p>
    <w:p w:rsidR="002508ED" w:rsidRPr="007B5C1C" w:rsidRDefault="007E079A" w:rsidP="002508ED">
      <w:pPr>
        <w:widowControl/>
        <w:spacing w:after="120" w:line="276" w:lineRule="auto"/>
        <w:ind w:left="2880" w:hanging="1440"/>
      </w:pPr>
      <w:r w:rsidRPr="007B5C1C">
        <w:t>OPSOR</w:t>
      </w:r>
      <w:r w:rsidRPr="007B5C1C">
        <w:tab/>
        <w:t>Operations Risk Management Department</w:t>
      </w:r>
    </w:p>
    <w:p w:rsidR="002508ED" w:rsidRPr="007B5C1C" w:rsidRDefault="007E079A" w:rsidP="002508ED">
      <w:pPr>
        <w:widowControl/>
        <w:spacing w:after="120" w:line="276" w:lineRule="auto"/>
        <w:ind w:left="2880" w:hanging="1440"/>
      </w:pPr>
      <w:proofErr w:type="spellStart"/>
      <w:r w:rsidRPr="007B5C1C">
        <w:t>PforR</w:t>
      </w:r>
      <w:proofErr w:type="spellEnd"/>
      <w:r w:rsidRPr="007B5C1C">
        <w:tab/>
        <w:t>Program for Results</w:t>
      </w:r>
    </w:p>
    <w:p w:rsidR="002508ED" w:rsidRPr="007B5C1C" w:rsidRDefault="007E079A" w:rsidP="002508ED">
      <w:pPr>
        <w:widowControl/>
        <w:spacing w:after="120" w:line="276" w:lineRule="auto"/>
        <w:ind w:left="2880" w:hanging="1440"/>
      </w:pPr>
      <w:r w:rsidRPr="007B5C1C">
        <w:t>SDN</w:t>
      </w:r>
      <w:r w:rsidRPr="007B5C1C">
        <w:tab/>
        <w:t>Sustainable Development Network</w:t>
      </w:r>
    </w:p>
    <w:p w:rsidR="002508ED" w:rsidRPr="007B5C1C" w:rsidRDefault="007E079A" w:rsidP="002508ED">
      <w:pPr>
        <w:widowControl/>
        <w:spacing w:after="120" w:line="276" w:lineRule="auto"/>
        <w:ind w:left="2880" w:hanging="1440"/>
      </w:pPr>
      <w:r w:rsidRPr="007B5C1C">
        <w:t>UCS</w:t>
      </w:r>
      <w:r w:rsidRPr="007B5C1C">
        <w:tab/>
        <w:t>Use of Country Systems</w:t>
      </w:r>
    </w:p>
    <w:p w:rsidR="002508ED" w:rsidRPr="007B5C1C" w:rsidRDefault="007E079A" w:rsidP="002508ED">
      <w:pPr>
        <w:widowControl/>
        <w:spacing w:after="120" w:line="276" w:lineRule="auto"/>
        <w:ind w:left="2880" w:hanging="1440"/>
      </w:pPr>
      <w:r w:rsidRPr="007B5C1C">
        <w:t>UN</w:t>
      </w:r>
      <w:r w:rsidRPr="007B5C1C">
        <w:tab/>
        <w:t>United Nations</w:t>
      </w:r>
    </w:p>
    <w:p w:rsidR="00CE08A7" w:rsidRPr="007B5C1C" w:rsidRDefault="00CE08A7">
      <w:pPr>
        <w:widowControl/>
        <w:spacing w:after="200" w:line="276" w:lineRule="auto"/>
      </w:pPr>
    </w:p>
    <w:p w:rsidR="00CE08A7" w:rsidRPr="007B5C1C" w:rsidRDefault="003B754F">
      <w:pPr>
        <w:widowControl/>
        <w:spacing w:after="200" w:line="276" w:lineRule="auto"/>
      </w:pPr>
      <w:r w:rsidRPr="007B5C1C">
        <w:br w:type="page"/>
      </w:r>
    </w:p>
    <w:p w:rsidR="002508ED" w:rsidRPr="007B5C1C" w:rsidRDefault="00E3241A" w:rsidP="002508ED">
      <w:pPr>
        <w:spacing w:after="200" w:line="276" w:lineRule="auto"/>
        <w:jc w:val="center"/>
        <w:rPr>
          <w:rFonts w:cs="Times New Roman"/>
          <w:b/>
          <w:bCs/>
          <w:smallCaps/>
          <w:sz w:val="28"/>
          <w:szCs w:val="28"/>
        </w:rPr>
      </w:pPr>
      <w:r w:rsidRPr="007B5C1C">
        <w:rPr>
          <w:rFonts w:cs="Times New Roman"/>
          <w:b/>
          <w:bCs/>
          <w:smallCaps/>
          <w:sz w:val="28"/>
          <w:szCs w:val="28"/>
        </w:rPr>
        <w:lastRenderedPageBreak/>
        <w:t>T</w:t>
      </w:r>
      <w:r w:rsidR="00A57E83" w:rsidRPr="007B5C1C">
        <w:rPr>
          <w:rFonts w:cs="Times New Roman"/>
          <w:b/>
          <w:bCs/>
          <w:smallCaps/>
          <w:sz w:val="28"/>
          <w:szCs w:val="28"/>
        </w:rPr>
        <w:t xml:space="preserve">he </w:t>
      </w:r>
      <w:r w:rsidR="00860D5B" w:rsidRPr="007B5C1C">
        <w:rPr>
          <w:rFonts w:cs="Times New Roman"/>
          <w:b/>
          <w:bCs/>
          <w:smallCaps/>
          <w:sz w:val="28"/>
          <w:szCs w:val="28"/>
        </w:rPr>
        <w:t xml:space="preserve">World </w:t>
      </w:r>
      <w:r w:rsidR="00A57E83" w:rsidRPr="007B5C1C">
        <w:rPr>
          <w:rFonts w:cs="Times New Roman"/>
          <w:b/>
          <w:bCs/>
          <w:smallCaps/>
          <w:sz w:val="28"/>
          <w:szCs w:val="28"/>
        </w:rPr>
        <w:t xml:space="preserve">Bank’s Safeguard </w:t>
      </w:r>
      <w:r w:rsidR="003B754F" w:rsidRPr="007B5C1C">
        <w:rPr>
          <w:rFonts w:cs="Times New Roman"/>
          <w:b/>
          <w:bCs/>
          <w:smallCaps/>
          <w:sz w:val="28"/>
          <w:szCs w:val="28"/>
        </w:rPr>
        <w:t>Policies:</w:t>
      </w:r>
    </w:p>
    <w:p w:rsidR="002508ED" w:rsidRPr="007B5C1C" w:rsidRDefault="00E3241A" w:rsidP="002508ED">
      <w:pPr>
        <w:spacing w:after="200" w:line="276" w:lineRule="auto"/>
        <w:jc w:val="center"/>
        <w:rPr>
          <w:rFonts w:cs="Times New Roman"/>
          <w:b/>
          <w:bCs/>
          <w:smallCaps/>
          <w:sz w:val="28"/>
          <w:szCs w:val="28"/>
        </w:rPr>
      </w:pPr>
      <w:r w:rsidRPr="007B5C1C">
        <w:rPr>
          <w:rFonts w:cs="Times New Roman"/>
          <w:b/>
          <w:bCs/>
          <w:smallCaps/>
          <w:sz w:val="28"/>
          <w:szCs w:val="28"/>
        </w:rPr>
        <w:t>Proposed Review and Update</w:t>
      </w:r>
    </w:p>
    <w:p w:rsidR="002508ED" w:rsidRPr="007B5C1C" w:rsidRDefault="003B754F" w:rsidP="002508ED">
      <w:pPr>
        <w:spacing w:after="200" w:line="276" w:lineRule="auto"/>
        <w:jc w:val="center"/>
        <w:rPr>
          <w:rFonts w:cs="Times New Roman"/>
          <w:b/>
          <w:bCs/>
          <w:smallCaps/>
          <w:sz w:val="28"/>
          <w:szCs w:val="28"/>
        </w:rPr>
      </w:pPr>
      <w:r w:rsidRPr="007B5C1C">
        <w:rPr>
          <w:rFonts w:cs="Times New Roman"/>
          <w:b/>
          <w:bCs/>
          <w:smallCaps/>
          <w:sz w:val="28"/>
          <w:szCs w:val="28"/>
        </w:rPr>
        <w:t>Approach Paper</w:t>
      </w:r>
    </w:p>
    <w:p w:rsidR="002508ED" w:rsidRPr="007B5C1C" w:rsidRDefault="002508ED" w:rsidP="002508ED">
      <w:pPr>
        <w:spacing w:after="200" w:line="276" w:lineRule="auto"/>
        <w:jc w:val="center"/>
        <w:rPr>
          <w:rFonts w:cs="Times New Roman"/>
          <w:b/>
          <w:bCs/>
          <w:smallCaps/>
          <w:szCs w:val="24"/>
        </w:rPr>
      </w:pPr>
    </w:p>
    <w:p w:rsidR="002508ED" w:rsidRPr="007B5C1C" w:rsidRDefault="003B754F" w:rsidP="002508ED">
      <w:pPr>
        <w:spacing w:after="200" w:line="276" w:lineRule="auto"/>
        <w:jc w:val="center"/>
        <w:rPr>
          <w:rFonts w:cs="Times New Roman"/>
          <w:b/>
          <w:bCs/>
          <w:smallCaps/>
          <w:szCs w:val="24"/>
        </w:rPr>
      </w:pPr>
      <w:r w:rsidRPr="007B5C1C">
        <w:rPr>
          <w:rFonts w:cs="Times New Roman"/>
          <w:b/>
          <w:bCs/>
          <w:smallCaps/>
          <w:szCs w:val="24"/>
        </w:rPr>
        <w:t>Contents</w:t>
      </w:r>
    </w:p>
    <w:p w:rsidR="00281AD2" w:rsidRPr="007B5C1C" w:rsidRDefault="00C471AB">
      <w:pPr>
        <w:pStyle w:val="TOC1"/>
        <w:rPr>
          <w:rFonts w:asciiTheme="minorHAnsi" w:eastAsiaTheme="minorEastAsia" w:hAnsiTheme="minorHAnsi"/>
          <w:noProof/>
          <w:sz w:val="22"/>
        </w:rPr>
      </w:pPr>
      <w:r w:rsidRPr="007B5C1C">
        <w:fldChar w:fldCharType="begin"/>
      </w:r>
      <w:r w:rsidR="00A57E83" w:rsidRPr="007B5C1C">
        <w:instrText xml:space="preserve"> TOC \h \z \u \t "Heading 3,1" </w:instrText>
      </w:r>
      <w:r w:rsidRPr="007B5C1C">
        <w:fldChar w:fldCharType="separate"/>
      </w:r>
      <w:hyperlink w:anchor="_Toc333515707" w:history="1">
        <w:r w:rsidR="00281AD2" w:rsidRPr="007B5C1C">
          <w:rPr>
            <w:rStyle w:val="Hyperlink"/>
            <w:noProof/>
          </w:rPr>
          <w:t>Executive Summary</w:t>
        </w:r>
        <w:r w:rsidR="00281AD2" w:rsidRPr="007B5C1C">
          <w:rPr>
            <w:noProof/>
            <w:webHidden/>
          </w:rPr>
          <w:tab/>
        </w:r>
        <w:r w:rsidRPr="007B5C1C">
          <w:rPr>
            <w:noProof/>
            <w:webHidden/>
          </w:rPr>
          <w:fldChar w:fldCharType="begin"/>
        </w:r>
        <w:r w:rsidR="00281AD2" w:rsidRPr="007B5C1C">
          <w:rPr>
            <w:noProof/>
            <w:webHidden/>
          </w:rPr>
          <w:instrText xml:space="preserve"> PAGEREF _Toc333515707 \h </w:instrText>
        </w:r>
        <w:r w:rsidRPr="007B5C1C">
          <w:rPr>
            <w:noProof/>
            <w:webHidden/>
          </w:rPr>
        </w:r>
        <w:r w:rsidRPr="007B5C1C">
          <w:rPr>
            <w:noProof/>
            <w:webHidden/>
          </w:rPr>
          <w:fldChar w:fldCharType="separate"/>
        </w:r>
        <w:r w:rsidR="00981C28">
          <w:rPr>
            <w:noProof/>
            <w:webHidden/>
          </w:rPr>
          <w:t>1</w:t>
        </w:r>
        <w:r w:rsidRPr="007B5C1C">
          <w:rPr>
            <w:noProof/>
            <w:webHidden/>
          </w:rPr>
          <w:fldChar w:fldCharType="end"/>
        </w:r>
      </w:hyperlink>
    </w:p>
    <w:p w:rsidR="00281AD2" w:rsidRPr="007B5C1C" w:rsidRDefault="00C471AB">
      <w:pPr>
        <w:pStyle w:val="TOC1"/>
        <w:rPr>
          <w:rFonts w:asciiTheme="minorHAnsi" w:eastAsiaTheme="minorEastAsia" w:hAnsiTheme="minorHAnsi"/>
          <w:noProof/>
          <w:sz w:val="22"/>
        </w:rPr>
      </w:pPr>
      <w:hyperlink w:anchor="_Toc333515708" w:history="1">
        <w:r w:rsidR="00281AD2" w:rsidRPr="007B5C1C">
          <w:rPr>
            <w:rStyle w:val="Hyperlink"/>
            <w:noProof/>
          </w:rPr>
          <w:t>I.</w:t>
        </w:r>
        <w:r w:rsidR="00281AD2" w:rsidRPr="007B5C1C">
          <w:rPr>
            <w:rFonts w:asciiTheme="minorHAnsi" w:eastAsiaTheme="minorEastAsia" w:hAnsiTheme="minorHAnsi"/>
            <w:noProof/>
            <w:sz w:val="22"/>
          </w:rPr>
          <w:tab/>
        </w:r>
        <w:r w:rsidR="00281AD2" w:rsidRPr="007B5C1C">
          <w:rPr>
            <w:rStyle w:val="Hyperlink"/>
            <w:noProof/>
          </w:rPr>
          <w:t>Background</w:t>
        </w:r>
        <w:r w:rsidR="00281AD2" w:rsidRPr="007B5C1C">
          <w:rPr>
            <w:noProof/>
            <w:webHidden/>
          </w:rPr>
          <w:tab/>
        </w:r>
        <w:r w:rsidRPr="007B5C1C">
          <w:rPr>
            <w:noProof/>
            <w:webHidden/>
          </w:rPr>
          <w:fldChar w:fldCharType="begin"/>
        </w:r>
        <w:r w:rsidR="00281AD2" w:rsidRPr="007B5C1C">
          <w:rPr>
            <w:noProof/>
            <w:webHidden/>
          </w:rPr>
          <w:instrText xml:space="preserve"> PAGEREF _Toc333515708 \h </w:instrText>
        </w:r>
        <w:r w:rsidRPr="007B5C1C">
          <w:rPr>
            <w:noProof/>
            <w:webHidden/>
          </w:rPr>
        </w:r>
        <w:r w:rsidRPr="007B5C1C">
          <w:rPr>
            <w:noProof/>
            <w:webHidden/>
          </w:rPr>
          <w:fldChar w:fldCharType="separate"/>
        </w:r>
        <w:r w:rsidR="00981C28">
          <w:rPr>
            <w:noProof/>
            <w:webHidden/>
          </w:rPr>
          <w:t>2</w:t>
        </w:r>
        <w:r w:rsidRPr="007B5C1C">
          <w:rPr>
            <w:noProof/>
            <w:webHidden/>
          </w:rPr>
          <w:fldChar w:fldCharType="end"/>
        </w:r>
      </w:hyperlink>
    </w:p>
    <w:p w:rsidR="00281AD2" w:rsidRPr="007B5C1C" w:rsidRDefault="00C471AB">
      <w:pPr>
        <w:pStyle w:val="TOC1"/>
        <w:rPr>
          <w:rFonts w:asciiTheme="minorHAnsi" w:eastAsiaTheme="minorEastAsia" w:hAnsiTheme="minorHAnsi"/>
          <w:noProof/>
          <w:sz w:val="22"/>
        </w:rPr>
      </w:pPr>
      <w:hyperlink w:anchor="_Toc333515709" w:history="1">
        <w:r w:rsidR="00281AD2" w:rsidRPr="007B5C1C">
          <w:rPr>
            <w:rStyle w:val="Hyperlink"/>
            <w:noProof/>
          </w:rPr>
          <w:t>II.</w:t>
        </w:r>
        <w:r w:rsidR="00281AD2" w:rsidRPr="007B5C1C">
          <w:rPr>
            <w:rFonts w:asciiTheme="minorHAnsi" w:eastAsiaTheme="minorEastAsia" w:hAnsiTheme="minorHAnsi"/>
            <w:noProof/>
            <w:sz w:val="22"/>
          </w:rPr>
          <w:tab/>
        </w:r>
        <w:r w:rsidR="00281AD2" w:rsidRPr="007B5C1C">
          <w:rPr>
            <w:rStyle w:val="Hyperlink"/>
            <w:noProof/>
          </w:rPr>
          <w:t>Rationale for the Review and Update</w:t>
        </w:r>
        <w:r w:rsidR="00281AD2" w:rsidRPr="007B5C1C">
          <w:rPr>
            <w:noProof/>
            <w:webHidden/>
          </w:rPr>
          <w:tab/>
        </w:r>
        <w:r w:rsidRPr="007B5C1C">
          <w:rPr>
            <w:noProof/>
            <w:webHidden/>
          </w:rPr>
          <w:fldChar w:fldCharType="begin"/>
        </w:r>
        <w:r w:rsidR="00281AD2" w:rsidRPr="007B5C1C">
          <w:rPr>
            <w:noProof/>
            <w:webHidden/>
          </w:rPr>
          <w:instrText xml:space="preserve"> PAGEREF _Toc333515709 \h </w:instrText>
        </w:r>
        <w:r w:rsidRPr="007B5C1C">
          <w:rPr>
            <w:noProof/>
            <w:webHidden/>
          </w:rPr>
        </w:r>
        <w:r w:rsidRPr="007B5C1C">
          <w:rPr>
            <w:noProof/>
            <w:webHidden/>
          </w:rPr>
          <w:fldChar w:fldCharType="separate"/>
        </w:r>
        <w:r w:rsidR="00981C28">
          <w:rPr>
            <w:noProof/>
            <w:webHidden/>
          </w:rPr>
          <w:t>4</w:t>
        </w:r>
        <w:r w:rsidRPr="007B5C1C">
          <w:rPr>
            <w:noProof/>
            <w:webHidden/>
          </w:rPr>
          <w:fldChar w:fldCharType="end"/>
        </w:r>
      </w:hyperlink>
    </w:p>
    <w:p w:rsidR="00281AD2" w:rsidRPr="007B5C1C" w:rsidRDefault="00C471AB">
      <w:pPr>
        <w:pStyle w:val="TOC1"/>
        <w:rPr>
          <w:rFonts w:asciiTheme="minorHAnsi" w:eastAsiaTheme="minorEastAsia" w:hAnsiTheme="minorHAnsi"/>
          <w:noProof/>
          <w:sz w:val="22"/>
        </w:rPr>
      </w:pPr>
      <w:hyperlink w:anchor="_Toc333515710" w:history="1">
        <w:r w:rsidR="00281AD2" w:rsidRPr="007B5C1C">
          <w:rPr>
            <w:rStyle w:val="Hyperlink"/>
            <w:noProof/>
          </w:rPr>
          <w:t>III.</w:t>
        </w:r>
        <w:r w:rsidR="00281AD2" w:rsidRPr="007B5C1C">
          <w:rPr>
            <w:rFonts w:asciiTheme="minorHAnsi" w:eastAsiaTheme="minorEastAsia" w:hAnsiTheme="minorHAnsi"/>
            <w:noProof/>
            <w:sz w:val="22"/>
          </w:rPr>
          <w:tab/>
        </w:r>
        <w:r w:rsidR="00281AD2" w:rsidRPr="007B5C1C">
          <w:rPr>
            <w:rStyle w:val="Hyperlink"/>
            <w:noProof/>
          </w:rPr>
          <w:t>Objectives of the Review and Update</w:t>
        </w:r>
        <w:r w:rsidR="00281AD2" w:rsidRPr="007B5C1C">
          <w:rPr>
            <w:noProof/>
            <w:webHidden/>
          </w:rPr>
          <w:tab/>
        </w:r>
        <w:r w:rsidRPr="007B5C1C">
          <w:rPr>
            <w:noProof/>
            <w:webHidden/>
          </w:rPr>
          <w:fldChar w:fldCharType="begin"/>
        </w:r>
        <w:r w:rsidR="00281AD2" w:rsidRPr="007B5C1C">
          <w:rPr>
            <w:noProof/>
            <w:webHidden/>
          </w:rPr>
          <w:instrText xml:space="preserve"> PAGEREF _Toc333515710 \h </w:instrText>
        </w:r>
        <w:r w:rsidRPr="007B5C1C">
          <w:rPr>
            <w:noProof/>
            <w:webHidden/>
          </w:rPr>
        </w:r>
        <w:r w:rsidRPr="007B5C1C">
          <w:rPr>
            <w:noProof/>
            <w:webHidden/>
          </w:rPr>
          <w:fldChar w:fldCharType="separate"/>
        </w:r>
        <w:r w:rsidR="00981C28">
          <w:rPr>
            <w:noProof/>
            <w:webHidden/>
          </w:rPr>
          <w:t>7</w:t>
        </w:r>
        <w:r w:rsidRPr="007B5C1C">
          <w:rPr>
            <w:noProof/>
            <w:webHidden/>
          </w:rPr>
          <w:fldChar w:fldCharType="end"/>
        </w:r>
      </w:hyperlink>
    </w:p>
    <w:p w:rsidR="00281AD2" w:rsidRPr="007B5C1C" w:rsidRDefault="00C471AB">
      <w:pPr>
        <w:pStyle w:val="TOC1"/>
        <w:rPr>
          <w:rFonts w:asciiTheme="minorHAnsi" w:eastAsiaTheme="minorEastAsia" w:hAnsiTheme="minorHAnsi"/>
          <w:noProof/>
          <w:sz w:val="22"/>
        </w:rPr>
      </w:pPr>
      <w:hyperlink w:anchor="_Toc333515711" w:history="1">
        <w:r w:rsidR="00281AD2" w:rsidRPr="007B5C1C">
          <w:rPr>
            <w:rStyle w:val="Hyperlink"/>
            <w:noProof/>
          </w:rPr>
          <w:t>IV.</w:t>
        </w:r>
        <w:r w:rsidR="00281AD2" w:rsidRPr="007B5C1C">
          <w:rPr>
            <w:rFonts w:asciiTheme="minorHAnsi" w:eastAsiaTheme="minorEastAsia" w:hAnsiTheme="minorHAnsi"/>
            <w:noProof/>
            <w:sz w:val="22"/>
          </w:rPr>
          <w:tab/>
        </w:r>
        <w:r w:rsidR="00281AD2" w:rsidRPr="007B5C1C">
          <w:rPr>
            <w:rStyle w:val="Hyperlink"/>
            <w:noProof/>
          </w:rPr>
          <w:t>Scope of the Review and Update</w:t>
        </w:r>
        <w:r w:rsidR="00281AD2" w:rsidRPr="007B5C1C">
          <w:rPr>
            <w:noProof/>
            <w:webHidden/>
          </w:rPr>
          <w:tab/>
        </w:r>
        <w:r w:rsidRPr="007B5C1C">
          <w:rPr>
            <w:noProof/>
            <w:webHidden/>
          </w:rPr>
          <w:fldChar w:fldCharType="begin"/>
        </w:r>
        <w:r w:rsidR="00281AD2" w:rsidRPr="007B5C1C">
          <w:rPr>
            <w:noProof/>
            <w:webHidden/>
          </w:rPr>
          <w:instrText xml:space="preserve"> PAGEREF _Toc333515711 \h </w:instrText>
        </w:r>
        <w:r w:rsidRPr="007B5C1C">
          <w:rPr>
            <w:noProof/>
            <w:webHidden/>
          </w:rPr>
        </w:r>
        <w:r w:rsidRPr="007B5C1C">
          <w:rPr>
            <w:noProof/>
            <w:webHidden/>
          </w:rPr>
          <w:fldChar w:fldCharType="separate"/>
        </w:r>
        <w:r w:rsidR="00981C28">
          <w:rPr>
            <w:noProof/>
            <w:webHidden/>
          </w:rPr>
          <w:t>9</w:t>
        </w:r>
        <w:r w:rsidRPr="007B5C1C">
          <w:rPr>
            <w:noProof/>
            <w:webHidden/>
          </w:rPr>
          <w:fldChar w:fldCharType="end"/>
        </w:r>
      </w:hyperlink>
    </w:p>
    <w:p w:rsidR="00281AD2" w:rsidRPr="007B5C1C" w:rsidRDefault="00C471AB">
      <w:pPr>
        <w:pStyle w:val="TOC1"/>
        <w:rPr>
          <w:rFonts w:asciiTheme="minorHAnsi" w:eastAsiaTheme="minorEastAsia" w:hAnsiTheme="minorHAnsi"/>
          <w:noProof/>
          <w:sz w:val="22"/>
        </w:rPr>
      </w:pPr>
      <w:hyperlink w:anchor="_Toc333515712" w:history="1">
        <w:r w:rsidR="00281AD2" w:rsidRPr="007B5C1C">
          <w:rPr>
            <w:rStyle w:val="Hyperlink"/>
            <w:noProof/>
          </w:rPr>
          <w:t>V.</w:t>
        </w:r>
        <w:r w:rsidR="00281AD2" w:rsidRPr="007B5C1C">
          <w:rPr>
            <w:rFonts w:asciiTheme="minorHAnsi" w:eastAsiaTheme="minorEastAsia" w:hAnsiTheme="minorHAnsi"/>
            <w:noProof/>
            <w:sz w:val="22"/>
          </w:rPr>
          <w:tab/>
        </w:r>
        <w:r w:rsidR="00281AD2" w:rsidRPr="007B5C1C">
          <w:rPr>
            <w:rStyle w:val="Hyperlink"/>
            <w:noProof/>
          </w:rPr>
          <w:t>Complementary Management Actions: Strengthening Implementation, Supervision, Monitoring and Reporting</w:t>
        </w:r>
        <w:r w:rsidR="00281AD2" w:rsidRPr="007B5C1C">
          <w:rPr>
            <w:noProof/>
            <w:webHidden/>
          </w:rPr>
          <w:tab/>
        </w:r>
        <w:r w:rsidRPr="007B5C1C">
          <w:rPr>
            <w:noProof/>
            <w:webHidden/>
          </w:rPr>
          <w:fldChar w:fldCharType="begin"/>
        </w:r>
        <w:r w:rsidR="00281AD2" w:rsidRPr="007B5C1C">
          <w:rPr>
            <w:noProof/>
            <w:webHidden/>
          </w:rPr>
          <w:instrText xml:space="preserve"> PAGEREF _Toc333515712 \h </w:instrText>
        </w:r>
        <w:r w:rsidRPr="007B5C1C">
          <w:rPr>
            <w:noProof/>
            <w:webHidden/>
          </w:rPr>
        </w:r>
        <w:r w:rsidRPr="007B5C1C">
          <w:rPr>
            <w:noProof/>
            <w:webHidden/>
          </w:rPr>
          <w:fldChar w:fldCharType="separate"/>
        </w:r>
        <w:r w:rsidR="00981C28">
          <w:rPr>
            <w:noProof/>
            <w:webHidden/>
          </w:rPr>
          <w:t>11</w:t>
        </w:r>
        <w:r w:rsidRPr="007B5C1C">
          <w:rPr>
            <w:noProof/>
            <w:webHidden/>
          </w:rPr>
          <w:fldChar w:fldCharType="end"/>
        </w:r>
      </w:hyperlink>
    </w:p>
    <w:p w:rsidR="00281AD2" w:rsidRPr="007B5C1C" w:rsidRDefault="00C471AB">
      <w:pPr>
        <w:pStyle w:val="TOC1"/>
        <w:rPr>
          <w:rFonts w:asciiTheme="minorHAnsi" w:eastAsiaTheme="minorEastAsia" w:hAnsiTheme="minorHAnsi"/>
          <w:noProof/>
          <w:sz w:val="22"/>
        </w:rPr>
      </w:pPr>
      <w:hyperlink w:anchor="_Toc333515713" w:history="1">
        <w:r w:rsidR="00281AD2" w:rsidRPr="007B5C1C">
          <w:rPr>
            <w:rStyle w:val="Hyperlink"/>
            <w:bCs/>
            <w:noProof/>
            <w:spacing w:val="5"/>
          </w:rPr>
          <w:t>VI.</w:t>
        </w:r>
        <w:r w:rsidR="00281AD2" w:rsidRPr="007B5C1C">
          <w:rPr>
            <w:rFonts w:asciiTheme="minorHAnsi" w:eastAsiaTheme="minorEastAsia" w:hAnsiTheme="minorHAnsi"/>
            <w:noProof/>
            <w:sz w:val="22"/>
          </w:rPr>
          <w:tab/>
        </w:r>
        <w:r w:rsidR="00281AD2" w:rsidRPr="007B5C1C">
          <w:rPr>
            <w:rStyle w:val="Hyperlink"/>
            <w:noProof/>
          </w:rPr>
          <w:t>Opportunities and Risks</w:t>
        </w:r>
        <w:r w:rsidR="00281AD2" w:rsidRPr="007B5C1C">
          <w:rPr>
            <w:noProof/>
            <w:webHidden/>
          </w:rPr>
          <w:tab/>
        </w:r>
        <w:r w:rsidRPr="007B5C1C">
          <w:rPr>
            <w:noProof/>
            <w:webHidden/>
          </w:rPr>
          <w:fldChar w:fldCharType="begin"/>
        </w:r>
        <w:r w:rsidR="00281AD2" w:rsidRPr="007B5C1C">
          <w:rPr>
            <w:noProof/>
            <w:webHidden/>
          </w:rPr>
          <w:instrText xml:space="preserve"> PAGEREF _Toc333515713 \h </w:instrText>
        </w:r>
        <w:r w:rsidRPr="007B5C1C">
          <w:rPr>
            <w:noProof/>
            <w:webHidden/>
          </w:rPr>
        </w:r>
        <w:r w:rsidRPr="007B5C1C">
          <w:rPr>
            <w:noProof/>
            <w:webHidden/>
          </w:rPr>
          <w:fldChar w:fldCharType="separate"/>
        </w:r>
        <w:r w:rsidR="00981C28">
          <w:rPr>
            <w:noProof/>
            <w:webHidden/>
          </w:rPr>
          <w:t>12</w:t>
        </w:r>
        <w:r w:rsidRPr="007B5C1C">
          <w:rPr>
            <w:noProof/>
            <w:webHidden/>
          </w:rPr>
          <w:fldChar w:fldCharType="end"/>
        </w:r>
      </w:hyperlink>
    </w:p>
    <w:p w:rsidR="00281AD2" w:rsidRPr="007B5C1C" w:rsidRDefault="00C471AB">
      <w:pPr>
        <w:pStyle w:val="TOC1"/>
        <w:rPr>
          <w:rFonts w:asciiTheme="minorHAnsi" w:eastAsiaTheme="minorEastAsia" w:hAnsiTheme="minorHAnsi"/>
          <w:noProof/>
          <w:sz w:val="22"/>
        </w:rPr>
      </w:pPr>
      <w:hyperlink w:anchor="_Toc333515714" w:history="1">
        <w:r w:rsidR="00281AD2" w:rsidRPr="007B5C1C">
          <w:rPr>
            <w:rStyle w:val="Hyperlink"/>
            <w:noProof/>
          </w:rPr>
          <w:t>VII.</w:t>
        </w:r>
        <w:r w:rsidR="00281AD2" w:rsidRPr="007B5C1C">
          <w:rPr>
            <w:rFonts w:asciiTheme="minorHAnsi" w:eastAsiaTheme="minorEastAsia" w:hAnsiTheme="minorHAnsi"/>
            <w:noProof/>
            <w:sz w:val="22"/>
          </w:rPr>
          <w:tab/>
        </w:r>
        <w:r w:rsidR="00281AD2" w:rsidRPr="007B5C1C">
          <w:rPr>
            <w:rStyle w:val="Hyperlink"/>
            <w:noProof/>
          </w:rPr>
          <w:t>The Review and Update Process and Consultation</w:t>
        </w:r>
        <w:r w:rsidR="00281AD2" w:rsidRPr="007B5C1C">
          <w:rPr>
            <w:noProof/>
            <w:webHidden/>
          </w:rPr>
          <w:tab/>
        </w:r>
        <w:r w:rsidRPr="007B5C1C">
          <w:rPr>
            <w:noProof/>
            <w:webHidden/>
          </w:rPr>
          <w:fldChar w:fldCharType="begin"/>
        </w:r>
        <w:r w:rsidR="00281AD2" w:rsidRPr="007B5C1C">
          <w:rPr>
            <w:noProof/>
            <w:webHidden/>
          </w:rPr>
          <w:instrText xml:space="preserve"> PAGEREF _Toc333515714 \h </w:instrText>
        </w:r>
        <w:r w:rsidRPr="007B5C1C">
          <w:rPr>
            <w:noProof/>
            <w:webHidden/>
          </w:rPr>
        </w:r>
        <w:r w:rsidRPr="007B5C1C">
          <w:rPr>
            <w:noProof/>
            <w:webHidden/>
          </w:rPr>
          <w:fldChar w:fldCharType="separate"/>
        </w:r>
        <w:r w:rsidR="00981C28">
          <w:rPr>
            <w:noProof/>
            <w:webHidden/>
          </w:rPr>
          <w:t>12</w:t>
        </w:r>
        <w:r w:rsidRPr="007B5C1C">
          <w:rPr>
            <w:noProof/>
            <w:webHidden/>
          </w:rPr>
          <w:fldChar w:fldCharType="end"/>
        </w:r>
      </w:hyperlink>
    </w:p>
    <w:p w:rsidR="00281AD2" w:rsidRPr="007B5C1C" w:rsidRDefault="00C471AB">
      <w:pPr>
        <w:pStyle w:val="TOC1"/>
        <w:rPr>
          <w:rFonts w:asciiTheme="minorHAnsi" w:eastAsiaTheme="minorEastAsia" w:hAnsiTheme="minorHAnsi"/>
          <w:noProof/>
          <w:sz w:val="22"/>
        </w:rPr>
      </w:pPr>
      <w:hyperlink w:anchor="_Toc333515715" w:history="1">
        <w:r w:rsidR="00281AD2" w:rsidRPr="007B5C1C">
          <w:rPr>
            <w:rStyle w:val="Hyperlink"/>
            <w:noProof/>
          </w:rPr>
          <w:t>VIII.</w:t>
        </w:r>
        <w:r w:rsidR="00281AD2" w:rsidRPr="007B5C1C">
          <w:rPr>
            <w:rFonts w:asciiTheme="minorHAnsi" w:eastAsiaTheme="minorEastAsia" w:hAnsiTheme="minorHAnsi"/>
            <w:noProof/>
            <w:sz w:val="22"/>
          </w:rPr>
          <w:tab/>
        </w:r>
        <w:r w:rsidR="00281AD2" w:rsidRPr="007B5C1C">
          <w:rPr>
            <w:rStyle w:val="Hyperlink"/>
            <w:noProof/>
          </w:rPr>
          <w:t>Staffing and Management</w:t>
        </w:r>
        <w:r w:rsidR="00281AD2" w:rsidRPr="007B5C1C">
          <w:rPr>
            <w:noProof/>
            <w:webHidden/>
          </w:rPr>
          <w:tab/>
        </w:r>
        <w:r w:rsidRPr="007B5C1C">
          <w:rPr>
            <w:noProof/>
            <w:webHidden/>
          </w:rPr>
          <w:fldChar w:fldCharType="begin"/>
        </w:r>
        <w:r w:rsidR="00281AD2" w:rsidRPr="007B5C1C">
          <w:rPr>
            <w:noProof/>
            <w:webHidden/>
          </w:rPr>
          <w:instrText xml:space="preserve"> PAGEREF _Toc333515715 \h </w:instrText>
        </w:r>
        <w:r w:rsidRPr="007B5C1C">
          <w:rPr>
            <w:noProof/>
            <w:webHidden/>
          </w:rPr>
        </w:r>
        <w:r w:rsidRPr="007B5C1C">
          <w:rPr>
            <w:noProof/>
            <w:webHidden/>
          </w:rPr>
          <w:fldChar w:fldCharType="separate"/>
        </w:r>
        <w:r w:rsidR="00981C28">
          <w:rPr>
            <w:noProof/>
            <w:webHidden/>
          </w:rPr>
          <w:t>15</w:t>
        </w:r>
        <w:r w:rsidRPr="007B5C1C">
          <w:rPr>
            <w:noProof/>
            <w:webHidden/>
          </w:rPr>
          <w:fldChar w:fldCharType="end"/>
        </w:r>
      </w:hyperlink>
    </w:p>
    <w:p w:rsidR="00281AD2" w:rsidRPr="007B5C1C" w:rsidRDefault="00C471AB">
      <w:pPr>
        <w:pStyle w:val="TOC1"/>
        <w:rPr>
          <w:rFonts w:asciiTheme="minorHAnsi" w:eastAsiaTheme="minorEastAsia" w:hAnsiTheme="minorHAnsi"/>
          <w:noProof/>
          <w:sz w:val="22"/>
        </w:rPr>
      </w:pPr>
      <w:hyperlink w:anchor="_Toc333515716" w:history="1">
        <w:r w:rsidR="00281AD2" w:rsidRPr="007B5C1C">
          <w:rPr>
            <w:rStyle w:val="Hyperlink"/>
            <w:noProof/>
          </w:rPr>
          <w:t>IX.</w:t>
        </w:r>
        <w:r w:rsidR="00281AD2" w:rsidRPr="007B5C1C">
          <w:rPr>
            <w:rFonts w:asciiTheme="minorHAnsi" w:eastAsiaTheme="minorEastAsia" w:hAnsiTheme="minorHAnsi"/>
            <w:noProof/>
            <w:sz w:val="22"/>
          </w:rPr>
          <w:tab/>
        </w:r>
        <w:r w:rsidR="00281AD2" w:rsidRPr="007B5C1C">
          <w:rPr>
            <w:rStyle w:val="Hyperlink"/>
            <w:noProof/>
          </w:rPr>
          <w:t>Next Steps</w:t>
        </w:r>
        <w:r w:rsidR="00281AD2" w:rsidRPr="007B5C1C">
          <w:rPr>
            <w:noProof/>
            <w:webHidden/>
          </w:rPr>
          <w:tab/>
        </w:r>
        <w:r w:rsidRPr="007B5C1C">
          <w:rPr>
            <w:noProof/>
            <w:webHidden/>
          </w:rPr>
          <w:fldChar w:fldCharType="begin"/>
        </w:r>
        <w:r w:rsidR="00281AD2" w:rsidRPr="007B5C1C">
          <w:rPr>
            <w:noProof/>
            <w:webHidden/>
          </w:rPr>
          <w:instrText xml:space="preserve"> PAGEREF _Toc333515716 \h </w:instrText>
        </w:r>
        <w:r w:rsidRPr="007B5C1C">
          <w:rPr>
            <w:noProof/>
            <w:webHidden/>
          </w:rPr>
        </w:r>
        <w:r w:rsidRPr="007B5C1C">
          <w:rPr>
            <w:noProof/>
            <w:webHidden/>
          </w:rPr>
          <w:fldChar w:fldCharType="separate"/>
        </w:r>
        <w:r w:rsidR="00981C28">
          <w:rPr>
            <w:noProof/>
            <w:webHidden/>
          </w:rPr>
          <w:t>16</w:t>
        </w:r>
        <w:r w:rsidRPr="007B5C1C">
          <w:rPr>
            <w:noProof/>
            <w:webHidden/>
          </w:rPr>
          <w:fldChar w:fldCharType="end"/>
        </w:r>
      </w:hyperlink>
    </w:p>
    <w:p w:rsidR="002508ED" w:rsidRPr="007B5C1C" w:rsidRDefault="00C471AB" w:rsidP="002508ED">
      <w:pPr>
        <w:spacing w:after="200" w:line="276" w:lineRule="auto"/>
        <w:rPr>
          <w:smallCaps/>
        </w:rPr>
      </w:pPr>
      <w:r w:rsidRPr="007B5C1C">
        <w:fldChar w:fldCharType="end"/>
      </w:r>
    </w:p>
    <w:p w:rsidR="00CE08A7" w:rsidRPr="007B5C1C" w:rsidRDefault="003B754F">
      <w:pPr>
        <w:widowControl/>
        <w:spacing w:after="200" w:line="276" w:lineRule="auto"/>
        <w:rPr>
          <w:rFonts w:ascii="Times New Roman Bold" w:hAnsi="Times New Roman Bold" w:cs="Times New Roman"/>
          <w:b/>
          <w:smallCaps/>
          <w:szCs w:val="24"/>
        </w:rPr>
      </w:pPr>
      <w:r w:rsidRPr="007B5C1C">
        <w:rPr>
          <w:rFonts w:ascii="Times New Roman Bold" w:hAnsi="Times New Roman Bold" w:cs="Times New Roman"/>
          <w:b/>
          <w:smallCaps/>
          <w:szCs w:val="24"/>
        </w:rPr>
        <w:br w:type="page"/>
      </w:r>
    </w:p>
    <w:p w:rsidR="003B754F" w:rsidRPr="007B5C1C" w:rsidRDefault="003B754F" w:rsidP="00A57E83">
      <w:pPr>
        <w:widowControl/>
        <w:spacing w:after="200" w:line="276" w:lineRule="auto"/>
        <w:rPr>
          <w:rFonts w:ascii="Times New Roman Bold" w:hAnsi="Times New Roman Bold" w:cs="Times New Roman"/>
          <w:b/>
          <w:smallCaps/>
          <w:szCs w:val="24"/>
        </w:rPr>
        <w:sectPr w:rsidR="003B754F" w:rsidRPr="007B5C1C" w:rsidSect="00E048C2">
          <w:headerReference w:type="default" r:id="rId12"/>
          <w:footerReference w:type="default" r:id="rId13"/>
          <w:pgSz w:w="12240" w:h="15840"/>
          <w:pgMar w:top="1440" w:right="1440" w:bottom="1440" w:left="1440" w:header="720" w:footer="720" w:gutter="0"/>
          <w:cols w:space="720"/>
          <w:docGrid w:linePitch="360"/>
        </w:sectPr>
      </w:pPr>
    </w:p>
    <w:p w:rsidR="002508ED" w:rsidRPr="007B5C1C" w:rsidRDefault="00126879" w:rsidP="002508ED">
      <w:pPr>
        <w:pStyle w:val="Heading1"/>
        <w:widowControl/>
        <w:spacing w:before="0" w:after="200" w:line="276" w:lineRule="auto"/>
        <w:rPr>
          <w:smallCaps w:val="0"/>
        </w:rPr>
      </w:pPr>
      <w:r w:rsidRPr="007B5C1C">
        <w:rPr>
          <w:smallCaps w:val="0"/>
        </w:rPr>
        <w:lastRenderedPageBreak/>
        <w:t>An Approach Paper for the</w:t>
      </w:r>
    </w:p>
    <w:p w:rsidR="002508ED" w:rsidRPr="007B5C1C" w:rsidRDefault="00126879" w:rsidP="002508ED">
      <w:pPr>
        <w:pStyle w:val="Heading1"/>
        <w:widowControl/>
        <w:spacing w:before="0" w:after="200" w:line="276" w:lineRule="auto"/>
        <w:rPr>
          <w:smallCaps w:val="0"/>
        </w:rPr>
      </w:pPr>
      <w:r w:rsidRPr="007B5C1C">
        <w:rPr>
          <w:smallCaps w:val="0"/>
        </w:rPr>
        <w:t xml:space="preserve">Review and Update of the Safeguard Policies </w:t>
      </w:r>
    </w:p>
    <w:p w:rsidR="002508ED" w:rsidRPr="007B5C1C" w:rsidRDefault="00EF3737" w:rsidP="002508ED">
      <w:pPr>
        <w:pStyle w:val="Heading3"/>
        <w:spacing w:before="0" w:after="200" w:line="276" w:lineRule="auto"/>
        <w:rPr>
          <w:bCs/>
          <w:i/>
          <w:smallCaps w:val="0"/>
          <w:szCs w:val="24"/>
        </w:rPr>
      </w:pPr>
      <w:bookmarkStart w:id="1" w:name="_Toc333515707"/>
      <w:r w:rsidRPr="007B5C1C">
        <w:rPr>
          <w:szCs w:val="24"/>
        </w:rPr>
        <w:t>Executive Summary</w:t>
      </w:r>
      <w:bookmarkEnd w:id="1"/>
    </w:p>
    <w:p w:rsidR="002508ED" w:rsidRPr="007B5C1C" w:rsidRDefault="00EF3737" w:rsidP="00F668DA">
      <w:pPr>
        <w:pStyle w:val="ippara2"/>
      </w:pPr>
      <w:r w:rsidRPr="007B5C1C">
        <w:rPr>
          <w:b/>
          <w:i/>
        </w:rPr>
        <w:t>The purpose of this paper.</w:t>
      </w:r>
      <w:r w:rsidRPr="007B5C1C">
        <w:rPr>
          <w:b/>
        </w:rPr>
        <w:t xml:space="preserve"> </w:t>
      </w:r>
      <w:r w:rsidRPr="007B5C1C">
        <w:t xml:space="preserve">With this Approach Paper, the World Bank is launching a two-year process to review and update its current environmental and social safeguard policies. The safeguard policies contribute to sustainability and development effectiveness in Bank projects and programs by helping </w:t>
      </w:r>
      <w:r w:rsidR="00AD50EB" w:rsidRPr="007B5C1C">
        <w:t xml:space="preserve">to </w:t>
      </w:r>
      <w:r w:rsidRPr="007B5C1C">
        <w:t xml:space="preserve">avoid or mitigate harm to people and the environment. This review and update will better align the policies with the changing needs and aspirations of borrowers, the external context, and the business of the Bank. This paper summarizes the evolution of the safeguard policies, explains the approach to, and rationale and objectives for the review and update, and outlines the parameters of the process. </w:t>
      </w:r>
    </w:p>
    <w:p w:rsidR="002508ED" w:rsidRPr="007B5C1C" w:rsidRDefault="00EF3737" w:rsidP="00F668DA">
      <w:pPr>
        <w:pStyle w:val="ippara2"/>
      </w:pPr>
      <w:r w:rsidRPr="007B5C1C">
        <w:rPr>
          <w:b/>
          <w:i/>
        </w:rPr>
        <w:t xml:space="preserve">Rationale for review. </w:t>
      </w:r>
      <w:r w:rsidRPr="007B5C1C">
        <w:t xml:space="preserve">There are </w:t>
      </w:r>
      <w:r w:rsidR="00BB56EE" w:rsidRPr="007B5C1C">
        <w:t xml:space="preserve">many reasons to carry out </w:t>
      </w:r>
      <w:r w:rsidRPr="007B5C1C">
        <w:t xml:space="preserve">this review and update of the safeguard policies, among them: </w:t>
      </w:r>
      <w:r w:rsidR="002508ED" w:rsidRPr="007B5C1C">
        <w:t xml:space="preserve">changing borrower profiles; </w:t>
      </w:r>
      <w:r w:rsidRPr="007B5C1C">
        <w:t>i</w:t>
      </w:r>
      <w:r w:rsidR="002508ED" w:rsidRPr="007B5C1C">
        <w:t xml:space="preserve">ncreased awareness of the value and vulnerability of the global commons; </w:t>
      </w:r>
      <w:r w:rsidRPr="007B5C1C">
        <w:t>c</w:t>
      </w:r>
      <w:r w:rsidR="002508ED" w:rsidRPr="007B5C1C">
        <w:t xml:space="preserve">hanging Bank operations; </w:t>
      </w:r>
      <w:r w:rsidRPr="007B5C1C">
        <w:t>t</w:t>
      </w:r>
      <w:r w:rsidR="002508ED" w:rsidRPr="007B5C1C">
        <w:t xml:space="preserve">he growing role of the private sector; </w:t>
      </w:r>
      <w:r w:rsidRPr="007B5C1C">
        <w:t xml:space="preserve">and the </w:t>
      </w:r>
      <w:r w:rsidR="002508ED" w:rsidRPr="007B5C1C">
        <w:t>2010 evaluation of the safeguard policies.</w:t>
      </w:r>
      <w:r w:rsidRPr="007B5C1C">
        <w:t xml:space="preserve"> The Bank recognizes the confluence of internal and external factors that make it timely to review and update the safeguard policies. The Bank is keen to promote environmentally and socially sustainable development with its borrowers, development partners, cooperating institutions, practitioners, and citizens alike, as a global public good.</w:t>
      </w:r>
    </w:p>
    <w:p w:rsidR="002508ED" w:rsidRPr="007B5C1C" w:rsidRDefault="00EF3737" w:rsidP="00F668DA">
      <w:pPr>
        <w:pStyle w:val="ippara2"/>
        <w:rPr>
          <w:rFonts w:cs="Times New Roman"/>
          <w:bCs/>
          <w:szCs w:val="24"/>
        </w:rPr>
      </w:pPr>
      <w:r w:rsidRPr="007B5C1C">
        <w:rPr>
          <w:b/>
          <w:i/>
        </w:rPr>
        <w:t>Core policies under review.</w:t>
      </w:r>
      <w:r w:rsidRPr="007B5C1C">
        <w:t xml:space="preserve"> The core policies under review are the eight environmental and social safeguard policies –</w:t>
      </w:r>
      <w:r w:rsidRPr="007B5C1C">
        <w:rPr>
          <w:bCs/>
        </w:rPr>
        <w:t xml:space="preserve"> OP 4.01 Environmental Assessment, OP 4.04 Natural Habitats, OP </w:t>
      </w:r>
      <w:r w:rsidRPr="007B5C1C">
        <w:t>4.09 Pest Management,</w:t>
      </w:r>
      <w:r w:rsidRPr="007B5C1C">
        <w:rPr>
          <w:bCs/>
        </w:rPr>
        <w:t xml:space="preserve"> OP 4.10 Indigenous Peoples</w:t>
      </w:r>
      <w:r w:rsidRPr="007B5C1C">
        <w:t>,</w:t>
      </w:r>
      <w:r w:rsidRPr="007B5C1C">
        <w:rPr>
          <w:bCs/>
        </w:rPr>
        <w:t xml:space="preserve"> OP 4.11 Physical Cultural Resources, OP 4.12 Involuntary Resettlement, </w:t>
      </w:r>
      <w:r w:rsidRPr="007B5C1C">
        <w:t>OP 4.36 Forests,</w:t>
      </w:r>
      <w:r w:rsidRPr="007B5C1C">
        <w:rPr>
          <w:bCs/>
        </w:rPr>
        <w:t xml:space="preserve"> OP 4.37 Safety of Dams – </w:t>
      </w:r>
      <w:r w:rsidRPr="007B5C1C">
        <w:t>as well as the Policy on Piloting the Use of Borrower Systems for Environmental and Social Safeguards (“Use of Country Systems”), OP 4.00.</w:t>
      </w:r>
      <w:r w:rsidR="00113B10" w:rsidRPr="007B5C1C">
        <w:t xml:space="preserve"> </w:t>
      </w:r>
    </w:p>
    <w:p w:rsidR="002508ED" w:rsidRPr="007B5C1C" w:rsidRDefault="00EF3737" w:rsidP="00F668DA">
      <w:pPr>
        <w:pStyle w:val="ippara2"/>
        <w:rPr>
          <w:b/>
          <w:i/>
        </w:rPr>
      </w:pPr>
      <w:r w:rsidRPr="007B5C1C">
        <w:rPr>
          <w:b/>
          <w:i/>
        </w:rPr>
        <w:t>Toward a new integrated framework.</w:t>
      </w:r>
      <w:r w:rsidRPr="007B5C1C">
        <w:t xml:space="preserve"> It is anticipated that the review and update process will lead to a new integrated framework that builds on the existing core principles of the safeguard policies, and may include several components, such as principles, policies, procedures, and guidance. </w:t>
      </w:r>
      <w:r w:rsidR="00C35F1A" w:rsidRPr="007B5C1C">
        <w:t>T</w:t>
      </w:r>
      <w:r w:rsidRPr="007B5C1C">
        <w:t xml:space="preserve">he proposed integrated framework is intended to enhance policy alignment with internal and external </w:t>
      </w:r>
      <w:r w:rsidR="00F40798" w:rsidRPr="007B5C1C">
        <w:t>changes</w:t>
      </w:r>
      <w:r w:rsidRPr="007B5C1C">
        <w:t xml:space="preserve">, and provide a solid foundation for a renewed and strengthened partnership with the Bank’s borrowers, leading to enhanced development effectiveness. </w:t>
      </w:r>
    </w:p>
    <w:p w:rsidR="002508ED" w:rsidRPr="007B5C1C" w:rsidRDefault="00EF3737" w:rsidP="00F668DA">
      <w:pPr>
        <w:pStyle w:val="ippara2"/>
      </w:pPr>
      <w:r w:rsidRPr="007B5C1C">
        <w:rPr>
          <w:b/>
          <w:i/>
        </w:rPr>
        <w:t>Opportunities and risks.</w:t>
      </w:r>
      <w:r w:rsidRPr="007B5C1C">
        <w:t xml:space="preserve"> </w:t>
      </w:r>
      <w:r w:rsidR="00E0536F" w:rsidRPr="007B5C1C">
        <w:t>The review and update presents an opportunity for</w:t>
      </w:r>
      <w:r w:rsidR="005A57B8" w:rsidRPr="007B5C1C">
        <w:t xml:space="preserve"> </w:t>
      </w:r>
      <w:r w:rsidR="00EB4127" w:rsidRPr="007B5C1C">
        <w:t>the Bank to enhance how it can</w:t>
      </w:r>
      <w:r w:rsidR="00E0536F" w:rsidRPr="007B5C1C">
        <w:t>: (</w:t>
      </w:r>
      <w:proofErr w:type="spellStart"/>
      <w:r w:rsidR="00E0536F" w:rsidRPr="007B5C1C">
        <w:t>i</w:t>
      </w:r>
      <w:proofErr w:type="spellEnd"/>
      <w:r w:rsidR="00E0536F" w:rsidRPr="007B5C1C">
        <w:t xml:space="preserve">) </w:t>
      </w:r>
      <w:r w:rsidR="00EB4127" w:rsidRPr="007B5C1C">
        <w:t xml:space="preserve">deliver </w:t>
      </w:r>
      <w:r w:rsidR="00E0536F" w:rsidRPr="007B5C1C">
        <w:t>better environmental and social outcomes; (ii) strengthen country systems and institu</w:t>
      </w:r>
      <w:r w:rsidR="00344A2D" w:rsidRPr="007B5C1C">
        <w:t xml:space="preserve">tions; </w:t>
      </w:r>
      <w:r w:rsidR="00860D5B" w:rsidRPr="007B5C1C">
        <w:t xml:space="preserve">and </w:t>
      </w:r>
      <w:r w:rsidR="00344A2D" w:rsidRPr="007B5C1C">
        <w:t xml:space="preserve">(iii) </w:t>
      </w:r>
      <w:r w:rsidR="00EB4127" w:rsidRPr="007B5C1C">
        <w:t>improve</w:t>
      </w:r>
      <w:r w:rsidR="00344A2D" w:rsidRPr="007B5C1C">
        <w:t xml:space="preserve"> coverage of</w:t>
      </w:r>
      <w:r w:rsidR="005A57B8" w:rsidRPr="007B5C1C">
        <w:t xml:space="preserve"> environmental and social</w:t>
      </w:r>
      <w:r w:rsidR="00344A2D" w:rsidRPr="007B5C1C">
        <w:t xml:space="preserve"> risks. </w:t>
      </w:r>
      <w:r w:rsidRPr="007B5C1C">
        <w:t xml:space="preserve">Management recognizes that the World Bank’s safeguard policies have become a global standard for other development partners. </w:t>
      </w:r>
      <w:r w:rsidR="007B5C1C" w:rsidRPr="007B5C1C">
        <w:t xml:space="preserve">Despite the explicit objective to strengthen the effectiveness of </w:t>
      </w:r>
      <w:r w:rsidR="007B5C1C" w:rsidRPr="007B5C1C">
        <w:lastRenderedPageBreak/>
        <w:t>the safeguards, t</w:t>
      </w:r>
      <w:r w:rsidR="00494627" w:rsidRPr="007B5C1C">
        <w:t>here is a risk that any proposed change to the current wording of the safeguard policies may be interpreted by some as a weakening of existing requirements.</w:t>
      </w:r>
      <w:r w:rsidR="00F0561D" w:rsidRPr="007B5C1C">
        <w:t xml:space="preserve"> Great care will be taken to strike the right balance among sometimes competing demands, needs, and aspirations, because a successful review and update process has the potential to yield multiple benefits for the Bank, its shareholders, and its internal and external stakeholders.</w:t>
      </w:r>
    </w:p>
    <w:p w:rsidR="002508ED" w:rsidRPr="007B5C1C" w:rsidRDefault="00EF3737" w:rsidP="00F668DA">
      <w:pPr>
        <w:pStyle w:val="ippara2"/>
      </w:pPr>
      <w:r w:rsidRPr="007B5C1C">
        <w:rPr>
          <w:b/>
          <w:i/>
        </w:rPr>
        <w:t>Renewed partnership with borrowers.</w:t>
      </w:r>
      <w:r w:rsidRPr="007B5C1C">
        <w:t xml:space="preserve"> In adapting to the changing needs of its borrowers, the </w:t>
      </w:r>
      <w:r w:rsidR="00BB56EE" w:rsidRPr="007B5C1C">
        <w:t xml:space="preserve">Bank will seek through this process to </w:t>
      </w:r>
      <w:r w:rsidRPr="007B5C1C">
        <w:t xml:space="preserve">renew its partnership with them, rooted in a common commitment to environmental and social sustainability outcomes of projects and programs, with </w:t>
      </w:r>
      <w:r w:rsidR="00BB56EE" w:rsidRPr="007B5C1C">
        <w:t xml:space="preserve">improved clarity regarding the accountabilities of </w:t>
      </w:r>
      <w:r w:rsidRPr="007B5C1C">
        <w:t>each partner. The next generation of the safeguard policies will support this partnership, while reaffirming the policies’ core principles and objectives established over the last two decades.</w:t>
      </w:r>
    </w:p>
    <w:p w:rsidR="002508ED" w:rsidRPr="007B5C1C" w:rsidRDefault="00EF3737" w:rsidP="00F668DA">
      <w:pPr>
        <w:pStyle w:val="ippara2"/>
      </w:pPr>
      <w:r w:rsidRPr="007B5C1C">
        <w:rPr>
          <w:b/>
          <w:bCs/>
          <w:i/>
        </w:rPr>
        <w:t>Broad, inclusive and transparent process of consultation.</w:t>
      </w:r>
      <w:r w:rsidRPr="007B5C1C">
        <w:rPr>
          <w:bCs/>
        </w:rPr>
        <w:t xml:space="preserve"> </w:t>
      </w:r>
      <w:r w:rsidRPr="007B5C1C">
        <w:t xml:space="preserve">The Bank </w:t>
      </w:r>
      <w:r w:rsidR="00BB56EE" w:rsidRPr="007B5C1C">
        <w:t>will undertake</w:t>
      </w:r>
      <w:r w:rsidRPr="007B5C1C">
        <w:t xml:space="preserve"> this process in a consultative manner and with the due care and comprehensiveness required for an exercise of such importance and potentially far-reaching impact. The 24-month process will be undertaken in three phases, each of which will include a multi-stakeholder consultation process to elicit input and feedback from interested stakeholders in as broad, inclusive and transparent a manner as possible. </w:t>
      </w:r>
    </w:p>
    <w:p w:rsidR="002508ED" w:rsidRPr="007B5C1C" w:rsidRDefault="00326837" w:rsidP="002508ED">
      <w:pPr>
        <w:pStyle w:val="Heading3"/>
        <w:keepNext/>
        <w:widowControl/>
        <w:numPr>
          <w:ilvl w:val="0"/>
          <w:numId w:val="38"/>
        </w:numPr>
        <w:spacing w:before="0" w:after="200" w:line="276" w:lineRule="auto"/>
        <w:rPr>
          <w:szCs w:val="24"/>
        </w:rPr>
      </w:pPr>
      <w:bookmarkStart w:id="2" w:name="_Toc333515708"/>
      <w:r w:rsidRPr="007B5C1C">
        <w:rPr>
          <w:szCs w:val="24"/>
        </w:rPr>
        <w:t>Background</w:t>
      </w:r>
      <w:bookmarkEnd w:id="2"/>
    </w:p>
    <w:p w:rsidR="006159E6" w:rsidRPr="007B5C1C" w:rsidRDefault="00E62FB2" w:rsidP="00F668DA">
      <w:pPr>
        <w:pStyle w:val="ippara2"/>
      </w:pPr>
      <w:r w:rsidRPr="007B5C1C">
        <w:rPr>
          <w:b/>
          <w:i/>
        </w:rPr>
        <w:t>The e</w:t>
      </w:r>
      <w:r w:rsidR="0058753B" w:rsidRPr="007B5C1C">
        <w:rPr>
          <w:b/>
          <w:i/>
        </w:rPr>
        <w:t xml:space="preserve">volution of the </w:t>
      </w:r>
      <w:r w:rsidRPr="007B5C1C">
        <w:rPr>
          <w:b/>
          <w:i/>
        </w:rPr>
        <w:t>safeguard polic</w:t>
      </w:r>
      <w:r w:rsidR="00EA1F93" w:rsidRPr="007B5C1C">
        <w:rPr>
          <w:b/>
          <w:i/>
        </w:rPr>
        <w:t>ies.</w:t>
      </w:r>
      <w:r w:rsidR="0095163E" w:rsidRPr="007B5C1C">
        <w:rPr>
          <w:b/>
        </w:rPr>
        <w:t xml:space="preserve"> </w:t>
      </w:r>
      <w:r w:rsidR="006159E6" w:rsidRPr="007B5C1C">
        <w:t xml:space="preserve">The </w:t>
      </w:r>
      <w:r w:rsidR="0008462F" w:rsidRPr="007B5C1C">
        <w:t xml:space="preserve">World </w:t>
      </w:r>
      <w:r w:rsidR="006159E6" w:rsidRPr="007B5C1C">
        <w:t>Bank’s safeguard policies embody core values of the institution</w:t>
      </w:r>
      <w:r w:rsidR="00763BF0" w:rsidRPr="007B5C1C">
        <w:t xml:space="preserve">. These policies are the cornerstone of the Bank's efforts to protect people and the environment, and to ensure </w:t>
      </w:r>
      <w:r w:rsidR="008B1A49" w:rsidRPr="007B5C1C">
        <w:t>sustainable</w:t>
      </w:r>
      <w:r w:rsidR="00763BF0" w:rsidRPr="007B5C1C">
        <w:t xml:space="preserve"> development outcomes. </w:t>
      </w:r>
      <w:r w:rsidR="00850CBB" w:rsidRPr="007B5C1C">
        <w:t xml:space="preserve">They </w:t>
      </w:r>
      <w:r w:rsidR="006159E6" w:rsidRPr="007B5C1C">
        <w:t xml:space="preserve">have served the Bank, its client countries, and the development community well over the past two decades. The Bank is </w:t>
      </w:r>
      <w:r w:rsidR="00763BF0" w:rsidRPr="007B5C1C">
        <w:t xml:space="preserve">now </w:t>
      </w:r>
      <w:r w:rsidR="00850CBB" w:rsidRPr="007B5C1C">
        <w:t>reviewing and updating</w:t>
      </w:r>
      <w:r w:rsidR="006159E6" w:rsidRPr="007B5C1C">
        <w:t xml:space="preserve"> these crucial policies to </w:t>
      </w:r>
      <w:r w:rsidR="003C0D07" w:rsidRPr="007B5C1C">
        <w:t xml:space="preserve">better meet the varied needs of borrowers, and </w:t>
      </w:r>
      <w:r w:rsidR="006159E6" w:rsidRPr="007B5C1C">
        <w:t xml:space="preserve">address new development demands </w:t>
      </w:r>
      <w:r w:rsidR="00A8130C" w:rsidRPr="007B5C1C">
        <w:t>and challenges</w:t>
      </w:r>
      <w:r w:rsidR="006159E6" w:rsidRPr="007B5C1C">
        <w:t>.</w:t>
      </w:r>
      <w:r w:rsidR="00A8130C" w:rsidRPr="007B5C1C">
        <w:t xml:space="preserve"> </w:t>
      </w:r>
      <w:r w:rsidR="00850CBB" w:rsidRPr="007B5C1C">
        <w:t xml:space="preserve">The Bank expects this </w:t>
      </w:r>
      <w:r w:rsidR="00A8130C" w:rsidRPr="007B5C1C">
        <w:t xml:space="preserve">review and update process to </w:t>
      </w:r>
      <w:r w:rsidR="00850CBB" w:rsidRPr="007B5C1C">
        <w:t xml:space="preserve">result in </w:t>
      </w:r>
      <w:r w:rsidR="00A8130C" w:rsidRPr="007B5C1C">
        <w:t xml:space="preserve">the next generation of safeguard policies that can help the Bank </w:t>
      </w:r>
      <w:r w:rsidR="008B1A49" w:rsidRPr="007B5C1C">
        <w:t>support</w:t>
      </w:r>
      <w:r w:rsidR="00A8130C" w:rsidRPr="007B5C1C">
        <w:t xml:space="preserve"> measurable development outcomes or “doing good</w:t>
      </w:r>
      <w:r w:rsidR="00850CBB" w:rsidRPr="007B5C1C">
        <w:t>,</w:t>
      </w:r>
      <w:r w:rsidR="00A8130C" w:rsidRPr="007B5C1C">
        <w:t>” in addition to maintaining the “do no harm” principles of the current safeguard policies.</w:t>
      </w:r>
    </w:p>
    <w:p w:rsidR="00AD3CE8" w:rsidRPr="007B5C1C" w:rsidRDefault="000A62D0">
      <w:pPr>
        <w:pStyle w:val="ippara2"/>
      </w:pPr>
      <w:r w:rsidRPr="007B5C1C">
        <w:t xml:space="preserve">For several decades a core concern of the World Bank has been how to effectively </w:t>
      </w:r>
      <w:proofErr w:type="spellStart"/>
      <w:r w:rsidRPr="007B5C1C">
        <w:t>assess</w:t>
      </w:r>
      <w:proofErr w:type="spellEnd"/>
      <w:r w:rsidRPr="007B5C1C">
        <w:t xml:space="preserve"> and manage</w:t>
      </w:r>
      <w:r w:rsidR="009932C2" w:rsidRPr="007B5C1C">
        <w:t xml:space="preserve"> the </w:t>
      </w:r>
      <w:r w:rsidR="00EA1F93" w:rsidRPr="007B5C1C">
        <w:t xml:space="preserve">environmental and social impacts of </w:t>
      </w:r>
      <w:r w:rsidR="007B625B" w:rsidRPr="007B5C1C">
        <w:t>the projects it finances</w:t>
      </w:r>
      <w:r w:rsidR="00EA1F93" w:rsidRPr="007B5C1C">
        <w:t xml:space="preserve">, </w:t>
      </w:r>
      <w:r w:rsidR="009932C2" w:rsidRPr="007B5C1C">
        <w:t>and this is</w:t>
      </w:r>
      <w:r w:rsidR="007B625B" w:rsidRPr="007B5C1C">
        <w:t xml:space="preserve"> reflected in </w:t>
      </w:r>
      <w:r w:rsidR="00EA1F93" w:rsidRPr="007B5C1C">
        <w:t>many of its operational policies and procedures.</w:t>
      </w:r>
      <w:r w:rsidR="00467DFC" w:rsidRPr="007B5C1C">
        <w:t xml:space="preserve"> </w:t>
      </w:r>
      <w:r w:rsidR="009932C2" w:rsidRPr="007B5C1C">
        <w:t xml:space="preserve">Since </w:t>
      </w:r>
      <w:r w:rsidR="00EA1F93" w:rsidRPr="007B5C1C">
        <w:t xml:space="preserve">the 1970s, the Bank steadily increased its attention to the environmental </w:t>
      </w:r>
      <w:r w:rsidR="005B3B28" w:rsidRPr="007B5C1C">
        <w:t xml:space="preserve">and social </w:t>
      </w:r>
      <w:r w:rsidR="00EA1F93" w:rsidRPr="007B5C1C">
        <w:t>opportunities and risks associated with the development process. In 1984, the Bank issued an Operational Manual Statement on Environmental Aspects of World Bank Work, outlining the Bank’s policies and procedures relating to projects, technical assistance and other aspects of its work that could have environmental implications.</w:t>
      </w:r>
      <w:r w:rsidR="00467DFC" w:rsidRPr="007B5C1C">
        <w:t xml:space="preserve"> </w:t>
      </w:r>
      <w:r w:rsidR="005B3B28" w:rsidRPr="007B5C1C">
        <w:t>T</w:t>
      </w:r>
      <w:r w:rsidR="00EA1F93" w:rsidRPr="007B5C1C">
        <w:t>he term ‘environmental</w:t>
      </w:r>
      <w:r w:rsidR="00272E22" w:rsidRPr="007B5C1C">
        <w:t>’</w:t>
      </w:r>
      <w:r w:rsidR="00EA1F93" w:rsidRPr="007B5C1C">
        <w:t xml:space="preserve"> was interpreted widely, to include both natural and social conditions, and the well being of current and future generations. </w:t>
      </w:r>
    </w:p>
    <w:p w:rsidR="00AD3CE8" w:rsidRPr="007B5C1C" w:rsidRDefault="00EA1F93">
      <w:pPr>
        <w:pStyle w:val="ippara2"/>
      </w:pPr>
      <w:r w:rsidRPr="007B5C1C">
        <w:lastRenderedPageBreak/>
        <w:t xml:space="preserve">Following the </w:t>
      </w:r>
      <w:r w:rsidR="00272E22" w:rsidRPr="007B5C1C">
        <w:t xml:space="preserve">major </w:t>
      </w:r>
      <w:r w:rsidRPr="007B5C1C">
        <w:t>Bank reorganization in 1987, Operational Directives</w:t>
      </w:r>
      <w:r w:rsidR="00940961" w:rsidRPr="007B5C1C">
        <w:t xml:space="preserve"> (ODs) gradually replaced the Operational Manual Statements</w:t>
      </w:r>
      <w:r w:rsidR="00301CEE" w:rsidRPr="007B5C1C">
        <w:t xml:space="preserve"> (OMS)</w:t>
      </w:r>
      <w:r w:rsidR="00940961" w:rsidRPr="007B5C1C">
        <w:t xml:space="preserve">, </w:t>
      </w:r>
      <w:r w:rsidRPr="007B5C1C">
        <w:t>frequently incorporat</w:t>
      </w:r>
      <w:r w:rsidR="00940961" w:rsidRPr="007B5C1C">
        <w:t>ing</w:t>
      </w:r>
      <w:r w:rsidRPr="007B5C1C">
        <w:t xml:space="preserve"> policy </w:t>
      </w:r>
      <w:r w:rsidR="00AD2C27" w:rsidRPr="007B5C1C">
        <w:t xml:space="preserve">previously </w:t>
      </w:r>
      <w:r w:rsidRPr="007B5C1C">
        <w:t xml:space="preserve">set out in </w:t>
      </w:r>
      <w:r w:rsidR="00940961" w:rsidRPr="007B5C1C">
        <w:t>the OMS,</w:t>
      </w:r>
      <w:r w:rsidR="00503364" w:rsidRPr="007B5C1C">
        <w:rPr>
          <w:vertAlign w:val="superscript"/>
        </w:rPr>
        <w:footnoteReference w:id="1"/>
      </w:r>
      <w:r w:rsidRPr="007B5C1C">
        <w:t xml:space="preserve"> and in other circumstances set</w:t>
      </w:r>
      <w:r w:rsidR="00940961" w:rsidRPr="007B5C1C">
        <w:t>ting</w:t>
      </w:r>
      <w:r w:rsidRPr="007B5C1C">
        <w:t xml:space="preserve"> out new policy. Environmental Assessment was initially addressed in OD 4.00, Annex A</w:t>
      </w:r>
      <w:r w:rsidR="00503364" w:rsidRPr="007B5C1C">
        <w:rPr>
          <w:vertAlign w:val="superscript"/>
        </w:rPr>
        <w:footnoteReference w:id="2"/>
      </w:r>
      <w:r w:rsidRPr="007B5C1C">
        <w:t xml:space="preserve"> and was later replaced by Operational Directive 4.01 on Environmental Assessment.</w:t>
      </w:r>
      <w:r w:rsidR="0095163E" w:rsidRPr="007B5C1C">
        <w:t xml:space="preserve"> </w:t>
      </w:r>
      <w:r w:rsidR="00B70E55" w:rsidRPr="007B5C1C">
        <w:t>I</w:t>
      </w:r>
      <w:r w:rsidRPr="007B5C1C">
        <w:t xml:space="preserve">ssues </w:t>
      </w:r>
      <w:r w:rsidR="00B70E55" w:rsidRPr="007B5C1C">
        <w:t>related</w:t>
      </w:r>
      <w:r w:rsidRPr="007B5C1C">
        <w:t xml:space="preserve"> to the </w:t>
      </w:r>
      <w:r w:rsidR="00184D2E" w:rsidRPr="007B5C1C">
        <w:t xml:space="preserve">comprehensiveness </w:t>
      </w:r>
      <w:r w:rsidRPr="007B5C1C">
        <w:t xml:space="preserve">of </w:t>
      </w:r>
      <w:r w:rsidR="00184D2E" w:rsidRPr="007B5C1C">
        <w:t xml:space="preserve">the </w:t>
      </w:r>
      <w:r w:rsidRPr="007B5C1C">
        <w:t xml:space="preserve">ODs and a desire on the part of Bank management to streamline and </w:t>
      </w:r>
      <w:r w:rsidR="00272E22" w:rsidRPr="007B5C1C">
        <w:t xml:space="preserve">clarify </w:t>
      </w:r>
      <w:r w:rsidR="00B70E55" w:rsidRPr="007B5C1C">
        <w:t>Bank practices</w:t>
      </w:r>
      <w:r w:rsidR="001D15F0" w:rsidRPr="007B5C1C">
        <w:t xml:space="preserve"> </w:t>
      </w:r>
      <w:r w:rsidR="00D826E6" w:rsidRPr="007B5C1C">
        <w:t xml:space="preserve">and accountabilities </w:t>
      </w:r>
      <w:r w:rsidR="001D15F0" w:rsidRPr="007B5C1C">
        <w:t>led to a decision in 1992 to gradually replace ODs by Operational Policies and Bank Procedures, the content of which would be binding on Bank staff.</w:t>
      </w:r>
    </w:p>
    <w:p w:rsidR="00AD3CE8" w:rsidRPr="007B5C1C" w:rsidRDefault="00EA1F93">
      <w:pPr>
        <w:pStyle w:val="ippara2"/>
      </w:pPr>
      <w:r w:rsidRPr="007B5C1C">
        <w:t xml:space="preserve">In 1997, the World Bank regrouped </w:t>
      </w:r>
      <w:r w:rsidR="00BB56EE" w:rsidRPr="007B5C1C">
        <w:t xml:space="preserve">ten </w:t>
      </w:r>
      <w:r w:rsidRPr="007B5C1C">
        <w:t xml:space="preserve">Operational Policies as specific </w:t>
      </w:r>
      <w:r w:rsidR="00E62FB2" w:rsidRPr="007B5C1C">
        <w:t>safeguard polic</w:t>
      </w:r>
      <w:r w:rsidRPr="007B5C1C">
        <w:t xml:space="preserve">ies </w:t>
      </w:r>
      <w:r w:rsidR="00795DE7" w:rsidRPr="007B5C1C">
        <w:t>–</w:t>
      </w:r>
      <w:r w:rsidRPr="007B5C1C">
        <w:t xml:space="preserve"> six environmental, two social, and two legal policies</w:t>
      </w:r>
      <w:r w:rsidR="00503364" w:rsidRPr="007B5C1C">
        <w:rPr>
          <w:vertAlign w:val="superscript"/>
        </w:rPr>
        <w:footnoteReference w:id="3"/>
      </w:r>
      <w:r w:rsidRPr="007B5C1C">
        <w:t xml:space="preserve"> </w:t>
      </w:r>
      <w:r w:rsidR="00FC4FB1" w:rsidRPr="007B5C1C">
        <w:sym w:font="Symbol" w:char="F02D"/>
      </w:r>
      <w:r w:rsidRPr="007B5C1C">
        <w:t xml:space="preserve"> and put in place administrative procedures to support compliance with the </w:t>
      </w:r>
      <w:r w:rsidR="00E62FB2" w:rsidRPr="007B5C1C">
        <w:t>safeguard polic</w:t>
      </w:r>
      <w:r w:rsidRPr="007B5C1C">
        <w:t>ies during project preparation and implementation.</w:t>
      </w:r>
      <w:r w:rsidR="00467DFC" w:rsidRPr="007B5C1C">
        <w:t xml:space="preserve"> </w:t>
      </w:r>
      <w:r w:rsidRPr="007B5C1C">
        <w:t xml:space="preserve">The </w:t>
      </w:r>
      <w:r w:rsidR="00B82C2D" w:rsidRPr="007B5C1C">
        <w:t>p</w:t>
      </w:r>
      <w:r w:rsidRPr="007B5C1C">
        <w:t>olicies were designed to help the Bank address environmental and social</w:t>
      </w:r>
      <w:r w:rsidR="009D684E" w:rsidRPr="007B5C1C">
        <w:t xml:space="preserve"> issues arising primarily from Investment L</w:t>
      </w:r>
      <w:r w:rsidRPr="007B5C1C">
        <w:t>ending projects that finance goods, works and services in a broad range of sectors, which constituted the World Bank’s main line of business at that time.</w:t>
      </w:r>
      <w:r w:rsidR="00467DFC" w:rsidRPr="007B5C1C">
        <w:t xml:space="preserve"> </w:t>
      </w:r>
      <w:r w:rsidRPr="007B5C1C">
        <w:t>They also applied to technical assistance activities supported by the Bank and to the Trust Funds it administers.</w:t>
      </w:r>
      <w:r w:rsidR="006867EB" w:rsidRPr="007B5C1C">
        <w:t xml:space="preserve"> </w:t>
      </w:r>
      <w:r w:rsidR="00B82C2D" w:rsidRPr="007B5C1C">
        <w:t xml:space="preserve">The </w:t>
      </w:r>
      <w:r w:rsidR="007B5C1C" w:rsidRPr="007B5C1C">
        <w:t xml:space="preserve">environmental and </w:t>
      </w:r>
      <w:proofErr w:type="gramStart"/>
      <w:r w:rsidR="007B5C1C" w:rsidRPr="007B5C1C">
        <w:t xml:space="preserve">social </w:t>
      </w:r>
      <w:r w:rsidR="00B82C2D" w:rsidRPr="007B5C1C">
        <w:t>requirements of the Bank’s</w:t>
      </w:r>
      <w:proofErr w:type="gramEnd"/>
      <w:r w:rsidR="00B82C2D" w:rsidRPr="007B5C1C">
        <w:t xml:space="preserve"> </w:t>
      </w:r>
      <w:r w:rsidR="00494627" w:rsidRPr="007B5C1C">
        <w:t>other main financing instruments</w:t>
      </w:r>
      <w:r w:rsidR="007B5C1C" w:rsidRPr="007B5C1C">
        <w:t xml:space="preserve">, notably Development Policy Loans </w:t>
      </w:r>
      <w:r w:rsidR="0079697D">
        <w:t xml:space="preserve">(DPLs) </w:t>
      </w:r>
      <w:r w:rsidR="007B5C1C" w:rsidRPr="007B5C1C">
        <w:t>and Program for Results</w:t>
      </w:r>
      <w:r w:rsidR="0079697D">
        <w:t xml:space="preserve"> (</w:t>
      </w:r>
      <w:proofErr w:type="spellStart"/>
      <w:r w:rsidR="0079697D">
        <w:t>PforR</w:t>
      </w:r>
      <w:proofErr w:type="spellEnd"/>
      <w:r w:rsidR="0079697D">
        <w:t>)</w:t>
      </w:r>
      <w:r w:rsidR="007B5C1C" w:rsidRPr="007B5C1C">
        <w:t>,</w:t>
      </w:r>
      <w:r w:rsidR="00F0561D" w:rsidRPr="007B5C1C">
        <w:t xml:space="preserve"> </w:t>
      </w:r>
      <w:r w:rsidR="00B82C2D" w:rsidRPr="007B5C1C">
        <w:t xml:space="preserve">are included in the single operational policy statements that govern all aspects of the </w:t>
      </w:r>
      <w:r w:rsidR="000E5840" w:rsidRPr="007B5C1C">
        <w:t xml:space="preserve">respective </w:t>
      </w:r>
      <w:r w:rsidR="00B82C2D" w:rsidRPr="007B5C1C">
        <w:t>instrument</w:t>
      </w:r>
      <w:r w:rsidR="000E5840" w:rsidRPr="007B5C1C">
        <w:t>s</w:t>
      </w:r>
      <w:r w:rsidR="00B82C2D" w:rsidRPr="007B5C1C">
        <w:t>.</w:t>
      </w:r>
    </w:p>
    <w:p w:rsidR="00AD3CE8" w:rsidRPr="007B5C1C" w:rsidRDefault="00EA1F93">
      <w:pPr>
        <w:pStyle w:val="ippara2"/>
      </w:pPr>
      <w:r w:rsidRPr="007B5C1C">
        <w:rPr>
          <w:b/>
          <w:i/>
        </w:rPr>
        <w:t>Evaluation o</w:t>
      </w:r>
      <w:r w:rsidR="00833662" w:rsidRPr="007B5C1C">
        <w:rPr>
          <w:b/>
          <w:i/>
        </w:rPr>
        <w:t>f</w:t>
      </w:r>
      <w:r w:rsidRPr="007B5C1C">
        <w:rPr>
          <w:b/>
          <w:i/>
        </w:rPr>
        <w:t xml:space="preserve"> the World Bank Group’s </w:t>
      </w:r>
      <w:r w:rsidR="00E62FB2" w:rsidRPr="007B5C1C">
        <w:rPr>
          <w:b/>
          <w:i/>
        </w:rPr>
        <w:t>safeguard polic</w:t>
      </w:r>
      <w:r w:rsidRPr="007B5C1C">
        <w:rPr>
          <w:b/>
          <w:i/>
        </w:rPr>
        <w:t xml:space="preserve">ies and </w:t>
      </w:r>
      <w:r w:rsidR="00E62FB2" w:rsidRPr="007B5C1C">
        <w:rPr>
          <w:b/>
          <w:i/>
        </w:rPr>
        <w:t>s</w:t>
      </w:r>
      <w:r w:rsidRPr="007B5C1C">
        <w:rPr>
          <w:b/>
          <w:i/>
        </w:rPr>
        <w:t>tandards.</w:t>
      </w:r>
      <w:r w:rsidR="00467DFC" w:rsidRPr="007B5C1C">
        <w:t xml:space="preserve"> </w:t>
      </w:r>
      <w:r w:rsidRPr="007B5C1C">
        <w:t xml:space="preserve">In 2010, more than 20 years after the requirement for environmental assessment was </w:t>
      </w:r>
      <w:r w:rsidR="00484EF2" w:rsidRPr="007B5C1C">
        <w:t xml:space="preserve">first </w:t>
      </w:r>
      <w:r w:rsidRPr="007B5C1C">
        <w:t xml:space="preserve">introduced, the World Bank’s </w:t>
      </w:r>
      <w:r w:rsidRPr="007B5C1C">
        <w:rPr>
          <w:i/>
        </w:rPr>
        <w:t xml:space="preserve">Independent Evaluation Group (IEG) </w:t>
      </w:r>
      <w:r w:rsidRPr="007B5C1C">
        <w:t xml:space="preserve">undertook an evaluation of the Bank’s </w:t>
      </w:r>
      <w:r w:rsidR="00E62FB2" w:rsidRPr="007B5C1C">
        <w:t>safeguard polic</w:t>
      </w:r>
      <w:r w:rsidRPr="007B5C1C">
        <w:t>ies.</w:t>
      </w:r>
      <w:r w:rsidR="003B754F" w:rsidRPr="007B5C1C">
        <w:rPr>
          <w:vertAlign w:val="superscript"/>
        </w:rPr>
        <w:footnoteReference w:id="4"/>
      </w:r>
      <w:r w:rsidR="00467DFC" w:rsidRPr="007B5C1C">
        <w:t xml:space="preserve"> </w:t>
      </w:r>
      <w:r w:rsidRPr="007B5C1C">
        <w:t xml:space="preserve">This </w:t>
      </w:r>
      <w:r w:rsidR="002046EB">
        <w:t xml:space="preserve">evaluation </w:t>
      </w:r>
      <w:r w:rsidRPr="007B5C1C">
        <w:t xml:space="preserve">shows that the </w:t>
      </w:r>
      <w:r w:rsidR="00E62FB2" w:rsidRPr="007B5C1C">
        <w:t>safeguard polic</w:t>
      </w:r>
      <w:r w:rsidRPr="007B5C1C">
        <w:t>ies have been effective in avoiding or mitigating adverse impacts, particularly in high-risk projects.</w:t>
      </w:r>
      <w:r w:rsidR="00467DFC" w:rsidRPr="007B5C1C">
        <w:t xml:space="preserve"> </w:t>
      </w:r>
      <w:r w:rsidRPr="007B5C1C">
        <w:t xml:space="preserve">IEG also found that the quality of safeguards work during design and appraisal improved during the review period (1999-2008). However, IEG also identified a need to adapt the </w:t>
      </w:r>
      <w:r w:rsidR="00E62FB2" w:rsidRPr="007B5C1C">
        <w:t>safeguard polic</w:t>
      </w:r>
      <w:r w:rsidRPr="007B5C1C">
        <w:t xml:space="preserve">ies to reflect the changing context in which the World Bank operates, including a rapidly changing business environment, new lending modalities and financing instruments, as well as evolving best practices and </w:t>
      </w:r>
      <w:r w:rsidR="005E4540" w:rsidRPr="007B5C1C">
        <w:t>borrower</w:t>
      </w:r>
      <w:r w:rsidRPr="007B5C1C">
        <w:t xml:space="preserve"> needs.</w:t>
      </w:r>
      <w:r w:rsidR="0095163E" w:rsidRPr="007B5C1C">
        <w:t xml:space="preserve"> </w:t>
      </w:r>
      <w:r w:rsidR="00472D24" w:rsidRPr="007B5C1C">
        <w:t xml:space="preserve">It also recommended a stronger focus on using the </w:t>
      </w:r>
      <w:r w:rsidR="00E62FB2" w:rsidRPr="007B5C1C">
        <w:t>safeguard polic</w:t>
      </w:r>
      <w:r w:rsidR="00472D24" w:rsidRPr="007B5C1C">
        <w:t>es to support environmentally and socially sustainable development and to assess a wider range of potential social risks and impacts.</w:t>
      </w:r>
      <w:r w:rsidR="00A24FB2" w:rsidRPr="007B5C1C">
        <w:t xml:space="preserve"> </w:t>
      </w:r>
    </w:p>
    <w:p w:rsidR="00AD3CE8" w:rsidRPr="007B5C1C" w:rsidRDefault="00EA1F93">
      <w:pPr>
        <w:pStyle w:val="ippara2"/>
      </w:pPr>
      <w:r w:rsidRPr="007B5C1C">
        <w:rPr>
          <w:b/>
          <w:i/>
        </w:rPr>
        <w:lastRenderedPageBreak/>
        <w:t>Management</w:t>
      </w:r>
      <w:r w:rsidR="00621F44" w:rsidRPr="007B5C1C">
        <w:rPr>
          <w:b/>
          <w:i/>
        </w:rPr>
        <w:t xml:space="preserve"> </w:t>
      </w:r>
      <w:r w:rsidR="00345496" w:rsidRPr="007B5C1C">
        <w:rPr>
          <w:b/>
          <w:i/>
        </w:rPr>
        <w:t>Action Record</w:t>
      </w:r>
      <w:r w:rsidRPr="007B5C1C">
        <w:rPr>
          <w:b/>
          <w:i/>
        </w:rPr>
        <w:t>.</w:t>
      </w:r>
      <w:r w:rsidR="00467DFC" w:rsidRPr="007B5C1C">
        <w:t xml:space="preserve"> </w:t>
      </w:r>
      <w:r w:rsidR="00D07EFB" w:rsidRPr="007B5C1C">
        <w:t xml:space="preserve">In July 2010, the Bank’s Board of Directors discussed the IEG evaluation and </w:t>
      </w:r>
      <w:r w:rsidR="00A71EFD" w:rsidRPr="007B5C1C">
        <w:t>the Management Action Record</w:t>
      </w:r>
      <w:r w:rsidR="00332509" w:rsidRPr="007B5C1C">
        <w:t>,</w:t>
      </w:r>
      <w:r w:rsidR="00B70E55" w:rsidRPr="007B5C1C">
        <w:rPr>
          <w:rStyle w:val="FootnoteReference"/>
        </w:rPr>
        <w:footnoteReference w:id="5"/>
      </w:r>
      <w:r w:rsidR="0022735A" w:rsidRPr="007B5C1C">
        <w:t xml:space="preserve"> in which Management committed to </w:t>
      </w:r>
      <w:r w:rsidR="00A24FB2" w:rsidRPr="007B5C1C">
        <w:t xml:space="preserve">undertake </w:t>
      </w:r>
      <w:r w:rsidR="006C2E53" w:rsidRPr="007B5C1C">
        <w:t>a comprehensive update and consolidation</w:t>
      </w:r>
      <w:r w:rsidR="00621F44" w:rsidRPr="007B5C1C">
        <w:t xml:space="preserve"> </w:t>
      </w:r>
      <w:r w:rsidR="00D07EFB" w:rsidRPr="007B5C1C">
        <w:t xml:space="preserve">of the Bank’s </w:t>
      </w:r>
      <w:r w:rsidR="00E62FB2" w:rsidRPr="007B5C1C">
        <w:t>safeguard polic</w:t>
      </w:r>
      <w:r w:rsidR="00D07EFB" w:rsidRPr="007B5C1C">
        <w:t xml:space="preserve">ies. Management </w:t>
      </w:r>
      <w:r w:rsidR="00325A78" w:rsidRPr="007B5C1C">
        <w:t xml:space="preserve">responded to </w:t>
      </w:r>
      <w:r w:rsidR="00D07EFB" w:rsidRPr="007B5C1C">
        <w:t xml:space="preserve">IEG’s findings and recommendations, including the need for stronger focus on the use of </w:t>
      </w:r>
      <w:r w:rsidR="00E62FB2" w:rsidRPr="007B5C1C">
        <w:t>safeguard polic</w:t>
      </w:r>
      <w:r w:rsidR="00D07EFB" w:rsidRPr="007B5C1C">
        <w:t xml:space="preserve">es to support environmentally and socially sustainable development; greater emphasis on assessment of a wider range of potential social </w:t>
      </w:r>
      <w:r w:rsidR="001809C9" w:rsidRPr="007B5C1C">
        <w:t>risks and impacts</w:t>
      </w:r>
      <w:r w:rsidR="00D07EFB" w:rsidRPr="007B5C1C">
        <w:t>; improvements in supervision; and more efficient and effective approaches to monitoring, evaluation, and completion reporting, including the enhanced use of indicators.</w:t>
      </w:r>
    </w:p>
    <w:p w:rsidR="00AD3CE8" w:rsidRPr="007B5C1C" w:rsidRDefault="00DC45E1" w:rsidP="008D7E67">
      <w:pPr>
        <w:pStyle w:val="ippara2"/>
      </w:pPr>
      <w:r w:rsidRPr="007B5C1C">
        <w:rPr>
          <w:b/>
          <w:i/>
        </w:rPr>
        <w:t>Progress since t</w:t>
      </w:r>
      <w:r w:rsidR="000F0FA0" w:rsidRPr="007B5C1C">
        <w:rPr>
          <w:b/>
          <w:i/>
        </w:rPr>
        <w:t xml:space="preserve">he IEG </w:t>
      </w:r>
      <w:r w:rsidR="002046EB">
        <w:rPr>
          <w:b/>
          <w:i/>
        </w:rPr>
        <w:t>Evaluation</w:t>
      </w:r>
      <w:r w:rsidR="000F0FA0" w:rsidRPr="007B5C1C">
        <w:rPr>
          <w:b/>
          <w:i/>
        </w:rPr>
        <w:t xml:space="preserve">. </w:t>
      </w:r>
      <w:r w:rsidR="000F0FA0" w:rsidRPr="007B5C1C">
        <w:t xml:space="preserve">Since the completion of the IEG </w:t>
      </w:r>
      <w:r w:rsidR="002046EB">
        <w:t>evaluation</w:t>
      </w:r>
      <w:r w:rsidR="000F0FA0" w:rsidRPr="007B5C1C">
        <w:t>, Management has undertaken a significant amount of</w:t>
      </w:r>
      <w:r w:rsidR="00423A6B" w:rsidRPr="007B5C1C">
        <w:t xml:space="preserve"> </w:t>
      </w:r>
      <w:r w:rsidR="000F0FA0" w:rsidRPr="007B5C1C">
        <w:t xml:space="preserve">work, including </w:t>
      </w:r>
      <w:r w:rsidR="005E1135" w:rsidRPr="007B5C1C">
        <w:t xml:space="preserve">internal </w:t>
      </w:r>
      <w:r w:rsidR="000F0FA0" w:rsidRPr="007B5C1C">
        <w:t xml:space="preserve">consensus building on the approach for this review and update. At the same time, as part of the overall modernization efforts, Management has been </w:t>
      </w:r>
      <w:r w:rsidR="00EC04CE">
        <w:t>pursuing</w:t>
      </w:r>
      <w:r w:rsidR="000F0FA0" w:rsidRPr="007B5C1C">
        <w:t xml:space="preserve"> a number of significant reform processes, such as the Investment Lending and procurement reforms, </w:t>
      </w:r>
      <w:r w:rsidR="00026CF7" w:rsidRPr="007B5C1C">
        <w:t xml:space="preserve">along with </w:t>
      </w:r>
      <w:r w:rsidR="008D7E67" w:rsidRPr="007B5C1C">
        <w:t>the Program for Results initiative and progress on grievance mechanisms, all of which</w:t>
      </w:r>
      <w:r w:rsidR="000F0FA0" w:rsidRPr="007B5C1C">
        <w:t xml:space="preserve"> have taken longer than anticipated. With these reforms now </w:t>
      </w:r>
      <w:r w:rsidR="00EC04CE">
        <w:t xml:space="preserve">either completed or </w:t>
      </w:r>
      <w:r w:rsidR="000F0FA0" w:rsidRPr="007B5C1C">
        <w:t xml:space="preserve">underway, Management is committed to proceed with the safeguards review and update, consistent with the recommendations </w:t>
      </w:r>
      <w:r w:rsidR="008D7E67" w:rsidRPr="007B5C1C">
        <w:t xml:space="preserve">of </w:t>
      </w:r>
      <w:r w:rsidR="000F0FA0" w:rsidRPr="007B5C1C">
        <w:t xml:space="preserve">the IEG </w:t>
      </w:r>
      <w:r w:rsidR="002046EB">
        <w:t>evaluation</w:t>
      </w:r>
      <w:r w:rsidR="000F0FA0" w:rsidRPr="007B5C1C">
        <w:t>.</w:t>
      </w:r>
    </w:p>
    <w:p w:rsidR="00AD3CE8" w:rsidRPr="007B5C1C" w:rsidRDefault="000F0FA0" w:rsidP="008D7E67">
      <w:pPr>
        <w:pStyle w:val="ippara2"/>
      </w:pPr>
      <w:r w:rsidRPr="007B5C1C">
        <w:rPr>
          <w:b/>
          <w:i/>
        </w:rPr>
        <w:t xml:space="preserve">The IEG </w:t>
      </w:r>
      <w:r w:rsidR="002046EB">
        <w:rPr>
          <w:b/>
          <w:i/>
        </w:rPr>
        <w:t>Evaluation</w:t>
      </w:r>
      <w:r w:rsidRPr="007B5C1C">
        <w:rPr>
          <w:b/>
          <w:i/>
        </w:rPr>
        <w:t xml:space="preserve"> and the Safeguards Review and Update.</w:t>
      </w:r>
      <w:r w:rsidRPr="007B5C1C">
        <w:t xml:space="preserve"> </w:t>
      </w:r>
      <w:r w:rsidR="008D7E67" w:rsidRPr="007B5C1C">
        <w:t xml:space="preserve">In addition to </w:t>
      </w:r>
      <w:r w:rsidRPr="007B5C1C">
        <w:t xml:space="preserve">progress </w:t>
      </w:r>
      <w:r w:rsidR="008D7E67" w:rsidRPr="007B5C1C">
        <w:t>o</w:t>
      </w:r>
      <w:r w:rsidRPr="007B5C1C">
        <w:t xml:space="preserve">n implementation of the commitments made in the Management Action Record, the IEG findings represent a valuable resource and point of reference for the review and update. First, the </w:t>
      </w:r>
      <w:r w:rsidR="002046EB">
        <w:t>evaluation</w:t>
      </w:r>
      <w:r w:rsidRPr="007B5C1C">
        <w:t xml:space="preserve"> links the importance of increasing social coverage with specific emerging issues such as community and gender impacts and health and safety. Second, the </w:t>
      </w:r>
      <w:r w:rsidR="002046EB">
        <w:t>evaluation</w:t>
      </w:r>
      <w:r w:rsidRPr="007B5C1C">
        <w:t xml:space="preserve"> makes the case for enhancing the use of country systems through revision of the approach taken to date in assessing systems and an increased emphasis on strengthening county institutions. Third, the </w:t>
      </w:r>
      <w:r w:rsidR="002046EB">
        <w:t>evaluation</w:t>
      </w:r>
      <w:r w:rsidRPr="007B5C1C">
        <w:t xml:space="preserve"> anticipates including measures to strengthen the approach used for design and implementation of projects that make use of Environmental and Social Management Frameworks to improve their effectiveness. Finally, the IEG </w:t>
      </w:r>
      <w:r w:rsidR="002046EB">
        <w:t>evaluation</w:t>
      </w:r>
      <w:r w:rsidRPr="007B5C1C">
        <w:t xml:space="preserve"> makes the case for improving systems and instruments for accountability and grievance redress. Management will ensure that the findings of the IEG </w:t>
      </w:r>
      <w:r w:rsidR="002046EB">
        <w:t>evaluation</w:t>
      </w:r>
      <w:r w:rsidRPr="007B5C1C">
        <w:t xml:space="preserve"> are given prominence in the process for the review and update of the safeguard policies.</w:t>
      </w:r>
    </w:p>
    <w:p w:rsidR="002508ED" w:rsidRPr="007B5C1C" w:rsidRDefault="00126879" w:rsidP="002508ED">
      <w:pPr>
        <w:pStyle w:val="Heading3"/>
        <w:keepNext/>
        <w:widowControl/>
        <w:numPr>
          <w:ilvl w:val="0"/>
          <w:numId w:val="38"/>
        </w:numPr>
        <w:spacing w:before="0" w:after="200" w:line="276" w:lineRule="auto"/>
        <w:rPr>
          <w:szCs w:val="24"/>
        </w:rPr>
      </w:pPr>
      <w:bookmarkStart w:id="3" w:name="_Toc333515709"/>
      <w:r w:rsidRPr="007B5C1C">
        <w:rPr>
          <w:szCs w:val="24"/>
        </w:rPr>
        <w:t>Rationale for the Review and Update</w:t>
      </w:r>
      <w:bookmarkEnd w:id="3"/>
    </w:p>
    <w:p w:rsidR="002508ED" w:rsidRPr="007B5C1C" w:rsidRDefault="006C60C3" w:rsidP="00F668DA">
      <w:pPr>
        <w:pStyle w:val="ippara2"/>
      </w:pPr>
      <w:r w:rsidRPr="007B5C1C">
        <w:rPr>
          <w:b/>
          <w:i/>
        </w:rPr>
        <w:t xml:space="preserve">A </w:t>
      </w:r>
      <w:r w:rsidR="003923EA" w:rsidRPr="007B5C1C">
        <w:rPr>
          <w:b/>
          <w:i/>
        </w:rPr>
        <w:t>confluence of factors</w:t>
      </w:r>
      <w:r w:rsidRPr="007B5C1C">
        <w:rPr>
          <w:b/>
          <w:i/>
        </w:rPr>
        <w:t>.</w:t>
      </w:r>
      <w:r w:rsidR="00EA1F93" w:rsidRPr="007B5C1C">
        <w:t xml:space="preserve"> </w:t>
      </w:r>
      <w:r w:rsidRPr="007B5C1C">
        <w:t>T</w:t>
      </w:r>
      <w:r w:rsidR="00EA1F93" w:rsidRPr="007B5C1C">
        <w:t xml:space="preserve">he Bank recognizes </w:t>
      </w:r>
      <w:r w:rsidR="00F128D7" w:rsidRPr="007B5C1C">
        <w:t>the confluence of</w:t>
      </w:r>
      <w:r w:rsidR="00EA1F93" w:rsidRPr="007B5C1C">
        <w:t xml:space="preserve"> internal and external factors that </w:t>
      </w:r>
      <w:r w:rsidR="00F128D7" w:rsidRPr="007B5C1C">
        <w:t>make</w:t>
      </w:r>
      <w:r w:rsidR="00EA1F93" w:rsidRPr="007B5C1C">
        <w:t xml:space="preserve"> it timely </w:t>
      </w:r>
      <w:r w:rsidR="000E18EB" w:rsidRPr="007B5C1C">
        <w:t>t</w:t>
      </w:r>
      <w:r w:rsidR="00EA1F93" w:rsidRPr="007B5C1C">
        <w:t>o review and updat</w:t>
      </w:r>
      <w:r w:rsidR="00B82C2D" w:rsidRPr="007B5C1C">
        <w:t>e</w:t>
      </w:r>
      <w:r w:rsidR="00EA1F93" w:rsidRPr="007B5C1C">
        <w:t xml:space="preserve"> the </w:t>
      </w:r>
      <w:r w:rsidR="00E62FB2" w:rsidRPr="007B5C1C">
        <w:t>safeguard polic</w:t>
      </w:r>
      <w:r w:rsidR="00EA1F93" w:rsidRPr="007B5C1C">
        <w:t>ies.</w:t>
      </w:r>
      <w:r w:rsidR="00467DFC" w:rsidRPr="007B5C1C">
        <w:t xml:space="preserve"> </w:t>
      </w:r>
      <w:r w:rsidR="00650EC9" w:rsidRPr="007B5C1C">
        <w:t>Management notes th</w:t>
      </w:r>
      <w:r w:rsidR="007D198A" w:rsidRPr="007B5C1C">
        <w:t>e</w:t>
      </w:r>
      <w:r w:rsidR="00650EC9" w:rsidRPr="007B5C1C">
        <w:t xml:space="preserve"> </w:t>
      </w:r>
      <w:r w:rsidR="007D198A" w:rsidRPr="007B5C1C">
        <w:t xml:space="preserve">development </w:t>
      </w:r>
      <w:r w:rsidR="00704B7B" w:rsidRPr="007B5C1C">
        <w:t>imperative</w:t>
      </w:r>
      <w:r w:rsidR="007D198A" w:rsidRPr="007B5C1C">
        <w:t xml:space="preserve"> of </w:t>
      </w:r>
      <w:r w:rsidR="00B82C2D" w:rsidRPr="007B5C1C">
        <w:t xml:space="preserve">delivering environmentally and socially sustainable results; </w:t>
      </w:r>
      <w:r w:rsidR="0064108B" w:rsidRPr="007B5C1C">
        <w:t xml:space="preserve">making greater use of and strengthening </w:t>
      </w:r>
      <w:r w:rsidR="005E4540" w:rsidRPr="007B5C1C">
        <w:t>borrower</w:t>
      </w:r>
      <w:r w:rsidR="0064108B" w:rsidRPr="007B5C1C">
        <w:t>s’ country institutions and systems</w:t>
      </w:r>
      <w:r w:rsidR="00795DE7" w:rsidRPr="007B5C1C">
        <w:t>;</w:t>
      </w:r>
      <w:r w:rsidR="00EA1F93" w:rsidRPr="007B5C1C">
        <w:t xml:space="preserve"> address</w:t>
      </w:r>
      <w:r w:rsidR="007D198A" w:rsidRPr="007B5C1C">
        <w:t>ing</w:t>
      </w:r>
      <w:r w:rsidR="00EA1F93" w:rsidRPr="007B5C1C">
        <w:t xml:space="preserve"> emerging challenges </w:t>
      </w:r>
      <w:r w:rsidR="000501E9" w:rsidRPr="007B5C1C">
        <w:t xml:space="preserve">at </w:t>
      </w:r>
      <w:r w:rsidR="00EA1F93" w:rsidRPr="007B5C1C">
        <w:t>the global commons, region</w:t>
      </w:r>
      <w:r w:rsidR="000501E9" w:rsidRPr="007B5C1C">
        <w:t>al</w:t>
      </w:r>
      <w:r w:rsidR="00EA1F93" w:rsidRPr="007B5C1C">
        <w:t>, and countr</w:t>
      </w:r>
      <w:r w:rsidR="000501E9" w:rsidRPr="007B5C1C">
        <w:t>y level</w:t>
      </w:r>
      <w:r w:rsidR="00795DE7" w:rsidRPr="007B5C1C">
        <w:t>;</w:t>
      </w:r>
      <w:r w:rsidR="00EA1F93" w:rsidRPr="007B5C1C">
        <w:t xml:space="preserve"> </w:t>
      </w:r>
      <w:r w:rsidR="00AB7BFD" w:rsidRPr="007B5C1C">
        <w:t xml:space="preserve">and </w:t>
      </w:r>
      <w:r w:rsidR="00EA1F93" w:rsidRPr="007B5C1C">
        <w:t>adapt</w:t>
      </w:r>
      <w:r w:rsidR="007D198A" w:rsidRPr="007B5C1C">
        <w:t>ing</w:t>
      </w:r>
      <w:r w:rsidR="00EA1F93" w:rsidRPr="007B5C1C">
        <w:t xml:space="preserve"> to the </w:t>
      </w:r>
      <w:r w:rsidR="00EA1F93" w:rsidRPr="007B5C1C">
        <w:lastRenderedPageBreak/>
        <w:t>changing operations of the Bank</w:t>
      </w:r>
      <w:r w:rsidR="007129DB" w:rsidRPr="007B5C1C">
        <w:t xml:space="preserve">. </w:t>
      </w:r>
      <w:r w:rsidR="007D198A" w:rsidRPr="007B5C1C">
        <w:t>Management</w:t>
      </w:r>
      <w:r w:rsidR="00EA1F93" w:rsidRPr="007B5C1C">
        <w:t xml:space="preserve"> is</w:t>
      </w:r>
      <w:r w:rsidR="007D198A" w:rsidRPr="007B5C1C">
        <w:t xml:space="preserve"> also aware of advances</w:t>
      </w:r>
      <w:r w:rsidR="00EA1F93" w:rsidRPr="007B5C1C">
        <w:t xml:space="preserve"> </w:t>
      </w:r>
      <w:r w:rsidR="00795DE7" w:rsidRPr="007B5C1C">
        <w:t xml:space="preserve">in </w:t>
      </w:r>
      <w:r w:rsidR="007D198A" w:rsidRPr="007B5C1C">
        <w:t xml:space="preserve">regional and </w:t>
      </w:r>
      <w:r w:rsidR="00EA1F93" w:rsidRPr="007B5C1C">
        <w:t>international practice</w:t>
      </w:r>
      <w:r w:rsidR="007D198A" w:rsidRPr="007B5C1C">
        <w:t>s</w:t>
      </w:r>
      <w:r w:rsidR="00EA1F93" w:rsidRPr="007B5C1C">
        <w:t xml:space="preserve"> </w:t>
      </w:r>
      <w:r w:rsidR="00795DE7" w:rsidRPr="007B5C1C">
        <w:t xml:space="preserve">to </w:t>
      </w:r>
      <w:r w:rsidR="00EA1F93" w:rsidRPr="007B5C1C">
        <w:t>address environmental and social issues</w:t>
      </w:r>
      <w:r w:rsidR="007129DB" w:rsidRPr="007B5C1C">
        <w:t xml:space="preserve">, </w:t>
      </w:r>
      <w:r w:rsidR="007D198A" w:rsidRPr="007B5C1C">
        <w:t>and the emergence of</w:t>
      </w:r>
      <w:r w:rsidR="00EA1F93" w:rsidRPr="007B5C1C">
        <w:t xml:space="preserve"> sustainability frameworks </w:t>
      </w:r>
      <w:r w:rsidR="007D198A" w:rsidRPr="007B5C1C">
        <w:t xml:space="preserve">in </w:t>
      </w:r>
      <w:r w:rsidR="00EA1F93" w:rsidRPr="007B5C1C">
        <w:t>use by the broader</w:t>
      </w:r>
      <w:r w:rsidR="00704B7B" w:rsidRPr="007B5C1C">
        <w:t xml:space="preserve"> international and development</w:t>
      </w:r>
      <w:r w:rsidR="00EA1F93" w:rsidRPr="007B5C1C">
        <w:t xml:space="preserve"> finance community.</w:t>
      </w:r>
      <w:r w:rsidR="00467DFC" w:rsidRPr="007B5C1C">
        <w:t xml:space="preserve"> </w:t>
      </w:r>
      <w:r w:rsidR="007D198A" w:rsidRPr="007B5C1C">
        <w:t>The Bank is keen to</w:t>
      </w:r>
      <w:r w:rsidR="00EA1F93" w:rsidRPr="007B5C1C">
        <w:t xml:space="preserve"> promote environmentally and socially sustainable development</w:t>
      </w:r>
      <w:r w:rsidR="000E18EB" w:rsidRPr="007B5C1C">
        <w:t xml:space="preserve"> </w:t>
      </w:r>
      <w:r w:rsidR="00F128D7" w:rsidRPr="007B5C1C">
        <w:t>with its</w:t>
      </w:r>
      <w:r w:rsidR="00EA1F93" w:rsidRPr="007B5C1C">
        <w:t xml:space="preserve"> </w:t>
      </w:r>
      <w:r w:rsidR="005E4540" w:rsidRPr="007B5C1C">
        <w:t>borrower</w:t>
      </w:r>
      <w:r w:rsidR="00EA1F93" w:rsidRPr="007B5C1C">
        <w:t xml:space="preserve">s, </w:t>
      </w:r>
      <w:r w:rsidR="007129DB" w:rsidRPr="007B5C1C">
        <w:t>development partners</w:t>
      </w:r>
      <w:r w:rsidR="00EA1F93" w:rsidRPr="007B5C1C">
        <w:t xml:space="preserve">, </w:t>
      </w:r>
      <w:r w:rsidR="007129DB" w:rsidRPr="007B5C1C">
        <w:t xml:space="preserve">cooperating </w:t>
      </w:r>
      <w:r w:rsidR="00EA1F93" w:rsidRPr="007B5C1C">
        <w:t>institutions, practitioners, and citizens alike, as a global public good.</w:t>
      </w:r>
      <w:r w:rsidR="00467DFC" w:rsidRPr="007B5C1C">
        <w:t xml:space="preserve"> </w:t>
      </w:r>
    </w:p>
    <w:p w:rsidR="002508ED" w:rsidRPr="007B5C1C" w:rsidRDefault="00EA1F93" w:rsidP="00F668DA">
      <w:pPr>
        <w:pStyle w:val="ippara2"/>
      </w:pPr>
      <w:r w:rsidRPr="007B5C1C">
        <w:rPr>
          <w:b/>
          <w:i/>
        </w:rPr>
        <w:t xml:space="preserve">Changing </w:t>
      </w:r>
      <w:r w:rsidR="005E4540" w:rsidRPr="007B5C1C">
        <w:rPr>
          <w:b/>
          <w:i/>
        </w:rPr>
        <w:t>borrower</w:t>
      </w:r>
      <w:r w:rsidR="009932C2" w:rsidRPr="007B5C1C">
        <w:rPr>
          <w:b/>
          <w:i/>
        </w:rPr>
        <w:t xml:space="preserve"> </w:t>
      </w:r>
      <w:r w:rsidRPr="007B5C1C">
        <w:rPr>
          <w:b/>
          <w:i/>
        </w:rPr>
        <w:t>profiles.</w:t>
      </w:r>
      <w:r w:rsidR="00467DFC" w:rsidRPr="007B5C1C">
        <w:t xml:space="preserve"> </w:t>
      </w:r>
      <w:r w:rsidRPr="007B5C1C">
        <w:t xml:space="preserve">The profile of Bank </w:t>
      </w:r>
      <w:r w:rsidR="00B82C2D" w:rsidRPr="007B5C1C">
        <w:t>b</w:t>
      </w:r>
      <w:r w:rsidRPr="007B5C1C">
        <w:t xml:space="preserve">orrowers today is </w:t>
      </w:r>
      <w:r w:rsidR="00AD5C00" w:rsidRPr="007B5C1C">
        <w:t xml:space="preserve">far more </w:t>
      </w:r>
      <w:r w:rsidRPr="007B5C1C">
        <w:t xml:space="preserve">diverse </w:t>
      </w:r>
      <w:r w:rsidR="00D826E6" w:rsidRPr="007B5C1C">
        <w:t xml:space="preserve">than it was when the </w:t>
      </w:r>
      <w:r w:rsidR="00E62FB2" w:rsidRPr="007B5C1C">
        <w:t>safeguard polic</w:t>
      </w:r>
      <w:r w:rsidR="00D826E6" w:rsidRPr="007B5C1C">
        <w:t>ies were first developed</w:t>
      </w:r>
      <w:r w:rsidR="00AD5C00" w:rsidRPr="007B5C1C">
        <w:t>.</w:t>
      </w:r>
      <w:r w:rsidR="0095163E" w:rsidRPr="007B5C1C">
        <w:t xml:space="preserve"> </w:t>
      </w:r>
      <w:r w:rsidR="00FC7AFB" w:rsidRPr="007B5C1C">
        <w:t xml:space="preserve">Bank </w:t>
      </w:r>
      <w:proofErr w:type="gramStart"/>
      <w:r w:rsidR="005E4540" w:rsidRPr="007B5C1C">
        <w:t>borrower</w:t>
      </w:r>
      <w:r w:rsidR="00FC7AFB" w:rsidRPr="007B5C1C">
        <w:t>s</w:t>
      </w:r>
      <w:proofErr w:type="gramEnd"/>
      <w:r w:rsidR="00FC7AFB" w:rsidRPr="007B5C1C">
        <w:t xml:space="preserve"> today</w:t>
      </w:r>
      <w:r w:rsidRPr="007B5C1C">
        <w:t xml:space="preserve"> range from middle-income countries, with well-developed institutions and capacities, </w:t>
      </w:r>
      <w:r w:rsidR="004D41EE" w:rsidRPr="007B5C1C">
        <w:t xml:space="preserve">to </w:t>
      </w:r>
      <w:r w:rsidRPr="007B5C1C">
        <w:t>low-income countries with weaker governance and institutions, to fragile and conflict-affected states</w:t>
      </w:r>
      <w:r w:rsidR="00AD5C00" w:rsidRPr="007B5C1C">
        <w:t xml:space="preserve"> where </w:t>
      </w:r>
      <w:r w:rsidR="0093773B" w:rsidRPr="007B5C1C">
        <w:t xml:space="preserve">more </w:t>
      </w:r>
      <w:r w:rsidR="00AD5C00" w:rsidRPr="007B5C1C">
        <w:t>tailored and coordinated interventions are required</w:t>
      </w:r>
      <w:r w:rsidRPr="007B5C1C">
        <w:t>.</w:t>
      </w:r>
      <w:r w:rsidR="00467DFC" w:rsidRPr="007B5C1C">
        <w:t xml:space="preserve"> </w:t>
      </w:r>
      <w:r w:rsidR="00FC7AFB" w:rsidRPr="007B5C1C">
        <w:t xml:space="preserve">Within this diverse profile, </w:t>
      </w:r>
      <w:r w:rsidR="00F128D7" w:rsidRPr="007B5C1C">
        <w:t>there are</w:t>
      </w:r>
      <w:r w:rsidRPr="007B5C1C">
        <w:t xml:space="preserve"> countries </w:t>
      </w:r>
      <w:r w:rsidR="00FC7AFB" w:rsidRPr="007B5C1C">
        <w:t xml:space="preserve">with </w:t>
      </w:r>
      <w:r w:rsidRPr="007B5C1C">
        <w:t>constitutional guarantee</w:t>
      </w:r>
      <w:r w:rsidR="004D41EE" w:rsidRPr="007B5C1C">
        <w:t>s</w:t>
      </w:r>
      <w:r w:rsidRPr="007B5C1C">
        <w:t xml:space="preserve"> </w:t>
      </w:r>
      <w:r w:rsidR="00BB56EE" w:rsidRPr="007B5C1C">
        <w:t>and/</w:t>
      </w:r>
      <w:r w:rsidRPr="007B5C1C">
        <w:t xml:space="preserve">or advanced legislation designed to protect </w:t>
      </w:r>
      <w:r w:rsidR="004D41EE" w:rsidRPr="007B5C1C">
        <w:t xml:space="preserve">their </w:t>
      </w:r>
      <w:r w:rsidRPr="007B5C1C">
        <w:t xml:space="preserve">people and the natural environment, </w:t>
      </w:r>
      <w:r w:rsidR="00FC7AFB" w:rsidRPr="007B5C1C">
        <w:t>and those</w:t>
      </w:r>
      <w:r w:rsidR="00EF0BBA" w:rsidRPr="007B5C1C">
        <w:t xml:space="preserve"> </w:t>
      </w:r>
      <w:r w:rsidR="00FC7AFB" w:rsidRPr="007B5C1C">
        <w:t>with</w:t>
      </w:r>
      <w:r w:rsidR="00C519F6" w:rsidRPr="007B5C1C">
        <w:t xml:space="preserve"> </w:t>
      </w:r>
      <w:r w:rsidR="00B82C2D" w:rsidRPr="007B5C1C">
        <w:t>evolving</w:t>
      </w:r>
      <w:r w:rsidR="000F262B" w:rsidRPr="007B5C1C">
        <w:t xml:space="preserve"> </w:t>
      </w:r>
      <w:r w:rsidR="00257FF9" w:rsidRPr="007B5C1C">
        <w:t>technical and institutional capacity to manage environmental and social issues</w:t>
      </w:r>
      <w:r w:rsidR="0093773B" w:rsidRPr="007B5C1C">
        <w:t>.</w:t>
      </w:r>
      <w:r w:rsidR="0095163E" w:rsidRPr="007B5C1C">
        <w:t xml:space="preserve"> </w:t>
      </w:r>
      <w:r w:rsidR="0093773B" w:rsidRPr="007B5C1C">
        <w:t xml:space="preserve">In </w:t>
      </w:r>
      <w:r w:rsidR="00FC7AFB" w:rsidRPr="007B5C1C">
        <w:t>addition, r</w:t>
      </w:r>
      <w:r w:rsidR="00572525" w:rsidRPr="007B5C1C">
        <w:t xml:space="preserve">egulatory agencies in </w:t>
      </w:r>
      <w:r w:rsidR="00FD0492" w:rsidRPr="007B5C1C">
        <w:t xml:space="preserve">a </w:t>
      </w:r>
      <w:r w:rsidR="00704B7B" w:rsidRPr="007B5C1C">
        <w:t xml:space="preserve">wide </w:t>
      </w:r>
      <w:r w:rsidR="00FD0492" w:rsidRPr="007B5C1C">
        <w:t>range of</w:t>
      </w:r>
      <w:r w:rsidR="00572525" w:rsidRPr="007B5C1C">
        <w:t xml:space="preserve"> countries are experimenting with incentives, economic models, </w:t>
      </w:r>
      <w:r w:rsidR="00F2789D" w:rsidRPr="007B5C1C">
        <w:t>and</w:t>
      </w:r>
      <w:r w:rsidR="00572525" w:rsidRPr="007B5C1C">
        <w:t xml:space="preserve"> collaborative mechanisms, </w:t>
      </w:r>
      <w:r w:rsidR="00D6397F" w:rsidRPr="007B5C1C">
        <w:t>in addition to the prescriptive methods already in use</w:t>
      </w:r>
      <w:r w:rsidR="00F824A0" w:rsidRPr="007B5C1C">
        <w:t xml:space="preserve"> to address environmental and social risks and impacts</w:t>
      </w:r>
      <w:r w:rsidR="00C8143F" w:rsidRPr="007B5C1C">
        <w:t>.</w:t>
      </w:r>
      <w:r w:rsidR="00DA02B4" w:rsidRPr="007B5C1C">
        <w:t xml:space="preserve"> </w:t>
      </w:r>
    </w:p>
    <w:p w:rsidR="00AD3CE8" w:rsidRPr="007B5C1C" w:rsidRDefault="00FC7AFB">
      <w:pPr>
        <w:pStyle w:val="ippara2"/>
      </w:pPr>
      <w:r w:rsidRPr="007B5C1C">
        <w:t xml:space="preserve">These changes </w:t>
      </w:r>
      <w:r w:rsidR="0093773B" w:rsidRPr="007B5C1C">
        <w:t>over time drove</w:t>
      </w:r>
      <w:r w:rsidR="008E6047" w:rsidRPr="007B5C1C">
        <w:t xml:space="preserve"> an</w:t>
      </w:r>
      <w:r w:rsidRPr="007B5C1C">
        <w:t xml:space="preserve"> evolution of </w:t>
      </w:r>
      <w:r w:rsidR="00344A2D" w:rsidRPr="007B5C1C">
        <w:t>development partners</w:t>
      </w:r>
      <w:r w:rsidR="00981FCC" w:rsidRPr="007B5C1C">
        <w:t>’</w:t>
      </w:r>
      <w:r w:rsidR="00344A2D" w:rsidRPr="007B5C1C">
        <w:t xml:space="preserve"> </w:t>
      </w:r>
      <w:r w:rsidRPr="007B5C1C">
        <w:t>approach to international aid.</w:t>
      </w:r>
      <w:r w:rsidR="0095163E" w:rsidRPr="007B5C1C">
        <w:t xml:space="preserve"> </w:t>
      </w:r>
      <w:r w:rsidR="00EA1F93" w:rsidRPr="007B5C1C">
        <w:t xml:space="preserve">As part of </w:t>
      </w:r>
      <w:r w:rsidR="00BB56EE" w:rsidRPr="007B5C1C">
        <w:t xml:space="preserve">the </w:t>
      </w:r>
      <w:r w:rsidR="00EA1F93" w:rsidRPr="007B5C1C">
        <w:t xml:space="preserve">efforts to increase aid effectiveness and </w:t>
      </w:r>
      <w:r w:rsidR="00860D5B" w:rsidRPr="007B5C1C">
        <w:t>development partner</w:t>
      </w:r>
      <w:r w:rsidR="00EA1F93" w:rsidRPr="007B5C1C">
        <w:t xml:space="preserve"> harmonization,</w:t>
      </w:r>
      <w:r w:rsidR="00AD5C00" w:rsidRPr="007B5C1C">
        <w:t xml:space="preserve"> </w:t>
      </w:r>
      <w:r w:rsidRPr="007B5C1C">
        <w:t>more e</w:t>
      </w:r>
      <w:r w:rsidR="00EA1F93" w:rsidRPr="007B5C1C">
        <w:t>mphasis</w:t>
      </w:r>
      <w:r w:rsidRPr="007B5C1C">
        <w:t xml:space="preserve"> was placed</w:t>
      </w:r>
      <w:r w:rsidR="00EA1F93" w:rsidRPr="007B5C1C">
        <w:t xml:space="preserve"> on aligning and harmonizing </w:t>
      </w:r>
      <w:r w:rsidR="00EC40D8" w:rsidRPr="007B5C1C">
        <w:t xml:space="preserve">approaches to environmental and social </w:t>
      </w:r>
      <w:r w:rsidR="00EA1F93" w:rsidRPr="007B5C1C">
        <w:t xml:space="preserve">sustainability and </w:t>
      </w:r>
      <w:r w:rsidR="00860D5B" w:rsidRPr="007B5C1C">
        <w:t>development partner</w:t>
      </w:r>
      <w:r w:rsidR="00EA1F93" w:rsidRPr="007B5C1C">
        <w:t xml:space="preserve"> instruments with </w:t>
      </w:r>
      <w:r w:rsidR="005E4540" w:rsidRPr="007B5C1C">
        <w:t>borrower</w:t>
      </w:r>
      <w:r w:rsidR="00EA1F93" w:rsidRPr="007B5C1C">
        <w:t xml:space="preserve"> country systems</w:t>
      </w:r>
      <w:r w:rsidR="00AD5C00" w:rsidRPr="007B5C1C">
        <w:t>, as evidence</w:t>
      </w:r>
      <w:r w:rsidR="008E6047" w:rsidRPr="007B5C1C">
        <w:t>d</w:t>
      </w:r>
      <w:r w:rsidR="00AD5C00" w:rsidRPr="007B5C1C">
        <w:t xml:space="preserve"> by the Paris Declaration (2005)</w:t>
      </w:r>
      <w:r w:rsidR="00E53177" w:rsidRPr="007B5C1C">
        <w:rPr>
          <w:vertAlign w:val="superscript"/>
        </w:rPr>
        <w:footnoteReference w:id="6"/>
      </w:r>
      <w:r w:rsidR="00AD5C00" w:rsidRPr="007B5C1C">
        <w:t xml:space="preserve"> and the Accra Agenda for Action (2008),</w:t>
      </w:r>
      <w:r w:rsidR="00C32A25" w:rsidRPr="007B5C1C">
        <w:rPr>
          <w:rStyle w:val="FootnoteReference"/>
        </w:rPr>
        <w:footnoteReference w:id="7"/>
      </w:r>
      <w:r w:rsidR="00AD5C00" w:rsidRPr="007B5C1C">
        <w:t xml:space="preserve"> </w:t>
      </w:r>
      <w:r w:rsidR="00BB56EE" w:rsidRPr="007B5C1C">
        <w:t xml:space="preserve">and </w:t>
      </w:r>
      <w:r w:rsidR="00AD5C00" w:rsidRPr="007B5C1C">
        <w:t xml:space="preserve">as reinforced by the High Level Forum on Aid Effectiveness in </w:t>
      </w:r>
      <w:proofErr w:type="spellStart"/>
      <w:r w:rsidR="00AD5C00" w:rsidRPr="007B5C1C">
        <w:t>Busan</w:t>
      </w:r>
      <w:proofErr w:type="spellEnd"/>
      <w:r w:rsidR="00AD5C00" w:rsidRPr="007B5C1C">
        <w:t xml:space="preserve"> (2011)</w:t>
      </w:r>
      <w:r w:rsidR="008E6047" w:rsidRPr="007B5C1C">
        <w:t>.</w:t>
      </w:r>
      <w:r w:rsidR="000F262B" w:rsidRPr="007B5C1C">
        <w:rPr>
          <w:rStyle w:val="FootnoteReference"/>
        </w:rPr>
        <w:footnoteReference w:id="8"/>
      </w:r>
      <w:r w:rsidR="0095163E" w:rsidRPr="007B5C1C">
        <w:t xml:space="preserve"> </w:t>
      </w:r>
      <w:r w:rsidR="00451373" w:rsidRPr="007B5C1C">
        <w:t>The Bank also responded to the changed environmental and social sustainability challenges through</w:t>
      </w:r>
      <w:r w:rsidR="008E6047" w:rsidRPr="007B5C1C">
        <w:t xml:space="preserve"> the</w:t>
      </w:r>
      <w:r w:rsidR="00EA1F93" w:rsidRPr="007B5C1C">
        <w:t xml:space="preserve"> Use of Country Systems </w:t>
      </w:r>
      <w:r w:rsidR="003F3C87" w:rsidRPr="007B5C1C">
        <w:t xml:space="preserve">(UCS) </w:t>
      </w:r>
      <w:r w:rsidR="00EA1F93" w:rsidRPr="007B5C1C">
        <w:t xml:space="preserve">pilot </w:t>
      </w:r>
      <w:r w:rsidR="00464AE5" w:rsidRPr="007B5C1C">
        <w:t>program</w:t>
      </w:r>
      <w:r w:rsidR="00451373" w:rsidRPr="007B5C1C">
        <w:t>.</w:t>
      </w:r>
      <w:r w:rsidR="008E6047" w:rsidRPr="007B5C1C">
        <w:rPr>
          <w:vertAlign w:val="superscript"/>
        </w:rPr>
        <w:footnoteReference w:id="9"/>
      </w:r>
      <w:r w:rsidR="0095163E" w:rsidRPr="007B5C1C">
        <w:t xml:space="preserve"> </w:t>
      </w:r>
      <w:r w:rsidR="00451373" w:rsidRPr="007B5C1C">
        <w:t>This approach</w:t>
      </w:r>
      <w:r w:rsidR="00AD5C00" w:rsidRPr="007B5C1C">
        <w:t xml:space="preserve"> relies on </w:t>
      </w:r>
      <w:r w:rsidR="005E4540" w:rsidRPr="007B5C1C">
        <w:t>borrower</w:t>
      </w:r>
      <w:r w:rsidR="00AD5C00" w:rsidRPr="007B5C1C">
        <w:t xml:space="preserve"> countries’ legal frameworks and institutions </w:t>
      </w:r>
      <w:r w:rsidR="000F262B" w:rsidRPr="007B5C1C">
        <w:t xml:space="preserve">to </w:t>
      </w:r>
      <w:r w:rsidR="00270825" w:rsidRPr="007B5C1C">
        <w:t xml:space="preserve">address issues covered by the </w:t>
      </w:r>
      <w:r w:rsidR="00E62FB2" w:rsidRPr="007B5C1C">
        <w:t>safeguard polic</w:t>
      </w:r>
      <w:r w:rsidR="00270825" w:rsidRPr="007B5C1C">
        <w:t>ies in</w:t>
      </w:r>
      <w:r w:rsidR="00AD5C00" w:rsidRPr="007B5C1C">
        <w:t xml:space="preserve"> project</w:t>
      </w:r>
      <w:r w:rsidR="00270825" w:rsidRPr="007B5C1C">
        <w:t xml:space="preserve"> design and</w:t>
      </w:r>
      <w:r w:rsidR="00AD5C00" w:rsidRPr="007B5C1C">
        <w:t xml:space="preserve"> implementation </w:t>
      </w:r>
      <w:r w:rsidR="00AD5C00" w:rsidRPr="007B5C1C">
        <w:rPr>
          <w:rFonts w:cs="Times New Roman"/>
          <w:szCs w:val="24"/>
        </w:rPr>
        <w:t>where they are determined by the Bank to be equivalent in their coverage and acceptable in their implementation</w:t>
      </w:r>
      <w:r w:rsidR="00AD5C00" w:rsidRPr="007B5C1C">
        <w:t xml:space="preserve">. </w:t>
      </w:r>
      <w:r w:rsidRPr="007B5C1C">
        <w:t xml:space="preserve">Initially </w:t>
      </w:r>
      <w:r w:rsidR="008E6047" w:rsidRPr="007B5C1C">
        <w:t>focusing on</w:t>
      </w:r>
      <w:r w:rsidRPr="007B5C1C">
        <w:t xml:space="preserve"> stand-alone projects</w:t>
      </w:r>
      <w:r w:rsidR="008E6047" w:rsidRPr="007B5C1C">
        <w:t>, the pilots were</w:t>
      </w:r>
      <w:r w:rsidR="00270825" w:rsidRPr="007B5C1C">
        <w:t xml:space="preserve"> later</w:t>
      </w:r>
      <w:r w:rsidR="008E6047" w:rsidRPr="007B5C1C">
        <w:t xml:space="preserve"> extended to sectoral-level programs, and the Bank now has </w:t>
      </w:r>
      <w:r w:rsidR="00BB56EE" w:rsidRPr="007B5C1C">
        <w:t xml:space="preserve">in place </w:t>
      </w:r>
      <w:r w:rsidR="008E6047" w:rsidRPr="007B5C1C">
        <w:t>a robust systems review methodology.</w:t>
      </w:r>
      <w:r w:rsidR="0095163E" w:rsidRPr="007B5C1C">
        <w:t xml:space="preserve"> </w:t>
      </w:r>
      <w:r w:rsidR="008E6047" w:rsidRPr="007B5C1C">
        <w:t xml:space="preserve">The Bank’s experience in these pilot programs, together with </w:t>
      </w:r>
      <w:r w:rsidR="00270825" w:rsidRPr="007B5C1C">
        <w:t xml:space="preserve">the </w:t>
      </w:r>
      <w:r w:rsidR="008E6047" w:rsidRPr="007B5C1C">
        <w:t xml:space="preserve">experience of </w:t>
      </w:r>
      <w:r w:rsidR="002D2B37" w:rsidRPr="007B5C1C">
        <w:t xml:space="preserve">the </w:t>
      </w:r>
      <w:r w:rsidR="00270825" w:rsidRPr="007B5C1C">
        <w:t>Asian</w:t>
      </w:r>
      <w:r w:rsidR="008E6047" w:rsidRPr="007B5C1C">
        <w:t xml:space="preserve"> Development Bank in country systems, informs the Bank’s thinking </w:t>
      </w:r>
      <w:r w:rsidR="00E021B5" w:rsidRPr="007B5C1C">
        <w:t>on</w:t>
      </w:r>
      <w:r w:rsidR="008E6047" w:rsidRPr="007B5C1C">
        <w:t xml:space="preserve"> </w:t>
      </w:r>
      <w:r w:rsidR="00EF70B6" w:rsidRPr="007B5C1C">
        <w:t xml:space="preserve">how </w:t>
      </w:r>
      <w:r w:rsidR="00AB5004" w:rsidRPr="007B5C1C">
        <w:t xml:space="preserve">to </w:t>
      </w:r>
      <w:r w:rsidR="00270825" w:rsidRPr="007B5C1C">
        <w:t>help</w:t>
      </w:r>
      <w:r w:rsidR="002D2B37" w:rsidRPr="007B5C1C">
        <w:t xml:space="preserve"> </w:t>
      </w:r>
      <w:r w:rsidR="005E4540" w:rsidRPr="007B5C1C">
        <w:t>borrower</w:t>
      </w:r>
      <w:r w:rsidR="002D2B37" w:rsidRPr="007B5C1C">
        <w:t>s</w:t>
      </w:r>
      <w:r w:rsidR="00270825" w:rsidRPr="007B5C1C">
        <w:t xml:space="preserve"> strengthen their </w:t>
      </w:r>
      <w:r w:rsidR="002D2B37" w:rsidRPr="007B5C1C">
        <w:t xml:space="preserve">country </w:t>
      </w:r>
      <w:r w:rsidR="00E021B5" w:rsidRPr="007B5C1C">
        <w:t xml:space="preserve">institutions and </w:t>
      </w:r>
      <w:r w:rsidR="00270825" w:rsidRPr="007B5C1C">
        <w:t>systems</w:t>
      </w:r>
      <w:r w:rsidR="008E6047" w:rsidRPr="007B5C1C">
        <w:t>.</w:t>
      </w:r>
    </w:p>
    <w:p w:rsidR="00AD3CE8" w:rsidRPr="007B5C1C" w:rsidRDefault="00EA1F93">
      <w:pPr>
        <w:pStyle w:val="ippara2"/>
      </w:pPr>
      <w:r w:rsidRPr="007B5C1C">
        <w:rPr>
          <w:b/>
          <w:i/>
        </w:rPr>
        <w:lastRenderedPageBreak/>
        <w:t>A changing external landscape.</w:t>
      </w:r>
      <w:r w:rsidR="00467DFC" w:rsidRPr="007B5C1C">
        <w:t xml:space="preserve"> </w:t>
      </w:r>
      <w:r w:rsidR="007E01F0" w:rsidRPr="007B5C1C">
        <w:t xml:space="preserve">Over the last two decades, </w:t>
      </w:r>
      <w:r w:rsidRPr="007B5C1C">
        <w:t xml:space="preserve">awareness </w:t>
      </w:r>
      <w:r w:rsidR="00BB56EE" w:rsidRPr="007B5C1C">
        <w:t xml:space="preserve">has gradually increased </w:t>
      </w:r>
      <w:r w:rsidRPr="007B5C1C">
        <w:t>of the value</w:t>
      </w:r>
      <w:r w:rsidR="003C2EF0" w:rsidRPr="007B5C1C">
        <w:t xml:space="preserve"> and vulnerability</w:t>
      </w:r>
      <w:r w:rsidRPr="007B5C1C">
        <w:t xml:space="preserve"> of </w:t>
      </w:r>
      <w:r w:rsidR="00EF70B6" w:rsidRPr="007B5C1C">
        <w:t xml:space="preserve">the </w:t>
      </w:r>
      <w:r w:rsidRPr="007B5C1C">
        <w:t>global commons, including the atmosphere and the oceans, and o</w:t>
      </w:r>
      <w:r w:rsidR="00D9117B" w:rsidRPr="007B5C1C">
        <w:t>f</w:t>
      </w:r>
      <w:r w:rsidRPr="007B5C1C">
        <w:t xml:space="preserve"> global public goods, such as biodiversity.</w:t>
      </w:r>
      <w:r w:rsidR="00467DFC" w:rsidRPr="007B5C1C">
        <w:t xml:space="preserve"> </w:t>
      </w:r>
      <w:r w:rsidR="001A7412" w:rsidRPr="007B5C1C">
        <w:t>While progress has been made at the country level,</w:t>
      </w:r>
      <w:r w:rsidR="003C2EF0" w:rsidRPr="007B5C1C">
        <w:t xml:space="preserve"> policy and decision makers </w:t>
      </w:r>
      <w:r w:rsidRPr="007B5C1C">
        <w:t xml:space="preserve">continue to struggle with global- or regional-level environmental and social </w:t>
      </w:r>
      <w:r w:rsidR="000C0C23" w:rsidRPr="007B5C1C">
        <w:t>challenges, and with identifying ways in which to factor environmental and social issues into collective decisions and actions.</w:t>
      </w:r>
      <w:r w:rsidRPr="007B5C1C">
        <w:t xml:space="preserve"> Climate change in particular is having an increasingly negative impact on development, contributing to volatile weather patterns and more frequent natural disasters like floods and droughts</w:t>
      </w:r>
      <w:r w:rsidR="003C2EF0" w:rsidRPr="007B5C1C">
        <w:t xml:space="preserve">. These </w:t>
      </w:r>
      <w:r w:rsidR="00BB56EE" w:rsidRPr="007B5C1C">
        <w:t xml:space="preserve">impacts </w:t>
      </w:r>
      <w:r w:rsidRPr="007B5C1C">
        <w:t xml:space="preserve">in turn </w:t>
      </w:r>
      <w:r w:rsidR="00C000DD" w:rsidRPr="007B5C1C">
        <w:t xml:space="preserve">affect the </w:t>
      </w:r>
      <w:r w:rsidRPr="007B5C1C">
        <w:t>volatil</w:t>
      </w:r>
      <w:r w:rsidR="002B7A1F" w:rsidRPr="007B5C1C">
        <w:t>ity of</w:t>
      </w:r>
      <w:r w:rsidRPr="007B5C1C">
        <w:t xml:space="preserve"> </w:t>
      </w:r>
      <w:r w:rsidR="00C000DD" w:rsidRPr="007B5C1C">
        <w:t xml:space="preserve">food </w:t>
      </w:r>
      <w:r w:rsidRPr="007B5C1C">
        <w:t>market</w:t>
      </w:r>
      <w:r w:rsidR="00FA20EA" w:rsidRPr="007B5C1C">
        <w:t>s</w:t>
      </w:r>
      <w:r w:rsidRPr="007B5C1C">
        <w:t xml:space="preserve"> and threaten those who are already marginalized or vulnerable. Issues associated with land, natural resources, and ecosystems; urbanization, </w:t>
      </w:r>
      <w:r w:rsidR="002B7A1F" w:rsidRPr="007B5C1C">
        <w:t xml:space="preserve">forced or economic </w:t>
      </w:r>
      <w:r w:rsidRPr="007B5C1C">
        <w:t xml:space="preserve">migration, marginalization, and inequality; food and energy crises are just a few headline examples of issues that </w:t>
      </w:r>
      <w:r w:rsidR="00E22D6E" w:rsidRPr="007B5C1C">
        <w:t>demand attention by</w:t>
      </w:r>
      <w:r w:rsidR="00704B7B" w:rsidRPr="007B5C1C">
        <w:t xml:space="preserve"> </w:t>
      </w:r>
      <w:r w:rsidRPr="007B5C1C">
        <w:t xml:space="preserve">Bank projects and programs today. </w:t>
      </w:r>
      <w:r w:rsidR="000A62D0" w:rsidRPr="007B5C1C">
        <w:t>T</w:t>
      </w:r>
      <w:r w:rsidRPr="007B5C1C">
        <w:t>hese challenge</w:t>
      </w:r>
      <w:r w:rsidR="001F016B" w:rsidRPr="007B5C1C">
        <w:t xml:space="preserve">s </w:t>
      </w:r>
      <w:r w:rsidR="00F128D7" w:rsidRPr="007B5C1C">
        <w:t>pose</w:t>
      </w:r>
      <w:r w:rsidR="001F016B" w:rsidRPr="007B5C1C">
        <w:t xml:space="preserve"> a significant</w:t>
      </w:r>
      <w:r w:rsidR="00F128D7" w:rsidRPr="007B5C1C">
        <w:t xml:space="preserve"> risk to</w:t>
      </w:r>
      <w:r w:rsidRPr="007B5C1C">
        <w:t xml:space="preserve"> development </w:t>
      </w:r>
      <w:r w:rsidR="001A7412" w:rsidRPr="007B5C1C">
        <w:t>over the coming decade</w:t>
      </w:r>
      <w:r w:rsidR="000A62D0" w:rsidRPr="007B5C1C">
        <w:t>s</w:t>
      </w:r>
      <w:r w:rsidR="001A7412" w:rsidRPr="007B5C1C">
        <w:t>.</w:t>
      </w:r>
      <w:r w:rsidR="009C3A68" w:rsidRPr="007B5C1C">
        <w:t xml:space="preserve"> A consideration of these important development risks will inform the review and update process.</w:t>
      </w:r>
    </w:p>
    <w:p w:rsidR="00AD3CE8" w:rsidRPr="007B5C1C" w:rsidRDefault="00EA1F93">
      <w:pPr>
        <w:pStyle w:val="ippara2"/>
      </w:pPr>
      <w:r w:rsidRPr="007B5C1C">
        <w:rPr>
          <w:b/>
          <w:i/>
        </w:rPr>
        <w:t>Changing Bank operations.</w:t>
      </w:r>
      <w:r w:rsidR="00467DFC" w:rsidRPr="007B5C1C">
        <w:t xml:space="preserve"> </w:t>
      </w:r>
      <w:r w:rsidR="00BB56EE" w:rsidRPr="007B5C1C">
        <w:t>Over the past decade, there has been significant change in t</w:t>
      </w:r>
      <w:r w:rsidRPr="007B5C1C">
        <w:t xml:space="preserve">he </w:t>
      </w:r>
      <w:r w:rsidR="008F4879" w:rsidRPr="007B5C1C">
        <w:t xml:space="preserve">types of projects and programs financed by the Bank as well as the </w:t>
      </w:r>
      <w:r w:rsidRPr="007B5C1C">
        <w:t xml:space="preserve">range of </w:t>
      </w:r>
      <w:r w:rsidR="00797E67" w:rsidRPr="007B5C1C">
        <w:t>its</w:t>
      </w:r>
      <w:r w:rsidRPr="007B5C1C">
        <w:t xml:space="preserve"> financi</w:t>
      </w:r>
      <w:r w:rsidR="0064711E" w:rsidRPr="007B5C1C">
        <w:t>ng</w:t>
      </w:r>
      <w:r w:rsidRPr="007B5C1C">
        <w:t xml:space="preserve"> instruments.</w:t>
      </w:r>
      <w:r w:rsidR="00467DFC" w:rsidRPr="007B5C1C">
        <w:t xml:space="preserve"> </w:t>
      </w:r>
      <w:r w:rsidR="008F4879" w:rsidRPr="007B5C1C">
        <w:t>T</w:t>
      </w:r>
      <w:r w:rsidR="00756BC6" w:rsidRPr="007B5C1C">
        <w:t>oday</w:t>
      </w:r>
      <w:r w:rsidR="0021330E" w:rsidRPr="007B5C1C">
        <w:t xml:space="preserve"> the Bank</w:t>
      </w:r>
      <w:r w:rsidR="00756BC6" w:rsidRPr="007B5C1C">
        <w:t xml:space="preserve"> offer</w:t>
      </w:r>
      <w:r w:rsidR="00D9117B" w:rsidRPr="007B5C1C">
        <w:t>s</w:t>
      </w:r>
      <w:r w:rsidR="00756BC6" w:rsidRPr="007B5C1C">
        <w:t xml:space="preserve"> its </w:t>
      </w:r>
      <w:r w:rsidR="00D9117B" w:rsidRPr="007B5C1C">
        <w:t>b</w:t>
      </w:r>
      <w:r w:rsidR="00756BC6" w:rsidRPr="007B5C1C">
        <w:t xml:space="preserve">orrowers </w:t>
      </w:r>
      <w:r w:rsidR="00494627" w:rsidRPr="007B5C1C">
        <w:t xml:space="preserve">DPLs (2004) and </w:t>
      </w:r>
      <w:proofErr w:type="spellStart"/>
      <w:r w:rsidR="00494627" w:rsidRPr="007B5C1C">
        <w:t>PforR</w:t>
      </w:r>
      <w:proofErr w:type="spellEnd"/>
      <w:r w:rsidR="00494627" w:rsidRPr="007B5C1C">
        <w:t xml:space="preserve"> (2012),</w:t>
      </w:r>
      <w:r w:rsidR="00F0561D" w:rsidRPr="007B5C1C">
        <w:t xml:space="preserve"> in addition to Investment Lending. Investment Lending remains at the heart of Bank operations – over the last three years, investment operations have accounted for 82 percent of the Bank’s projects and 66 percent of financial </w:t>
      </w:r>
      <w:r w:rsidR="00494627" w:rsidRPr="007B5C1C">
        <w:t>commitments.</w:t>
      </w:r>
      <w:r w:rsidR="00F0561D" w:rsidRPr="007B5C1C">
        <w:t xml:space="preserve"> At the same time, borrowers now put investment loans to a wide variety of uses. In addition to purchasing hard assets, such as infrastructure, investment loans finance institution building, social development, and improving the public policy environment to attract private capital. Currently, the procedures for Investment Lending instruments are being revised to provide borrowers with the flexibility to adapt to diverse conditions, a faster response time, and better development outcomes.</w:t>
      </w:r>
      <w:r w:rsidR="00F0561D" w:rsidRPr="007B5C1C">
        <w:rPr>
          <w:vertAlign w:val="superscript"/>
        </w:rPr>
        <w:footnoteReference w:id="10"/>
      </w:r>
      <w:r w:rsidR="00F0561D" w:rsidRPr="007B5C1C">
        <w:t xml:space="preserve"> As well, the Operational Policy statements that govern the DPL and </w:t>
      </w:r>
      <w:proofErr w:type="spellStart"/>
      <w:r w:rsidR="00F0561D" w:rsidRPr="007B5C1C">
        <w:t>PforR</w:t>
      </w:r>
      <w:proofErr w:type="spellEnd"/>
      <w:r w:rsidR="00F0561D" w:rsidRPr="007B5C1C">
        <w:t xml:space="preserve"> financing instruments include specific provisions concerning </w:t>
      </w:r>
      <w:r w:rsidR="00494627" w:rsidRPr="007B5C1C">
        <w:t>environmental and social aspects.</w:t>
      </w:r>
      <w:r w:rsidR="00F0561D" w:rsidRPr="007B5C1C">
        <w:t xml:space="preserve"> These statements are included in separate periodic reviews of experience with the implementation of those instruments. The review of the safeguard policies for Investment Lending will seek to respond to the changes in Bank operations noted above, recognizing that all of the Bank’s financing instruments seek to support environmentally and socially sustainable outcomes.</w:t>
      </w:r>
    </w:p>
    <w:p w:rsidR="00AD3CE8" w:rsidRPr="007B5C1C" w:rsidRDefault="00EA1F93">
      <w:pPr>
        <w:pStyle w:val="ippara2"/>
      </w:pPr>
      <w:r w:rsidRPr="007B5C1C">
        <w:rPr>
          <w:b/>
          <w:i/>
        </w:rPr>
        <w:t>The growing role of the private sector.</w:t>
      </w:r>
      <w:r w:rsidR="00467DFC" w:rsidRPr="007B5C1C">
        <w:rPr>
          <w:b/>
        </w:rPr>
        <w:t xml:space="preserve"> </w:t>
      </w:r>
      <w:r w:rsidRPr="007B5C1C">
        <w:t>The role of the private sector has also evolved in the last two decades.</w:t>
      </w:r>
      <w:r w:rsidR="00467DFC" w:rsidRPr="007B5C1C">
        <w:t xml:space="preserve"> </w:t>
      </w:r>
      <w:r w:rsidRPr="007B5C1C">
        <w:t>The private sector is increasingly making investments in the form of public-private partnerships in various sectors that benefit development.</w:t>
      </w:r>
      <w:r w:rsidR="00467DFC" w:rsidRPr="007B5C1C">
        <w:t xml:space="preserve"> </w:t>
      </w:r>
      <w:r w:rsidRPr="007B5C1C">
        <w:t xml:space="preserve">As a result, the private sector is an important client and partner of development projects </w:t>
      </w:r>
      <w:r w:rsidR="00C90D02" w:rsidRPr="007B5C1C">
        <w:t xml:space="preserve">supported </w:t>
      </w:r>
      <w:r w:rsidRPr="007B5C1C">
        <w:t>by the Bank Group.</w:t>
      </w:r>
      <w:r w:rsidR="00467DFC" w:rsidRPr="007B5C1C">
        <w:t xml:space="preserve"> </w:t>
      </w:r>
      <w:r w:rsidRPr="007B5C1C">
        <w:t>In 2006, IFC transformed its safeguard policies into Performance Standards designed to help IFC and its clients manage risks and achieve sustainability outcomes.</w:t>
      </w:r>
      <w:r w:rsidR="00467DFC" w:rsidRPr="007B5C1C">
        <w:t xml:space="preserve"> </w:t>
      </w:r>
      <w:r w:rsidRPr="007B5C1C">
        <w:t xml:space="preserve">This transformation shifted the emphasis from prescriptive measures to an explicit focus on the client’s environmental and social </w:t>
      </w:r>
      <w:r w:rsidRPr="007B5C1C">
        <w:lastRenderedPageBreak/>
        <w:t>risk management systems.</w:t>
      </w:r>
      <w:r w:rsidR="00467DFC" w:rsidRPr="007B5C1C">
        <w:t xml:space="preserve"> </w:t>
      </w:r>
      <w:r w:rsidRPr="007B5C1C">
        <w:t xml:space="preserve">These </w:t>
      </w:r>
      <w:r w:rsidR="00326F4B" w:rsidRPr="007B5C1C">
        <w:t xml:space="preserve">Performance </w:t>
      </w:r>
      <w:r w:rsidRPr="007B5C1C">
        <w:t>Standards were taken up by a critical mass of international financial institutions involved in private sector projects</w:t>
      </w:r>
      <w:r w:rsidR="00563E75" w:rsidRPr="007B5C1C">
        <w:t>, and have been applied by MIGA since 2007</w:t>
      </w:r>
      <w:r w:rsidRPr="007B5C1C">
        <w:t xml:space="preserve">. </w:t>
      </w:r>
      <w:r w:rsidR="00D97CA5" w:rsidRPr="007B5C1C">
        <w:t>Starting in</w:t>
      </w:r>
      <w:r w:rsidR="00563E75" w:rsidRPr="007B5C1C">
        <w:t xml:space="preserve"> F</w:t>
      </w:r>
      <w:r w:rsidR="00D74EC2" w:rsidRPr="007B5C1C">
        <w:t xml:space="preserve">iscal Year </w:t>
      </w:r>
      <w:r w:rsidR="00563E75" w:rsidRPr="007B5C1C">
        <w:t xml:space="preserve">2013, the Bank will also apply the Performance Standards when financing or supporting private sector projects in public-private partnerships in the infrastructure and </w:t>
      </w:r>
      <w:r w:rsidR="00BE4DA7" w:rsidRPr="007B5C1C">
        <w:t>related</w:t>
      </w:r>
      <w:r w:rsidR="00563E75" w:rsidRPr="007B5C1C">
        <w:t xml:space="preserve"> sectors.</w:t>
      </w:r>
      <w:r w:rsidR="001C5DC9" w:rsidRPr="007B5C1C">
        <w:rPr>
          <w:rStyle w:val="FootnoteReference"/>
          <w:bCs/>
        </w:rPr>
        <w:footnoteReference w:id="11"/>
      </w:r>
      <w:r w:rsidR="00563E75" w:rsidRPr="007B5C1C">
        <w:t xml:space="preserve"> </w:t>
      </w:r>
      <w:r w:rsidR="00B867B2" w:rsidRPr="007B5C1C">
        <w:t>Al</w:t>
      </w:r>
      <w:r w:rsidR="00430FA6" w:rsidRPr="007B5C1C">
        <w:t>though the public sector and the World Bank have</w:t>
      </w:r>
      <w:r w:rsidR="000A05E5" w:rsidRPr="007B5C1C">
        <w:t xml:space="preserve"> different role</w:t>
      </w:r>
      <w:r w:rsidR="006142A2" w:rsidRPr="007B5C1C">
        <w:t>s</w:t>
      </w:r>
      <w:r w:rsidR="000A05E5" w:rsidRPr="007B5C1C">
        <w:t xml:space="preserve"> and </w:t>
      </w:r>
      <w:r w:rsidR="00B867B2" w:rsidRPr="007B5C1C">
        <w:t>responsibilit</w:t>
      </w:r>
      <w:r w:rsidR="006142A2" w:rsidRPr="007B5C1C">
        <w:t>ies</w:t>
      </w:r>
      <w:r w:rsidR="00B867B2" w:rsidRPr="007B5C1C">
        <w:t xml:space="preserve"> </w:t>
      </w:r>
      <w:r w:rsidR="00430FA6" w:rsidRPr="007B5C1C">
        <w:t>from</w:t>
      </w:r>
      <w:r w:rsidR="000A05E5" w:rsidRPr="007B5C1C">
        <w:t xml:space="preserve"> </w:t>
      </w:r>
      <w:r w:rsidR="00D97CA5" w:rsidRPr="007B5C1C">
        <w:t xml:space="preserve">IFC and </w:t>
      </w:r>
      <w:r w:rsidR="000A05E5" w:rsidRPr="007B5C1C">
        <w:t xml:space="preserve">the </w:t>
      </w:r>
      <w:r w:rsidR="00430FA6" w:rsidRPr="007B5C1C">
        <w:t>private</w:t>
      </w:r>
      <w:r w:rsidR="000A05E5" w:rsidRPr="007B5C1C">
        <w:t xml:space="preserve"> sector, the review </w:t>
      </w:r>
      <w:r w:rsidR="00563E75" w:rsidRPr="007B5C1C">
        <w:t xml:space="preserve">and update process </w:t>
      </w:r>
      <w:r w:rsidR="002F08C9" w:rsidRPr="007B5C1C">
        <w:t>may</w:t>
      </w:r>
      <w:r w:rsidR="000A05E5" w:rsidRPr="007B5C1C">
        <w:t xml:space="preserve"> </w:t>
      </w:r>
      <w:r w:rsidR="00563E75" w:rsidRPr="007B5C1C">
        <w:t xml:space="preserve">benefit from </w:t>
      </w:r>
      <w:r w:rsidR="007A33CB" w:rsidRPr="007B5C1C">
        <w:t>assess</w:t>
      </w:r>
      <w:r w:rsidR="00563E75" w:rsidRPr="007B5C1C">
        <w:t>ing</w:t>
      </w:r>
      <w:r w:rsidR="007A33CB" w:rsidRPr="007B5C1C">
        <w:t xml:space="preserve"> the </w:t>
      </w:r>
      <w:r w:rsidR="00430FA6" w:rsidRPr="007B5C1C">
        <w:t xml:space="preserve">value and </w:t>
      </w:r>
      <w:r w:rsidR="007A33CB" w:rsidRPr="007B5C1C">
        <w:t xml:space="preserve">extent of </w:t>
      </w:r>
      <w:r w:rsidR="00AB7BFD" w:rsidRPr="007B5C1C">
        <w:t>aligning</w:t>
      </w:r>
      <w:r w:rsidR="007A33CB" w:rsidRPr="007B5C1C">
        <w:t xml:space="preserve"> the Bank</w:t>
      </w:r>
      <w:r w:rsidR="00AB7BFD" w:rsidRPr="007B5C1C">
        <w:t>’s</w:t>
      </w:r>
      <w:r w:rsidR="007A33CB" w:rsidRPr="007B5C1C">
        <w:t xml:space="preserve"> approach </w:t>
      </w:r>
      <w:r w:rsidR="002C4B41" w:rsidRPr="007B5C1C">
        <w:t xml:space="preserve">to environmental and social sustainability </w:t>
      </w:r>
      <w:r w:rsidR="007A33CB" w:rsidRPr="007B5C1C">
        <w:t>with</w:t>
      </w:r>
      <w:r w:rsidR="002C4B41" w:rsidRPr="007B5C1C">
        <w:t xml:space="preserve"> </w:t>
      </w:r>
      <w:r w:rsidR="00563E75" w:rsidRPr="007B5C1C">
        <w:t xml:space="preserve">the IFC </w:t>
      </w:r>
      <w:r w:rsidR="00D97CA5" w:rsidRPr="007B5C1C">
        <w:t xml:space="preserve">Sustainability </w:t>
      </w:r>
      <w:r w:rsidR="002F08C9" w:rsidRPr="007B5C1C">
        <w:t>Policy</w:t>
      </w:r>
      <w:r w:rsidR="00D97CA5" w:rsidRPr="007B5C1C">
        <w:t xml:space="preserve"> and the </w:t>
      </w:r>
      <w:r w:rsidR="00563E75" w:rsidRPr="007B5C1C">
        <w:t xml:space="preserve">Performance Standards, and </w:t>
      </w:r>
      <w:r w:rsidR="00FD497C" w:rsidRPr="007B5C1C">
        <w:t>the</w:t>
      </w:r>
      <w:r w:rsidR="00D97CA5" w:rsidRPr="007B5C1C">
        <w:t xml:space="preserve"> other</w:t>
      </w:r>
      <w:r w:rsidR="00FD497C" w:rsidRPr="007B5C1C">
        <w:t xml:space="preserve"> </w:t>
      </w:r>
      <w:r w:rsidR="002C4B41" w:rsidRPr="007B5C1C">
        <w:t>initiatives</w:t>
      </w:r>
      <w:r w:rsidR="00D97CA5" w:rsidRPr="007B5C1C">
        <w:t xml:space="preserve"> that refer to them</w:t>
      </w:r>
      <w:r w:rsidR="002C4B41" w:rsidRPr="007B5C1C">
        <w:t>.</w:t>
      </w:r>
    </w:p>
    <w:p w:rsidR="002508ED" w:rsidRPr="007B5C1C" w:rsidRDefault="00126879" w:rsidP="002508ED">
      <w:pPr>
        <w:pStyle w:val="Heading3"/>
        <w:keepNext/>
        <w:widowControl/>
        <w:numPr>
          <w:ilvl w:val="0"/>
          <w:numId w:val="38"/>
        </w:numPr>
        <w:spacing w:before="0" w:after="200" w:line="276" w:lineRule="auto"/>
        <w:rPr>
          <w:szCs w:val="24"/>
        </w:rPr>
      </w:pPr>
      <w:bookmarkStart w:id="4" w:name="_Toc333515710"/>
      <w:r w:rsidRPr="007B5C1C">
        <w:rPr>
          <w:szCs w:val="24"/>
        </w:rPr>
        <w:t>Objectives of the Review and Update</w:t>
      </w:r>
      <w:bookmarkEnd w:id="4"/>
    </w:p>
    <w:p w:rsidR="002508ED" w:rsidRPr="007B5C1C" w:rsidRDefault="00312032" w:rsidP="00F668DA">
      <w:pPr>
        <w:pStyle w:val="ippara2"/>
      </w:pPr>
      <w:r w:rsidRPr="007B5C1C">
        <w:rPr>
          <w:b/>
          <w:i/>
        </w:rPr>
        <w:t>Main</w:t>
      </w:r>
      <w:r w:rsidR="00EA1F93" w:rsidRPr="007B5C1C">
        <w:rPr>
          <w:b/>
          <w:i/>
        </w:rPr>
        <w:t xml:space="preserve"> </w:t>
      </w:r>
      <w:r w:rsidR="00621F44" w:rsidRPr="007B5C1C">
        <w:rPr>
          <w:b/>
          <w:i/>
        </w:rPr>
        <w:t>o</w:t>
      </w:r>
      <w:r w:rsidR="00EA1F93" w:rsidRPr="007B5C1C">
        <w:rPr>
          <w:b/>
          <w:i/>
        </w:rPr>
        <w:t>bjectiv</w:t>
      </w:r>
      <w:r w:rsidR="00D54112" w:rsidRPr="007B5C1C">
        <w:rPr>
          <w:b/>
          <w:i/>
        </w:rPr>
        <w:t>e</w:t>
      </w:r>
      <w:r w:rsidR="00841D08" w:rsidRPr="007B5C1C">
        <w:rPr>
          <w:b/>
          <w:i/>
        </w:rPr>
        <w:t>.</w:t>
      </w:r>
      <w:r w:rsidR="00467DFC" w:rsidRPr="007B5C1C">
        <w:t xml:space="preserve"> </w:t>
      </w:r>
      <w:bookmarkStart w:id="5" w:name="_GoBack"/>
      <w:bookmarkEnd w:id="5"/>
      <w:r w:rsidR="00371A03" w:rsidRPr="007B5C1C">
        <w:t xml:space="preserve">The main objective of the review is to </w:t>
      </w:r>
      <w:r w:rsidR="00344A2D" w:rsidRPr="007B5C1C">
        <w:t xml:space="preserve">strengthen the </w:t>
      </w:r>
      <w:r w:rsidR="003C0D07" w:rsidRPr="007B5C1C">
        <w:t xml:space="preserve">effectiveness of the </w:t>
      </w:r>
      <w:r w:rsidR="00371A03" w:rsidRPr="007B5C1C">
        <w:t xml:space="preserve">safeguard policies </w:t>
      </w:r>
      <w:r w:rsidR="00344A2D" w:rsidRPr="007B5C1C">
        <w:t xml:space="preserve">in order to </w:t>
      </w:r>
      <w:r w:rsidR="00371A03" w:rsidRPr="007B5C1C">
        <w:t xml:space="preserve">enhance the development </w:t>
      </w:r>
      <w:r w:rsidR="005E1135" w:rsidRPr="007B5C1C">
        <w:t xml:space="preserve">outcomes </w:t>
      </w:r>
      <w:r w:rsidR="00371A03" w:rsidRPr="007B5C1C">
        <w:t>of Bank operations</w:t>
      </w:r>
      <w:r w:rsidR="00D74EC2" w:rsidRPr="007B5C1C">
        <w:t>.</w:t>
      </w:r>
      <w:r w:rsidR="00371A03" w:rsidRPr="007B5C1C">
        <w:t xml:space="preserve"> </w:t>
      </w:r>
      <w:r w:rsidR="00833CFF" w:rsidRPr="007B5C1C">
        <w:t xml:space="preserve">The review anticipates a new integrated framework </w:t>
      </w:r>
      <w:r w:rsidR="00026CF7" w:rsidRPr="007B5C1C">
        <w:t xml:space="preserve">that </w:t>
      </w:r>
      <w:r w:rsidR="007F5218" w:rsidRPr="007B5C1C">
        <w:t xml:space="preserve">would </w:t>
      </w:r>
      <w:r w:rsidR="00833CFF" w:rsidRPr="007B5C1C">
        <w:t>articulate the objectives, define the operational policies to meet the objectives, and describe the processes by which the policies will be implemented. T</w:t>
      </w:r>
      <w:r w:rsidR="00C53113" w:rsidRPr="007B5C1C">
        <w:t xml:space="preserve">he review and update </w:t>
      </w:r>
      <w:r w:rsidR="00833CFF" w:rsidRPr="007B5C1C">
        <w:t xml:space="preserve">will </w:t>
      </w:r>
      <w:r w:rsidR="00880E86" w:rsidRPr="007B5C1C">
        <w:t xml:space="preserve">build on the existing </w:t>
      </w:r>
      <w:r w:rsidR="00EC5A7D" w:rsidRPr="007B5C1C">
        <w:t xml:space="preserve">core principles of the </w:t>
      </w:r>
      <w:r w:rsidR="00E62FB2" w:rsidRPr="007B5C1C">
        <w:t>safeguard polic</w:t>
      </w:r>
      <w:r w:rsidR="00EC5A7D" w:rsidRPr="007B5C1C">
        <w:t>ies</w:t>
      </w:r>
      <w:r w:rsidR="007C4C88" w:rsidRPr="007B5C1C">
        <w:t>;</w:t>
      </w:r>
      <w:r w:rsidR="00EA1F93" w:rsidRPr="007B5C1C">
        <w:t xml:space="preserve"> </w:t>
      </w:r>
      <w:r w:rsidR="000501E9" w:rsidRPr="007B5C1C">
        <w:t>clarif</w:t>
      </w:r>
      <w:r w:rsidR="00C53113" w:rsidRPr="007B5C1C">
        <w:t>y</w:t>
      </w:r>
      <w:r w:rsidR="000501E9" w:rsidRPr="007B5C1C">
        <w:t xml:space="preserve"> objectives and desired outcomes</w:t>
      </w:r>
      <w:r w:rsidR="007C4C88" w:rsidRPr="007B5C1C">
        <w:t>;</w:t>
      </w:r>
      <w:r w:rsidR="000501E9" w:rsidRPr="007B5C1C">
        <w:t xml:space="preserve"> </w:t>
      </w:r>
      <w:r w:rsidR="005D5671" w:rsidRPr="007B5C1C">
        <w:t xml:space="preserve">distinguish </w:t>
      </w:r>
      <w:r w:rsidR="000501E9" w:rsidRPr="007B5C1C">
        <w:t>policy</w:t>
      </w:r>
      <w:r w:rsidR="005D5671" w:rsidRPr="007B5C1C">
        <w:t>,</w:t>
      </w:r>
      <w:r w:rsidR="000501E9" w:rsidRPr="007B5C1C">
        <w:t xml:space="preserve"> principles </w:t>
      </w:r>
      <w:r w:rsidR="005D5671" w:rsidRPr="007B5C1C">
        <w:t xml:space="preserve">and </w:t>
      </w:r>
      <w:r w:rsidR="000501E9" w:rsidRPr="007B5C1C">
        <w:t>procedure</w:t>
      </w:r>
      <w:r w:rsidR="007C4C88" w:rsidRPr="007B5C1C">
        <w:t>;</w:t>
      </w:r>
      <w:r w:rsidR="000501E9" w:rsidRPr="007B5C1C">
        <w:t xml:space="preserve"> improv</w:t>
      </w:r>
      <w:r w:rsidR="00833CFF" w:rsidRPr="007B5C1C">
        <w:t>e</w:t>
      </w:r>
      <w:r w:rsidR="000501E9" w:rsidRPr="007B5C1C">
        <w:t xml:space="preserve"> synergy across policies</w:t>
      </w:r>
      <w:r w:rsidR="007C4C88" w:rsidRPr="007B5C1C">
        <w:t>;</w:t>
      </w:r>
      <w:r w:rsidR="000501E9" w:rsidRPr="007B5C1C">
        <w:t xml:space="preserve"> consolid</w:t>
      </w:r>
      <w:r w:rsidR="00C53113" w:rsidRPr="007B5C1C">
        <w:t>at</w:t>
      </w:r>
      <w:r w:rsidR="00833CFF" w:rsidRPr="007B5C1C">
        <w:t>e</w:t>
      </w:r>
      <w:r w:rsidR="000501E9" w:rsidRPr="007B5C1C">
        <w:t xml:space="preserve"> fragmented or duplicative policies</w:t>
      </w:r>
      <w:r w:rsidR="007F5218" w:rsidRPr="007B5C1C">
        <w:t>, and</w:t>
      </w:r>
      <w:r w:rsidR="000501E9" w:rsidRPr="007B5C1C">
        <w:t xml:space="preserve"> streamlin</w:t>
      </w:r>
      <w:r w:rsidR="00833CFF" w:rsidRPr="007B5C1C">
        <w:t>e</w:t>
      </w:r>
      <w:r w:rsidR="000501E9" w:rsidRPr="007B5C1C">
        <w:t xml:space="preserve"> guidance</w:t>
      </w:r>
      <w:r w:rsidR="007F5218" w:rsidRPr="007B5C1C">
        <w:t>. In addition, the framework will clearly</w:t>
      </w:r>
      <w:r w:rsidR="000501E9" w:rsidRPr="007B5C1C">
        <w:t xml:space="preserve"> delineat</w:t>
      </w:r>
      <w:r w:rsidR="00833CFF" w:rsidRPr="007B5C1C">
        <w:t>e</w:t>
      </w:r>
      <w:r w:rsidR="000501E9" w:rsidRPr="007B5C1C">
        <w:t xml:space="preserve"> </w:t>
      </w:r>
      <w:r w:rsidR="007F5218" w:rsidRPr="007B5C1C">
        <w:t xml:space="preserve">the complementary but </w:t>
      </w:r>
      <w:r w:rsidR="005E1135" w:rsidRPr="007B5C1C">
        <w:t>distinct</w:t>
      </w:r>
      <w:r w:rsidR="007F5218" w:rsidRPr="007B5C1C">
        <w:t xml:space="preserve"> </w:t>
      </w:r>
      <w:r w:rsidR="000501E9" w:rsidRPr="007B5C1C">
        <w:t>roles and responsibilities</w:t>
      </w:r>
      <w:r w:rsidR="00E01AE6" w:rsidRPr="007B5C1C">
        <w:t xml:space="preserve"> of the Bank and the </w:t>
      </w:r>
      <w:r w:rsidR="005E4540" w:rsidRPr="007B5C1C">
        <w:t>borrower</w:t>
      </w:r>
      <w:r w:rsidR="007F5218" w:rsidRPr="007B5C1C">
        <w:t>. Finally, the framework will include</w:t>
      </w:r>
      <w:r w:rsidR="000501E9" w:rsidRPr="007B5C1C">
        <w:t xml:space="preserve"> systems</w:t>
      </w:r>
      <w:r w:rsidR="007F5218" w:rsidRPr="007B5C1C">
        <w:t xml:space="preserve"> and tools</w:t>
      </w:r>
      <w:r w:rsidR="000501E9" w:rsidRPr="007B5C1C">
        <w:t xml:space="preserve"> for </w:t>
      </w:r>
      <w:r w:rsidR="007F5218" w:rsidRPr="007B5C1C">
        <w:t xml:space="preserve">day-to-day policy </w:t>
      </w:r>
      <w:r w:rsidR="000501E9" w:rsidRPr="007B5C1C">
        <w:t>implementation</w:t>
      </w:r>
      <w:r w:rsidR="007F5218" w:rsidRPr="007B5C1C">
        <w:t xml:space="preserve"> by the Bank and the borrower</w:t>
      </w:r>
      <w:r w:rsidR="000501E9" w:rsidRPr="007B5C1C">
        <w:t>.</w:t>
      </w:r>
      <w:r w:rsidR="00467DFC" w:rsidRPr="007B5C1C">
        <w:t xml:space="preserve"> </w:t>
      </w:r>
      <w:r w:rsidR="007F081C" w:rsidRPr="007B5C1C">
        <w:t xml:space="preserve">The approach </w:t>
      </w:r>
      <w:r w:rsidR="007B5C1C" w:rsidRPr="007B5C1C">
        <w:t xml:space="preserve">reflects </w:t>
      </w:r>
      <w:r w:rsidR="007F081C" w:rsidRPr="007B5C1C">
        <w:t xml:space="preserve">policy initiatives undertaken by </w:t>
      </w:r>
      <w:r w:rsidR="00F0561D" w:rsidRPr="007B5C1C">
        <w:t xml:space="preserve">IFC, </w:t>
      </w:r>
      <w:r w:rsidR="007F081C" w:rsidRPr="007B5C1C">
        <w:t xml:space="preserve">other </w:t>
      </w:r>
      <w:r w:rsidR="00423A6B" w:rsidRPr="007B5C1C">
        <w:t>Multilateral Development Banks (</w:t>
      </w:r>
      <w:r w:rsidR="007F081C" w:rsidRPr="007B5C1C">
        <w:t>MDBs</w:t>
      </w:r>
      <w:r w:rsidR="00423A6B" w:rsidRPr="007B5C1C">
        <w:t>)</w:t>
      </w:r>
      <w:r w:rsidR="007F081C" w:rsidRPr="007B5C1C">
        <w:t xml:space="preserve">, including ADB, </w:t>
      </w:r>
      <w:r w:rsidR="00C03C0D" w:rsidRPr="007B5C1C">
        <w:t xml:space="preserve">EBRD, </w:t>
      </w:r>
      <w:r w:rsidR="00F0561D" w:rsidRPr="007B5C1C">
        <w:t xml:space="preserve">and </w:t>
      </w:r>
      <w:r w:rsidR="007F081C" w:rsidRPr="007B5C1C">
        <w:t xml:space="preserve">IDB, </w:t>
      </w:r>
      <w:r w:rsidR="00F0561D" w:rsidRPr="007B5C1C">
        <w:t xml:space="preserve">as well as </w:t>
      </w:r>
      <w:r w:rsidR="007F081C" w:rsidRPr="007B5C1C">
        <w:t xml:space="preserve">others in the last </w:t>
      </w:r>
      <w:r w:rsidR="00042CA4" w:rsidRPr="007B5C1C">
        <w:t xml:space="preserve">few years that </w:t>
      </w:r>
      <w:r w:rsidR="006F3497" w:rsidRPr="007B5C1C">
        <w:t xml:space="preserve">have </w:t>
      </w:r>
      <w:r w:rsidR="007F081C" w:rsidRPr="007B5C1C">
        <w:t>incorporate</w:t>
      </w:r>
      <w:r w:rsidR="00042CA4" w:rsidRPr="007B5C1C">
        <w:t>d</w:t>
      </w:r>
      <w:r w:rsidR="007F081C" w:rsidRPr="007B5C1C">
        <w:t xml:space="preserve"> new features, such as overarching </w:t>
      </w:r>
      <w:r w:rsidR="00F456AC" w:rsidRPr="007B5C1C">
        <w:t>principles</w:t>
      </w:r>
      <w:r w:rsidR="007F081C" w:rsidRPr="007B5C1C">
        <w:t>,</w:t>
      </w:r>
      <w:r w:rsidR="001A4B55" w:rsidRPr="007B5C1C">
        <w:t xml:space="preserve"> </w:t>
      </w:r>
      <w:r w:rsidR="005E1135" w:rsidRPr="007B5C1C">
        <w:t>clarity</w:t>
      </w:r>
      <w:r w:rsidR="007F081C" w:rsidRPr="007B5C1C">
        <w:t xml:space="preserve"> of roles and responsibilities between the lender and the borrower, and consideration of environmental and social issues in an integrated manner.</w:t>
      </w:r>
    </w:p>
    <w:p w:rsidR="00423A6B" w:rsidRPr="007B5C1C" w:rsidRDefault="009F2B8A">
      <w:pPr>
        <w:pStyle w:val="ippara2"/>
        <w:rPr>
          <w:b/>
          <w:i/>
        </w:rPr>
      </w:pPr>
      <w:r w:rsidRPr="007B5C1C">
        <w:t xml:space="preserve">From the perspective of </w:t>
      </w:r>
      <w:r w:rsidR="00026CF7" w:rsidRPr="007B5C1C">
        <w:t xml:space="preserve">Bank operational and </w:t>
      </w:r>
      <w:r w:rsidR="00EC5A7D" w:rsidRPr="007B5C1C">
        <w:t>development</w:t>
      </w:r>
      <w:r w:rsidR="00163EB4" w:rsidRPr="007B5C1C">
        <w:t xml:space="preserve"> </w:t>
      </w:r>
      <w:r w:rsidR="006142A2" w:rsidRPr="007B5C1C">
        <w:t>e</w:t>
      </w:r>
      <w:r w:rsidR="00163EB4" w:rsidRPr="007B5C1C">
        <w:t>ffectiveness</w:t>
      </w:r>
      <w:r w:rsidR="00026CF7" w:rsidRPr="007B5C1C">
        <w:t>,</w:t>
      </w:r>
      <w:r w:rsidR="00163EB4" w:rsidRPr="007B5C1C">
        <w:t xml:space="preserve"> </w:t>
      </w:r>
      <w:r w:rsidR="00EC5A7D" w:rsidRPr="007B5C1C">
        <w:t>the review and update process seeks to enable the Bank to achieve the following outcomes</w:t>
      </w:r>
      <w:r w:rsidR="00833CFF" w:rsidRPr="007B5C1C">
        <w:t xml:space="preserve">: </w:t>
      </w:r>
      <w:r w:rsidR="002508ED" w:rsidRPr="007B5C1C">
        <w:t>renew</w:t>
      </w:r>
      <w:r w:rsidR="00833CFF" w:rsidRPr="007B5C1C">
        <w:t>ing</w:t>
      </w:r>
      <w:r w:rsidR="002508ED" w:rsidRPr="007B5C1C">
        <w:t xml:space="preserve"> </w:t>
      </w:r>
      <w:r w:rsidR="00BB56EE" w:rsidRPr="007B5C1C">
        <w:t xml:space="preserve">its </w:t>
      </w:r>
      <w:r w:rsidR="002508ED" w:rsidRPr="007B5C1C">
        <w:t xml:space="preserve">partnership with borrowers; </w:t>
      </w:r>
      <w:r w:rsidR="00833CFF" w:rsidRPr="007B5C1C">
        <w:t>h</w:t>
      </w:r>
      <w:r w:rsidR="002508ED" w:rsidRPr="007B5C1C">
        <w:rPr>
          <w:bCs/>
        </w:rPr>
        <w:t xml:space="preserve">elping to address environmental and social risks of the next decade; </w:t>
      </w:r>
      <w:r w:rsidR="00833CFF" w:rsidRPr="007B5C1C">
        <w:t>i</w:t>
      </w:r>
      <w:r w:rsidR="002508ED" w:rsidRPr="007B5C1C">
        <w:t xml:space="preserve">ncreasing effectiveness, efficiency and timeliness; </w:t>
      </w:r>
      <w:r w:rsidR="00833CFF" w:rsidRPr="007B5C1C">
        <w:t xml:space="preserve">and achieving </w:t>
      </w:r>
      <w:r w:rsidR="00833CFF" w:rsidRPr="007B5C1C">
        <w:rPr>
          <w:bCs/>
        </w:rPr>
        <w:t>p</w:t>
      </w:r>
      <w:r w:rsidR="002508ED" w:rsidRPr="007B5C1C">
        <w:rPr>
          <w:bCs/>
        </w:rPr>
        <w:t>olicy harmonization, coherence, and alignment.</w:t>
      </w:r>
      <w:r w:rsidR="00423A6B" w:rsidRPr="007B5C1C">
        <w:rPr>
          <w:bCs/>
        </w:rPr>
        <w:t xml:space="preserve"> </w:t>
      </w:r>
    </w:p>
    <w:p w:rsidR="002508ED" w:rsidRPr="007B5C1C" w:rsidRDefault="00ED3E26" w:rsidP="00F668DA">
      <w:pPr>
        <w:pStyle w:val="ippara2"/>
      </w:pPr>
      <w:r w:rsidRPr="007B5C1C">
        <w:rPr>
          <w:b/>
          <w:i/>
        </w:rPr>
        <w:t xml:space="preserve">A </w:t>
      </w:r>
      <w:r w:rsidR="00163EB4" w:rsidRPr="007B5C1C">
        <w:rPr>
          <w:b/>
          <w:i/>
        </w:rPr>
        <w:t>rene</w:t>
      </w:r>
      <w:r w:rsidRPr="007B5C1C">
        <w:rPr>
          <w:b/>
          <w:i/>
        </w:rPr>
        <w:t>w</w:t>
      </w:r>
      <w:r w:rsidR="00163EB4" w:rsidRPr="007B5C1C">
        <w:rPr>
          <w:b/>
          <w:i/>
        </w:rPr>
        <w:t>ed</w:t>
      </w:r>
      <w:r w:rsidRPr="007B5C1C">
        <w:rPr>
          <w:b/>
          <w:i/>
        </w:rPr>
        <w:t xml:space="preserve"> </w:t>
      </w:r>
      <w:r w:rsidR="00163EB4" w:rsidRPr="007B5C1C">
        <w:rPr>
          <w:b/>
          <w:i/>
        </w:rPr>
        <w:t>p</w:t>
      </w:r>
      <w:r w:rsidRPr="007B5C1C">
        <w:rPr>
          <w:b/>
          <w:i/>
        </w:rPr>
        <w:t>artnership</w:t>
      </w:r>
      <w:r w:rsidR="00163EB4" w:rsidRPr="007B5C1C">
        <w:rPr>
          <w:b/>
          <w:i/>
        </w:rPr>
        <w:t xml:space="preserve"> with </w:t>
      </w:r>
      <w:r w:rsidR="005E4540" w:rsidRPr="007B5C1C">
        <w:rPr>
          <w:b/>
          <w:i/>
        </w:rPr>
        <w:t>borrower</w:t>
      </w:r>
      <w:r w:rsidR="00163EB4" w:rsidRPr="007B5C1C">
        <w:rPr>
          <w:b/>
          <w:i/>
        </w:rPr>
        <w:t>s</w:t>
      </w:r>
      <w:r w:rsidRPr="007B5C1C">
        <w:rPr>
          <w:b/>
          <w:i/>
        </w:rPr>
        <w:t>.</w:t>
      </w:r>
      <w:r w:rsidRPr="007B5C1C">
        <w:t xml:space="preserve"> </w:t>
      </w:r>
      <w:r w:rsidR="00A533C2" w:rsidRPr="007B5C1C">
        <w:t xml:space="preserve">The Bank seeks </w:t>
      </w:r>
      <w:r w:rsidR="00AB5004" w:rsidRPr="007B5C1C">
        <w:t xml:space="preserve">to </w:t>
      </w:r>
      <w:r w:rsidR="00A533C2" w:rsidRPr="007B5C1C">
        <w:t>renew</w:t>
      </w:r>
      <w:r w:rsidR="00AB5004" w:rsidRPr="007B5C1C">
        <w:t xml:space="preserve"> its </w:t>
      </w:r>
      <w:r w:rsidR="00A533C2" w:rsidRPr="007B5C1C">
        <w:t xml:space="preserve">partnership with its </w:t>
      </w:r>
      <w:r w:rsidR="005E4540" w:rsidRPr="007B5C1C">
        <w:t>borrower</w:t>
      </w:r>
      <w:r w:rsidR="00A533C2" w:rsidRPr="007B5C1C">
        <w:t>s</w:t>
      </w:r>
      <w:r w:rsidR="002760C0" w:rsidRPr="007B5C1C">
        <w:t>, rooted in a common commitment to environmental and social</w:t>
      </w:r>
      <w:r w:rsidR="009D684E" w:rsidRPr="007B5C1C">
        <w:t xml:space="preserve"> sustainability outcomes of</w:t>
      </w:r>
      <w:r w:rsidR="00742FDC" w:rsidRPr="007B5C1C">
        <w:t xml:space="preserve"> </w:t>
      </w:r>
      <w:r w:rsidR="002760C0" w:rsidRPr="007B5C1C">
        <w:t xml:space="preserve">projects and programs that the Bank supports, with </w:t>
      </w:r>
      <w:r w:rsidR="003D6008" w:rsidRPr="007B5C1C">
        <w:t>more transparent</w:t>
      </w:r>
      <w:r w:rsidR="002760C0" w:rsidRPr="007B5C1C">
        <w:t xml:space="preserve"> accountabilities </w:t>
      </w:r>
      <w:r w:rsidR="00D72AD8" w:rsidRPr="007B5C1C">
        <w:t xml:space="preserve">for </w:t>
      </w:r>
      <w:r w:rsidR="002760C0" w:rsidRPr="007B5C1C">
        <w:t>the role played by each partner</w:t>
      </w:r>
      <w:r w:rsidR="00A533C2" w:rsidRPr="007B5C1C">
        <w:t>.</w:t>
      </w:r>
      <w:r w:rsidR="00163EB4" w:rsidRPr="007B5C1C">
        <w:t xml:space="preserve"> Such a partnership w</w:t>
      </w:r>
      <w:r w:rsidR="006142A2" w:rsidRPr="007B5C1C">
        <w:t>ould</w:t>
      </w:r>
      <w:r w:rsidRPr="007B5C1C">
        <w:t xml:space="preserve"> better </w:t>
      </w:r>
      <w:r w:rsidR="009F7909" w:rsidRPr="007B5C1C">
        <w:t xml:space="preserve">leverage the increasing capacity of many </w:t>
      </w:r>
      <w:r w:rsidR="005E4540" w:rsidRPr="007B5C1C">
        <w:t>borrower</w:t>
      </w:r>
      <w:r w:rsidR="009F7909" w:rsidRPr="007B5C1C">
        <w:t xml:space="preserve">s </w:t>
      </w:r>
      <w:r w:rsidR="0059615D" w:rsidRPr="007B5C1C">
        <w:t xml:space="preserve">to </w:t>
      </w:r>
      <w:r w:rsidR="009F7909" w:rsidRPr="007B5C1C">
        <w:t>identify and manag</w:t>
      </w:r>
      <w:r w:rsidR="0059615D" w:rsidRPr="007B5C1C">
        <w:t>e</w:t>
      </w:r>
      <w:r w:rsidR="009F7909" w:rsidRPr="007B5C1C">
        <w:t xml:space="preserve"> environmental and social risks and impacts, in order to</w:t>
      </w:r>
      <w:r w:rsidR="0026332D" w:rsidRPr="007B5C1C">
        <w:t xml:space="preserve"> </w:t>
      </w:r>
      <w:r w:rsidRPr="007B5C1C">
        <w:t>enhance</w:t>
      </w:r>
      <w:r w:rsidR="00B36540" w:rsidRPr="007B5C1C">
        <w:t xml:space="preserve"> development effectiveness</w:t>
      </w:r>
      <w:r w:rsidR="009C3A68" w:rsidRPr="007B5C1C">
        <w:t>. W</w:t>
      </w:r>
      <w:r w:rsidR="002629F0" w:rsidRPr="007B5C1C">
        <w:t xml:space="preserve">here a </w:t>
      </w:r>
      <w:r w:rsidR="005E4540" w:rsidRPr="007B5C1C">
        <w:t>borrower</w:t>
      </w:r>
      <w:r w:rsidR="002629F0" w:rsidRPr="007B5C1C">
        <w:t xml:space="preserve"> lacks </w:t>
      </w:r>
      <w:r w:rsidR="00955221" w:rsidRPr="007B5C1C">
        <w:t xml:space="preserve">such </w:t>
      </w:r>
      <w:r w:rsidR="002629F0" w:rsidRPr="007B5C1C">
        <w:t xml:space="preserve">capacity, the Bank </w:t>
      </w:r>
      <w:r w:rsidR="00955221" w:rsidRPr="007B5C1C">
        <w:t>c</w:t>
      </w:r>
      <w:r w:rsidR="002629F0" w:rsidRPr="007B5C1C">
        <w:t xml:space="preserve">ould </w:t>
      </w:r>
      <w:r w:rsidR="002629F0" w:rsidRPr="007B5C1C">
        <w:lastRenderedPageBreak/>
        <w:t xml:space="preserve">deliver tailored capacity and institution building programs to strengthen the </w:t>
      </w:r>
      <w:r w:rsidR="005E4540" w:rsidRPr="007B5C1C">
        <w:t>borrower</w:t>
      </w:r>
      <w:r w:rsidR="002629F0" w:rsidRPr="007B5C1C">
        <w:t>’s institutions and systems.</w:t>
      </w:r>
      <w:r w:rsidR="0095163E" w:rsidRPr="007B5C1C">
        <w:t xml:space="preserve"> </w:t>
      </w:r>
      <w:r w:rsidR="00EA1F93" w:rsidRPr="007B5C1C">
        <w:t xml:space="preserve">This </w:t>
      </w:r>
      <w:r w:rsidR="00274984" w:rsidRPr="007B5C1C">
        <w:t xml:space="preserve">approach </w:t>
      </w:r>
      <w:r w:rsidR="00EA1F93" w:rsidRPr="007B5C1C">
        <w:t>is consistent with trend</w:t>
      </w:r>
      <w:r w:rsidR="00DA2247" w:rsidRPr="007B5C1C">
        <w:t>s</w:t>
      </w:r>
      <w:r w:rsidR="00EA1F93" w:rsidRPr="007B5C1C">
        <w:t xml:space="preserve"> </w:t>
      </w:r>
      <w:r w:rsidR="00E22D6E" w:rsidRPr="007B5C1C">
        <w:t xml:space="preserve">in the international </w:t>
      </w:r>
      <w:r w:rsidR="00163EB4" w:rsidRPr="007B5C1C">
        <w:t>development</w:t>
      </w:r>
      <w:r w:rsidR="00E22D6E" w:rsidRPr="007B5C1C">
        <w:t xml:space="preserve"> community</w:t>
      </w:r>
      <w:r w:rsidR="00B36540" w:rsidRPr="007B5C1C">
        <w:t xml:space="preserve"> to move towar</w:t>
      </w:r>
      <w:r w:rsidR="00B36540" w:rsidRPr="007B5C1C">
        <w:rPr>
          <w:bCs/>
        </w:rPr>
        <w:t>d</w:t>
      </w:r>
      <w:r w:rsidR="006F2173" w:rsidRPr="007B5C1C">
        <w:rPr>
          <w:bCs/>
        </w:rPr>
        <w:t xml:space="preserve"> a collaborative and facilitative model be</w:t>
      </w:r>
      <w:r w:rsidR="00AA21C5" w:rsidRPr="007B5C1C">
        <w:rPr>
          <w:bCs/>
        </w:rPr>
        <w:t xml:space="preserve">tween funding institutions and </w:t>
      </w:r>
      <w:r w:rsidR="005B07A6" w:rsidRPr="007B5C1C">
        <w:rPr>
          <w:bCs/>
        </w:rPr>
        <w:t>b</w:t>
      </w:r>
      <w:r w:rsidR="006F2173" w:rsidRPr="007B5C1C">
        <w:rPr>
          <w:bCs/>
        </w:rPr>
        <w:t>orrowers</w:t>
      </w:r>
      <w:r w:rsidR="001965D2" w:rsidRPr="007B5C1C">
        <w:rPr>
          <w:bCs/>
        </w:rPr>
        <w:t>.</w:t>
      </w:r>
      <w:r w:rsidR="00467DFC" w:rsidRPr="007B5C1C">
        <w:rPr>
          <w:bCs/>
        </w:rPr>
        <w:t xml:space="preserve"> </w:t>
      </w:r>
      <w:r w:rsidR="001965D2" w:rsidRPr="007B5C1C">
        <w:rPr>
          <w:bCs/>
        </w:rPr>
        <w:t xml:space="preserve">While such a shift is a complex one that cannot be achieved in Bank operations by policy </w:t>
      </w:r>
      <w:r w:rsidR="00F20C8C" w:rsidRPr="007B5C1C">
        <w:rPr>
          <w:bCs/>
        </w:rPr>
        <w:t>revisions</w:t>
      </w:r>
      <w:r w:rsidR="001965D2" w:rsidRPr="007B5C1C">
        <w:rPr>
          <w:bCs/>
        </w:rPr>
        <w:t xml:space="preserve"> alone, </w:t>
      </w:r>
      <w:r w:rsidR="00C62A11" w:rsidRPr="007B5C1C">
        <w:rPr>
          <w:bCs/>
        </w:rPr>
        <w:t xml:space="preserve">an </w:t>
      </w:r>
      <w:r w:rsidR="00F20C8C" w:rsidRPr="007B5C1C">
        <w:rPr>
          <w:bCs/>
        </w:rPr>
        <w:t>i</w:t>
      </w:r>
      <w:r w:rsidR="001E4CF8" w:rsidRPr="007B5C1C">
        <w:rPr>
          <w:bCs/>
        </w:rPr>
        <w:t>ntegrated</w:t>
      </w:r>
      <w:r w:rsidR="001965D2" w:rsidRPr="007B5C1C">
        <w:rPr>
          <w:bCs/>
        </w:rPr>
        <w:t xml:space="preserve"> </w:t>
      </w:r>
      <w:r w:rsidR="00F20C8C" w:rsidRPr="007B5C1C">
        <w:rPr>
          <w:bCs/>
        </w:rPr>
        <w:t>f</w:t>
      </w:r>
      <w:r w:rsidR="001965D2" w:rsidRPr="007B5C1C">
        <w:rPr>
          <w:bCs/>
        </w:rPr>
        <w:t xml:space="preserve">ramework </w:t>
      </w:r>
      <w:r w:rsidR="00E6030F" w:rsidRPr="007B5C1C">
        <w:rPr>
          <w:bCs/>
        </w:rPr>
        <w:t>c</w:t>
      </w:r>
      <w:r w:rsidR="00601AA9" w:rsidRPr="007B5C1C">
        <w:rPr>
          <w:bCs/>
        </w:rPr>
        <w:t>ould</w:t>
      </w:r>
      <w:r w:rsidR="001965D2" w:rsidRPr="007B5C1C">
        <w:rPr>
          <w:bCs/>
        </w:rPr>
        <w:t>: (</w:t>
      </w:r>
      <w:r w:rsidR="00FD7879" w:rsidRPr="007B5C1C">
        <w:rPr>
          <w:bCs/>
        </w:rPr>
        <w:t>a</w:t>
      </w:r>
      <w:r w:rsidR="001965D2" w:rsidRPr="007B5C1C">
        <w:rPr>
          <w:bCs/>
        </w:rPr>
        <w:t xml:space="preserve">) </w:t>
      </w:r>
      <w:r w:rsidR="00F14800" w:rsidRPr="007B5C1C">
        <w:rPr>
          <w:bCs/>
        </w:rPr>
        <w:t xml:space="preserve">build </w:t>
      </w:r>
      <w:r w:rsidR="001965D2" w:rsidRPr="007B5C1C">
        <w:rPr>
          <w:bCs/>
        </w:rPr>
        <w:t>a common vision of desired environmental and social sustainability outcomes</w:t>
      </w:r>
      <w:r w:rsidR="007B44E8" w:rsidRPr="007B5C1C">
        <w:rPr>
          <w:bCs/>
        </w:rPr>
        <w:t xml:space="preserve">, </w:t>
      </w:r>
      <w:r w:rsidR="00F14800" w:rsidRPr="007B5C1C">
        <w:rPr>
          <w:bCs/>
        </w:rPr>
        <w:t>and articulate</w:t>
      </w:r>
      <w:r w:rsidR="007B44E8" w:rsidRPr="007B5C1C">
        <w:rPr>
          <w:bCs/>
        </w:rPr>
        <w:t xml:space="preserve"> </w:t>
      </w:r>
      <w:r w:rsidR="00F14800" w:rsidRPr="007B5C1C">
        <w:rPr>
          <w:bCs/>
        </w:rPr>
        <w:t xml:space="preserve">the </w:t>
      </w:r>
      <w:r w:rsidR="007B44E8" w:rsidRPr="007B5C1C">
        <w:rPr>
          <w:bCs/>
        </w:rPr>
        <w:t xml:space="preserve">values underpinning </w:t>
      </w:r>
      <w:r w:rsidR="00C62A11" w:rsidRPr="007B5C1C">
        <w:rPr>
          <w:bCs/>
        </w:rPr>
        <w:t>Bank operations</w:t>
      </w:r>
      <w:r w:rsidR="001965D2" w:rsidRPr="007B5C1C">
        <w:rPr>
          <w:bCs/>
        </w:rPr>
        <w:t>; (</w:t>
      </w:r>
      <w:r w:rsidR="00FD7879" w:rsidRPr="007B5C1C">
        <w:rPr>
          <w:bCs/>
        </w:rPr>
        <w:t>b</w:t>
      </w:r>
      <w:r w:rsidR="001965D2" w:rsidRPr="007B5C1C">
        <w:rPr>
          <w:bCs/>
        </w:rPr>
        <w:t xml:space="preserve">) </w:t>
      </w:r>
      <w:r w:rsidR="006606E8" w:rsidRPr="007B5C1C">
        <w:rPr>
          <w:bCs/>
        </w:rPr>
        <w:t>f</w:t>
      </w:r>
      <w:r w:rsidR="00FD7879" w:rsidRPr="007B5C1C">
        <w:rPr>
          <w:bCs/>
        </w:rPr>
        <w:t>u</w:t>
      </w:r>
      <w:r w:rsidR="006606E8" w:rsidRPr="007B5C1C">
        <w:rPr>
          <w:bCs/>
        </w:rPr>
        <w:t xml:space="preserve">rther </w:t>
      </w:r>
      <w:r w:rsidR="001965D2" w:rsidRPr="007B5C1C">
        <w:rPr>
          <w:bCs/>
        </w:rPr>
        <w:t>enhance</w:t>
      </w:r>
      <w:r w:rsidR="006606E8" w:rsidRPr="007B5C1C">
        <w:rPr>
          <w:bCs/>
        </w:rPr>
        <w:t xml:space="preserve"> linkages between country institutions and </w:t>
      </w:r>
      <w:r w:rsidR="001965D2" w:rsidRPr="007B5C1C">
        <w:rPr>
          <w:bCs/>
        </w:rPr>
        <w:t xml:space="preserve">the </w:t>
      </w:r>
      <w:r w:rsidR="00C62A11" w:rsidRPr="007B5C1C">
        <w:rPr>
          <w:bCs/>
        </w:rPr>
        <w:t>Bank</w:t>
      </w:r>
      <w:r w:rsidR="00F14800" w:rsidRPr="007B5C1C">
        <w:rPr>
          <w:bCs/>
        </w:rPr>
        <w:t xml:space="preserve"> and assist countries in enhancing environmental and social sustainability</w:t>
      </w:r>
      <w:r w:rsidR="001965D2" w:rsidRPr="007B5C1C">
        <w:rPr>
          <w:bCs/>
        </w:rPr>
        <w:t>; and</w:t>
      </w:r>
      <w:r w:rsidR="00E75540" w:rsidRPr="007B5C1C">
        <w:rPr>
          <w:bCs/>
        </w:rPr>
        <w:t xml:space="preserve"> </w:t>
      </w:r>
      <w:r w:rsidR="001965D2" w:rsidRPr="007B5C1C">
        <w:rPr>
          <w:bCs/>
        </w:rPr>
        <w:t>(</w:t>
      </w:r>
      <w:r w:rsidR="00FD7879" w:rsidRPr="007B5C1C">
        <w:rPr>
          <w:bCs/>
        </w:rPr>
        <w:t>c</w:t>
      </w:r>
      <w:r w:rsidR="001965D2" w:rsidRPr="007B5C1C">
        <w:rPr>
          <w:bCs/>
        </w:rPr>
        <w:t xml:space="preserve">) </w:t>
      </w:r>
      <w:r w:rsidR="00F14800" w:rsidRPr="007B5C1C">
        <w:rPr>
          <w:bCs/>
        </w:rPr>
        <w:t xml:space="preserve">help </w:t>
      </w:r>
      <w:r w:rsidRPr="007B5C1C">
        <w:rPr>
          <w:bCs/>
        </w:rPr>
        <w:t xml:space="preserve">the Bank </w:t>
      </w:r>
      <w:r w:rsidR="00C62A11" w:rsidRPr="007B5C1C">
        <w:rPr>
          <w:bCs/>
        </w:rPr>
        <w:t xml:space="preserve">to </w:t>
      </w:r>
      <w:r w:rsidRPr="007B5C1C">
        <w:rPr>
          <w:bCs/>
        </w:rPr>
        <w:t>design</w:t>
      </w:r>
      <w:r w:rsidR="00AF4EFE" w:rsidRPr="007B5C1C">
        <w:rPr>
          <w:bCs/>
        </w:rPr>
        <w:t xml:space="preserve"> and deliver</w:t>
      </w:r>
      <w:r w:rsidRPr="007B5C1C">
        <w:t xml:space="preserve"> more tailored</w:t>
      </w:r>
      <w:r w:rsidR="001965D2" w:rsidRPr="007B5C1C">
        <w:t xml:space="preserve"> c</w:t>
      </w:r>
      <w:r w:rsidR="002707BF" w:rsidRPr="007B5C1C">
        <w:t xml:space="preserve">ountry capacity </w:t>
      </w:r>
      <w:r w:rsidR="00AF4EFE" w:rsidRPr="007B5C1C">
        <w:t>and</w:t>
      </w:r>
      <w:r w:rsidR="002707BF" w:rsidRPr="007B5C1C">
        <w:t xml:space="preserve"> institution building</w:t>
      </w:r>
      <w:r w:rsidR="00AF4EFE" w:rsidRPr="007B5C1C">
        <w:t xml:space="preserve"> knowledge and programs</w:t>
      </w:r>
      <w:r w:rsidRPr="007B5C1C">
        <w:t>.</w:t>
      </w:r>
      <w:r w:rsidR="0095163E" w:rsidRPr="007B5C1C">
        <w:t xml:space="preserve"> </w:t>
      </w:r>
    </w:p>
    <w:p w:rsidR="002508ED" w:rsidRPr="007B5C1C" w:rsidRDefault="000F6A2C" w:rsidP="00F668DA">
      <w:pPr>
        <w:pStyle w:val="ippara2"/>
      </w:pPr>
      <w:r w:rsidRPr="007B5C1C">
        <w:rPr>
          <w:b/>
          <w:i/>
        </w:rPr>
        <w:t xml:space="preserve">Helping </w:t>
      </w:r>
      <w:r w:rsidR="005E5817" w:rsidRPr="007B5C1C">
        <w:rPr>
          <w:b/>
          <w:i/>
        </w:rPr>
        <w:t xml:space="preserve">to </w:t>
      </w:r>
      <w:r w:rsidRPr="007B5C1C">
        <w:rPr>
          <w:b/>
          <w:i/>
        </w:rPr>
        <w:t>a</w:t>
      </w:r>
      <w:r w:rsidR="000C0C23" w:rsidRPr="007B5C1C">
        <w:rPr>
          <w:b/>
          <w:i/>
        </w:rPr>
        <w:t>ddress environmental and social risks of the next decade.</w:t>
      </w:r>
      <w:r w:rsidR="000C0C23" w:rsidRPr="007B5C1C">
        <w:t xml:space="preserve"> </w:t>
      </w:r>
      <w:r w:rsidR="00F16A6D" w:rsidRPr="007B5C1C">
        <w:t xml:space="preserve">An </w:t>
      </w:r>
      <w:r w:rsidR="000C0C23" w:rsidRPr="007B5C1C">
        <w:t xml:space="preserve">integrated framework could inform how ongoing and emerging environmental and social risks and impacts </w:t>
      </w:r>
      <w:r w:rsidR="00F16A6D" w:rsidRPr="007B5C1C">
        <w:t xml:space="preserve">may </w:t>
      </w:r>
      <w:r w:rsidR="000C0C23" w:rsidRPr="007B5C1C">
        <w:t>be assessed and managed.</w:t>
      </w:r>
      <w:r w:rsidR="0095163E" w:rsidRPr="007B5C1C">
        <w:t xml:space="preserve"> </w:t>
      </w:r>
      <w:r w:rsidR="00F16A6D" w:rsidRPr="007B5C1C">
        <w:t xml:space="preserve">Such </w:t>
      </w:r>
      <w:r w:rsidR="000C0C23" w:rsidRPr="007B5C1C">
        <w:t>issues include</w:t>
      </w:r>
      <w:r w:rsidR="00BB56EE" w:rsidRPr="007B5C1C">
        <w:t>, among others,</w:t>
      </w:r>
      <w:r w:rsidR="000C0C23" w:rsidRPr="007B5C1C">
        <w:t xml:space="preserve"> climate change, biodiversity loss, ocean acidification, economic and forced migrations, and public health epidemics. Some of these challenges may be specific to the global commons; others may be regional or country-specific in nature. </w:t>
      </w:r>
      <w:r w:rsidR="00F16A6D" w:rsidRPr="007B5C1C">
        <w:t xml:space="preserve">A </w:t>
      </w:r>
      <w:r w:rsidR="000C0C23" w:rsidRPr="007B5C1C">
        <w:t xml:space="preserve">new integrated framework could offer the Bank, its </w:t>
      </w:r>
      <w:r w:rsidR="005E4540" w:rsidRPr="007B5C1C">
        <w:t>borrower</w:t>
      </w:r>
      <w:r w:rsidR="000C0C23" w:rsidRPr="007B5C1C">
        <w:t>s</w:t>
      </w:r>
      <w:r w:rsidR="00AD5EE1" w:rsidRPr="007B5C1C">
        <w:t xml:space="preserve"> and</w:t>
      </w:r>
      <w:r w:rsidR="000C0C23" w:rsidRPr="007B5C1C">
        <w:t xml:space="preserve"> development partners</w:t>
      </w:r>
      <w:r w:rsidR="00860D5B" w:rsidRPr="007B5C1C">
        <w:t xml:space="preserve"> </w:t>
      </w:r>
      <w:r w:rsidR="000C0C23" w:rsidRPr="007B5C1C">
        <w:t>an updated methodology to address the general and specific impacts and risks associated with these new and ongoing challenges.</w:t>
      </w:r>
      <w:r w:rsidR="0095163E" w:rsidRPr="007B5C1C">
        <w:t xml:space="preserve"> </w:t>
      </w:r>
      <w:r w:rsidR="000C0C23" w:rsidRPr="007B5C1C">
        <w:t xml:space="preserve">In addition, </w:t>
      </w:r>
      <w:r w:rsidR="00F16A6D" w:rsidRPr="007B5C1C">
        <w:t xml:space="preserve">it </w:t>
      </w:r>
      <w:r w:rsidR="000C0C23" w:rsidRPr="007B5C1C">
        <w:t xml:space="preserve">could reflect appropriate aspects of environmental and social assessment and risk management approaches that are not contained in the current </w:t>
      </w:r>
      <w:r w:rsidR="00E62FB2" w:rsidRPr="007B5C1C">
        <w:t>safeguard polic</w:t>
      </w:r>
      <w:r w:rsidR="000C0C23" w:rsidRPr="007B5C1C">
        <w:t>ies, but have been successfully utilized by both public and private institutions or are generally recognized as good international practice in the areas of environmental and social assessment and risk management</w:t>
      </w:r>
      <w:r w:rsidR="00965882" w:rsidRPr="007B5C1C">
        <w:t xml:space="preserve">. </w:t>
      </w:r>
    </w:p>
    <w:p w:rsidR="002508ED" w:rsidRPr="007B5C1C" w:rsidRDefault="000C0C23" w:rsidP="00F668DA">
      <w:pPr>
        <w:pStyle w:val="ippara2"/>
      </w:pPr>
      <w:r w:rsidRPr="007B5C1C">
        <w:rPr>
          <w:b/>
          <w:i/>
        </w:rPr>
        <w:t>Increasing effectiveness, efficiency and timeliness</w:t>
      </w:r>
      <w:r w:rsidR="005D5612" w:rsidRPr="007B5C1C">
        <w:rPr>
          <w:b/>
          <w:i/>
        </w:rPr>
        <w:t>.</w:t>
      </w:r>
      <w:r w:rsidR="00467DFC" w:rsidRPr="007B5C1C">
        <w:t xml:space="preserve"> </w:t>
      </w:r>
      <w:r w:rsidR="00EA1F93" w:rsidRPr="007B5C1C">
        <w:t xml:space="preserve">An </w:t>
      </w:r>
      <w:r w:rsidR="006E608A" w:rsidRPr="007B5C1C">
        <w:t>i</w:t>
      </w:r>
      <w:r w:rsidR="00EA1F93" w:rsidRPr="007B5C1C">
        <w:t xml:space="preserve">ntegrated </w:t>
      </w:r>
      <w:r w:rsidR="006E608A" w:rsidRPr="007B5C1C">
        <w:t>f</w:t>
      </w:r>
      <w:r w:rsidR="00EA1F93" w:rsidRPr="007B5C1C">
        <w:t xml:space="preserve">ramework </w:t>
      </w:r>
      <w:r w:rsidR="00371A03" w:rsidRPr="007B5C1C">
        <w:t xml:space="preserve">would seek to </w:t>
      </w:r>
      <w:r w:rsidR="00EA1F93" w:rsidRPr="007B5C1C">
        <w:t>improve the quality and speed of decision makin</w:t>
      </w:r>
      <w:r w:rsidR="006106E4" w:rsidRPr="007B5C1C">
        <w:t>g</w:t>
      </w:r>
      <w:r w:rsidR="002707BF" w:rsidRPr="007B5C1C">
        <w:t xml:space="preserve"> </w:t>
      </w:r>
      <w:r w:rsidR="00841D08" w:rsidRPr="007B5C1C">
        <w:t xml:space="preserve">and </w:t>
      </w:r>
      <w:r w:rsidR="006106E4" w:rsidRPr="007B5C1C">
        <w:t>risk management</w:t>
      </w:r>
      <w:r w:rsidR="00F05892" w:rsidRPr="007B5C1C">
        <w:t>,</w:t>
      </w:r>
      <w:r w:rsidR="006106E4" w:rsidRPr="007B5C1C">
        <w:t xml:space="preserve"> </w:t>
      </w:r>
      <w:r w:rsidR="002521F8" w:rsidRPr="007B5C1C">
        <w:t xml:space="preserve">articulate roles and responsibilities of actors involved, </w:t>
      </w:r>
      <w:r w:rsidR="002707BF" w:rsidRPr="007B5C1C">
        <w:t xml:space="preserve">and improve </w:t>
      </w:r>
      <w:r w:rsidR="006106E4" w:rsidRPr="007B5C1C">
        <w:t>monitoring and supervision.</w:t>
      </w:r>
      <w:r w:rsidR="00467DFC" w:rsidRPr="007B5C1C">
        <w:t xml:space="preserve"> </w:t>
      </w:r>
      <w:r w:rsidR="00A85D2B" w:rsidRPr="007B5C1C">
        <w:t>More s</w:t>
      </w:r>
      <w:r w:rsidR="00882518" w:rsidRPr="007B5C1C">
        <w:t>pecifically</w:t>
      </w:r>
      <w:r w:rsidR="00851932" w:rsidRPr="007B5C1C">
        <w:t>,</w:t>
      </w:r>
      <w:r w:rsidR="009C3A68" w:rsidRPr="007B5C1C">
        <w:t xml:space="preserve"> </w:t>
      </w:r>
      <w:r w:rsidR="00371A03" w:rsidRPr="007B5C1C">
        <w:t xml:space="preserve">it </w:t>
      </w:r>
      <w:r w:rsidR="009C3A68" w:rsidRPr="007B5C1C">
        <w:t xml:space="preserve">could yield several </w:t>
      </w:r>
      <w:r w:rsidR="004C6D7F" w:rsidRPr="007B5C1C">
        <w:t>operational benefits</w:t>
      </w:r>
      <w:r w:rsidR="00A85D2B" w:rsidRPr="007B5C1C">
        <w:t>:</w:t>
      </w:r>
    </w:p>
    <w:p w:rsidR="002508ED" w:rsidRPr="007B5C1C" w:rsidRDefault="00BB56EE" w:rsidP="002508ED">
      <w:pPr>
        <w:pStyle w:val="BodyText"/>
        <w:widowControl/>
        <w:numPr>
          <w:ilvl w:val="0"/>
          <w:numId w:val="9"/>
        </w:numPr>
        <w:spacing w:before="0" w:after="200" w:line="276" w:lineRule="auto"/>
        <w:ind w:left="720"/>
      </w:pPr>
      <w:r w:rsidRPr="007B5C1C">
        <w:rPr>
          <w:i/>
        </w:rPr>
        <w:t>Enhanced o</w:t>
      </w:r>
      <w:r w:rsidR="00EA1F93" w:rsidRPr="007B5C1C">
        <w:rPr>
          <w:i/>
        </w:rPr>
        <w:t>utcome orientation</w:t>
      </w:r>
      <w:r w:rsidR="00522B61" w:rsidRPr="007B5C1C">
        <w:rPr>
          <w:i/>
        </w:rPr>
        <w:t xml:space="preserve"> –</w:t>
      </w:r>
      <w:r w:rsidR="00467DFC" w:rsidRPr="007B5C1C">
        <w:t xml:space="preserve"> </w:t>
      </w:r>
      <w:r w:rsidR="002A4CE0" w:rsidRPr="007B5C1C">
        <w:t>promot</w:t>
      </w:r>
      <w:r w:rsidR="00E05FD8" w:rsidRPr="007B5C1C">
        <w:t>ing</w:t>
      </w:r>
      <w:r w:rsidR="002A4CE0" w:rsidRPr="007B5C1C">
        <w:t xml:space="preserve"> a</w:t>
      </w:r>
      <w:r w:rsidR="00A85D2B" w:rsidRPr="007B5C1C">
        <w:t xml:space="preserve"> stronger emphasis on desired </w:t>
      </w:r>
      <w:r w:rsidR="009D4038" w:rsidRPr="007B5C1C">
        <w:t xml:space="preserve">sustainable development </w:t>
      </w:r>
      <w:r w:rsidR="00A85D2B" w:rsidRPr="007B5C1C">
        <w:t xml:space="preserve">outcomes, together with tools </w:t>
      </w:r>
      <w:r w:rsidR="00E82CD3" w:rsidRPr="007B5C1C">
        <w:t>to measure</w:t>
      </w:r>
      <w:r w:rsidR="00A85D2B" w:rsidRPr="007B5C1C">
        <w:t xml:space="preserve"> result</w:t>
      </w:r>
      <w:r w:rsidR="00E82CD3" w:rsidRPr="007B5C1C">
        <w:t>s</w:t>
      </w:r>
      <w:r w:rsidR="00A85D2B" w:rsidRPr="007B5C1C">
        <w:t xml:space="preserve">, </w:t>
      </w:r>
      <w:r w:rsidR="00324B84" w:rsidRPr="007B5C1C">
        <w:t xml:space="preserve">such as indicators, </w:t>
      </w:r>
      <w:r w:rsidR="009461C3" w:rsidRPr="007B5C1C">
        <w:t xml:space="preserve">to </w:t>
      </w:r>
      <w:r w:rsidR="00A85D2B" w:rsidRPr="007B5C1C">
        <w:t xml:space="preserve">help task teams </w:t>
      </w:r>
      <w:r w:rsidR="00ED3E26" w:rsidRPr="007B5C1C">
        <w:t xml:space="preserve">focus </w:t>
      </w:r>
      <w:r w:rsidR="006C333C" w:rsidRPr="007B5C1C">
        <w:t xml:space="preserve">on </w:t>
      </w:r>
      <w:r w:rsidR="00A85D2B" w:rsidRPr="007B5C1C">
        <w:t>achieving project outcomes.</w:t>
      </w:r>
    </w:p>
    <w:p w:rsidR="002508ED" w:rsidRPr="007B5C1C" w:rsidRDefault="00BB56EE" w:rsidP="002508ED">
      <w:pPr>
        <w:pStyle w:val="BodyText"/>
        <w:widowControl/>
        <w:numPr>
          <w:ilvl w:val="0"/>
          <w:numId w:val="9"/>
        </w:numPr>
        <w:spacing w:before="0" w:after="200" w:line="276" w:lineRule="auto"/>
        <w:ind w:left="720"/>
      </w:pPr>
      <w:r w:rsidRPr="007B5C1C">
        <w:rPr>
          <w:i/>
        </w:rPr>
        <w:t>Greater clarity on the r</w:t>
      </w:r>
      <w:r w:rsidR="00EA1F93" w:rsidRPr="007B5C1C">
        <w:rPr>
          <w:i/>
        </w:rPr>
        <w:t xml:space="preserve">oles and responsibilities of the Bank and </w:t>
      </w:r>
      <w:r w:rsidR="005E4540" w:rsidRPr="007B5C1C">
        <w:rPr>
          <w:i/>
        </w:rPr>
        <w:t>borrower</w:t>
      </w:r>
      <w:r w:rsidR="00522B61" w:rsidRPr="007B5C1C">
        <w:rPr>
          <w:i/>
        </w:rPr>
        <w:t xml:space="preserve"> –</w:t>
      </w:r>
      <w:r w:rsidR="00EA1F93" w:rsidRPr="007B5C1C">
        <w:rPr>
          <w:i/>
        </w:rPr>
        <w:t xml:space="preserve"> </w:t>
      </w:r>
      <w:r w:rsidR="00EA1F93" w:rsidRPr="007B5C1C">
        <w:t>differentiat</w:t>
      </w:r>
      <w:r w:rsidR="00E05FD8" w:rsidRPr="007B5C1C">
        <w:t>ing</w:t>
      </w:r>
      <w:r w:rsidR="00EA1F93" w:rsidRPr="007B5C1C">
        <w:t xml:space="preserve"> the separate but complementary roles and responsibilities of the Bank and the </w:t>
      </w:r>
      <w:r w:rsidR="005E4540" w:rsidRPr="007B5C1C">
        <w:t>borrower</w:t>
      </w:r>
      <w:r w:rsidR="00EA1F93" w:rsidRPr="007B5C1C">
        <w:t xml:space="preserve">, as well as other relevant third parties such as development partners, in </w:t>
      </w:r>
      <w:r w:rsidR="00BC59A0" w:rsidRPr="007B5C1C">
        <w:t xml:space="preserve">addressing </w:t>
      </w:r>
      <w:r w:rsidR="00E82CD3" w:rsidRPr="007B5C1C">
        <w:t xml:space="preserve">environmental and social sustainability throughout </w:t>
      </w:r>
      <w:r w:rsidR="00BC59A0" w:rsidRPr="007B5C1C">
        <w:t xml:space="preserve">the project or </w:t>
      </w:r>
      <w:r w:rsidR="00126879" w:rsidRPr="007B5C1C">
        <w:rPr>
          <w:color w:val="000000"/>
        </w:rPr>
        <w:t>program</w:t>
      </w:r>
      <w:r w:rsidR="00BC59A0" w:rsidRPr="007B5C1C">
        <w:t xml:space="preserve"> cycle.</w:t>
      </w:r>
    </w:p>
    <w:p w:rsidR="002508ED" w:rsidRPr="007B5C1C" w:rsidRDefault="00BB56EE" w:rsidP="002508ED">
      <w:pPr>
        <w:pStyle w:val="BodyText"/>
        <w:widowControl/>
        <w:numPr>
          <w:ilvl w:val="0"/>
          <w:numId w:val="9"/>
        </w:numPr>
        <w:spacing w:before="0" w:after="200" w:line="276" w:lineRule="auto"/>
        <w:ind w:left="720"/>
      </w:pPr>
      <w:r w:rsidRPr="007B5C1C">
        <w:rPr>
          <w:i/>
        </w:rPr>
        <w:t>Enhanced r</w:t>
      </w:r>
      <w:r w:rsidR="00EA1F93" w:rsidRPr="007B5C1C">
        <w:rPr>
          <w:i/>
        </w:rPr>
        <w:t>isk management</w:t>
      </w:r>
      <w:r w:rsidR="00522B61" w:rsidRPr="007B5C1C">
        <w:rPr>
          <w:i/>
        </w:rPr>
        <w:t xml:space="preserve"> – </w:t>
      </w:r>
      <w:r w:rsidR="00522B61" w:rsidRPr="007B5C1C">
        <w:t xml:space="preserve">a measured shift towards the mitigation and management of risks throughout the life of an operation, proportionate to the scale of these risks. </w:t>
      </w:r>
      <w:r w:rsidR="00EA1F93" w:rsidRPr="007B5C1C">
        <w:t xml:space="preserve">The Bank </w:t>
      </w:r>
      <w:r w:rsidR="00C36BAA" w:rsidRPr="007B5C1C">
        <w:t xml:space="preserve">could increase its use of </w:t>
      </w:r>
      <w:r w:rsidR="00E82CD3" w:rsidRPr="007B5C1C">
        <w:t>a risk-based approach for the management of its portfolio</w:t>
      </w:r>
      <w:r w:rsidR="00AD2C27" w:rsidRPr="007B5C1C">
        <w:t xml:space="preserve"> </w:t>
      </w:r>
      <w:r w:rsidR="00E82CD3" w:rsidRPr="007B5C1C">
        <w:t xml:space="preserve">with </w:t>
      </w:r>
      <w:proofErr w:type="spellStart"/>
      <w:r w:rsidR="00EA1F93" w:rsidRPr="007B5C1C">
        <w:t>monitorable</w:t>
      </w:r>
      <w:proofErr w:type="spellEnd"/>
      <w:r w:rsidR="00EA1F93" w:rsidRPr="007B5C1C">
        <w:t xml:space="preserve"> </w:t>
      </w:r>
      <w:r w:rsidR="00AD2C27" w:rsidRPr="007B5C1C">
        <w:t>and measureable risk indicators</w:t>
      </w:r>
      <w:r w:rsidR="00EA1F93" w:rsidRPr="007B5C1C">
        <w:t xml:space="preserve"> so that decision-making can be </w:t>
      </w:r>
      <w:r w:rsidR="00EA1F93" w:rsidRPr="007B5C1C">
        <w:lastRenderedPageBreak/>
        <w:t xml:space="preserve">informed by </w:t>
      </w:r>
      <w:r w:rsidR="009D4038" w:rsidRPr="007B5C1C">
        <w:t>predetermined</w:t>
      </w:r>
      <w:r w:rsidR="00EA1F93" w:rsidRPr="007B5C1C">
        <w:t xml:space="preserve"> tolerances for risk</w:t>
      </w:r>
      <w:r w:rsidR="00371A03" w:rsidRPr="007B5C1C">
        <w:t>.</w:t>
      </w:r>
      <w:r w:rsidR="00467DFC" w:rsidRPr="007B5C1C">
        <w:t xml:space="preserve"> </w:t>
      </w:r>
      <w:r w:rsidR="00522B61" w:rsidRPr="007B5C1C">
        <w:t xml:space="preserve">Such a </w:t>
      </w:r>
      <w:r w:rsidR="00EA1F93" w:rsidRPr="007B5C1C">
        <w:t xml:space="preserve">shift towards </w:t>
      </w:r>
      <w:r w:rsidR="008B161E" w:rsidRPr="007B5C1C">
        <w:t>risk management</w:t>
      </w:r>
      <w:r w:rsidR="00EA1F93" w:rsidRPr="007B5C1C">
        <w:t xml:space="preserve"> throughout the life of an operation</w:t>
      </w:r>
      <w:r w:rsidR="008B161E" w:rsidRPr="007B5C1C">
        <w:t xml:space="preserve"> </w:t>
      </w:r>
      <w:r w:rsidR="00371A03" w:rsidRPr="007B5C1C">
        <w:t>w</w:t>
      </w:r>
      <w:r w:rsidR="00EA1F93" w:rsidRPr="007B5C1C">
        <w:t>ould help the Bank improve sustainability outcomes</w:t>
      </w:r>
      <w:r w:rsidR="00DE2FE7" w:rsidRPr="007B5C1C">
        <w:t>.</w:t>
      </w:r>
      <w:r w:rsidR="00467DFC" w:rsidRPr="007B5C1C">
        <w:t xml:space="preserve"> </w:t>
      </w:r>
      <w:r w:rsidR="00E77E13" w:rsidRPr="007B5C1C">
        <w:t xml:space="preserve">It </w:t>
      </w:r>
      <w:r w:rsidR="00371A03" w:rsidRPr="007B5C1C">
        <w:t>w</w:t>
      </w:r>
      <w:r w:rsidR="00126879" w:rsidRPr="007B5C1C">
        <w:rPr>
          <w:color w:val="000000"/>
        </w:rPr>
        <w:t>ould</w:t>
      </w:r>
      <w:r w:rsidR="00E77E13" w:rsidRPr="007B5C1C">
        <w:t xml:space="preserve"> </w:t>
      </w:r>
      <w:r w:rsidR="005B07A6" w:rsidRPr="007B5C1C">
        <w:t xml:space="preserve">also </w:t>
      </w:r>
      <w:r w:rsidR="00E77E13" w:rsidRPr="007B5C1C">
        <w:t>enable task teams to</w:t>
      </w:r>
      <w:r w:rsidR="009D4038" w:rsidRPr="007B5C1C">
        <w:t xml:space="preserve"> </w:t>
      </w:r>
      <w:r w:rsidR="00A92A9F" w:rsidRPr="007B5C1C">
        <w:t xml:space="preserve">more accurately </w:t>
      </w:r>
      <w:r w:rsidR="00E77E13" w:rsidRPr="007B5C1C">
        <w:t xml:space="preserve">gauge the costs of meeting policy objectives and requirements </w:t>
      </w:r>
      <w:r w:rsidR="008B161E" w:rsidRPr="007B5C1C">
        <w:t xml:space="preserve">for the </w:t>
      </w:r>
      <w:r w:rsidR="00E77E13" w:rsidRPr="007B5C1C">
        <w:t>project or program.</w:t>
      </w:r>
      <w:r w:rsidR="00467DFC" w:rsidRPr="007B5C1C">
        <w:t xml:space="preserve"> </w:t>
      </w:r>
      <w:r w:rsidR="00E77E13" w:rsidRPr="007B5C1C">
        <w:t>This is a complex task th</w:t>
      </w:r>
      <w:r w:rsidR="00EA1F93" w:rsidRPr="007B5C1C">
        <w:t xml:space="preserve">at </w:t>
      </w:r>
      <w:r w:rsidR="00080BA3" w:rsidRPr="007B5C1C">
        <w:t xml:space="preserve">would </w:t>
      </w:r>
      <w:r w:rsidR="00EA1F93" w:rsidRPr="007B5C1C">
        <w:t xml:space="preserve">also require an alignment of internal incentives that values </w:t>
      </w:r>
      <w:r w:rsidR="00C73DA8" w:rsidRPr="007B5C1C">
        <w:t xml:space="preserve">equally </w:t>
      </w:r>
      <w:r w:rsidR="00EA1F93" w:rsidRPr="007B5C1C">
        <w:t>both project preparation and implementation</w:t>
      </w:r>
      <w:r w:rsidR="00E77E13" w:rsidRPr="007B5C1C">
        <w:t>.</w:t>
      </w:r>
    </w:p>
    <w:p w:rsidR="002508ED" w:rsidRPr="007B5C1C" w:rsidRDefault="006814DE" w:rsidP="00F668DA">
      <w:pPr>
        <w:pStyle w:val="ippara2"/>
      </w:pPr>
      <w:r w:rsidRPr="007B5C1C">
        <w:rPr>
          <w:b/>
          <w:bCs/>
          <w:i/>
        </w:rPr>
        <w:t xml:space="preserve">Policy </w:t>
      </w:r>
      <w:r w:rsidR="005D5612" w:rsidRPr="007B5C1C">
        <w:rPr>
          <w:b/>
          <w:bCs/>
          <w:i/>
        </w:rPr>
        <w:t>h</w:t>
      </w:r>
      <w:r w:rsidRPr="007B5C1C">
        <w:rPr>
          <w:b/>
          <w:bCs/>
          <w:i/>
        </w:rPr>
        <w:t xml:space="preserve">armonization, </w:t>
      </w:r>
      <w:r w:rsidR="005D5612" w:rsidRPr="007B5C1C">
        <w:rPr>
          <w:b/>
          <w:bCs/>
          <w:i/>
        </w:rPr>
        <w:t>c</w:t>
      </w:r>
      <w:r w:rsidRPr="007B5C1C">
        <w:rPr>
          <w:b/>
          <w:bCs/>
          <w:i/>
        </w:rPr>
        <w:t xml:space="preserve">oherence, and </w:t>
      </w:r>
      <w:r w:rsidR="005D5612" w:rsidRPr="007B5C1C">
        <w:rPr>
          <w:b/>
          <w:bCs/>
          <w:i/>
        </w:rPr>
        <w:t>a</w:t>
      </w:r>
      <w:r w:rsidR="002A4CE0" w:rsidRPr="007B5C1C">
        <w:rPr>
          <w:b/>
          <w:bCs/>
          <w:i/>
        </w:rPr>
        <w:t>lignment</w:t>
      </w:r>
      <w:r w:rsidRPr="007B5C1C">
        <w:rPr>
          <w:b/>
          <w:bCs/>
          <w:i/>
        </w:rPr>
        <w:t xml:space="preserve">. </w:t>
      </w:r>
      <w:r w:rsidR="00EA1F93" w:rsidRPr="007B5C1C">
        <w:t xml:space="preserve">The review and update process will consider the benefits of </w:t>
      </w:r>
      <w:r w:rsidR="002A4CE0" w:rsidRPr="007B5C1C">
        <w:t xml:space="preserve">policy </w:t>
      </w:r>
      <w:r w:rsidR="00EA1F93" w:rsidRPr="007B5C1C">
        <w:t>harmonization and coherence</w:t>
      </w:r>
      <w:r w:rsidR="00D16913" w:rsidRPr="007B5C1C">
        <w:t xml:space="preserve"> </w:t>
      </w:r>
      <w:r w:rsidR="00EA1F93" w:rsidRPr="007B5C1C">
        <w:t xml:space="preserve">with relevant aspects of other sustainability frameworks and recognized global </w:t>
      </w:r>
      <w:r w:rsidR="00182397" w:rsidRPr="007B5C1C">
        <w:t xml:space="preserve">good </w:t>
      </w:r>
      <w:r w:rsidR="00EA1F93" w:rsidRPr="007B5C1C">
        <w:t>practices.</w:t>
      </w:r>
      <w:r w:rsidR="00467DFC" w:rsidRPr="007B5C1C">
        <w:t xml:space="preserve"> </w:t>
      </w:r>
      <w:r w:rsidR="00C73DA8" w:rsidRPr="007B5C1C">
        <w:t xml:space="preserve">The review and update </w:t>
      </w:r>
      <w:r w:rsidR="00DA2247" w:rsidRPr="007B5C1C">
        <w:t xml:space="preserve">will take note of recent safeguard updates by </w:t>
      </w:r>
      <w:r w:rsidR="00C36BAA" w:rsidRPr="007B5C1C">
        <w:t>other MDBs</w:t>
      </w:r>
      <w:r w:rsidR="00DA2247" w:rsidRPr="007B5C1C">
        <w:t>, particularly those that address both public and private sector borrowers.</w:t>
      </w:r>
      <w:r w:rsidR="006867EB" w:rsidRPr="007B5C1C">
        <w:t xml:space="preserve"> </w:t>
      </w:r>
      <w:r w:rsidR="00EA1F93" w:rsidRPr="007B5C1C">
        <w:t>Within the World Bank Group, the review and update will be informed by the Bank’s application of the Performance Standards to Bank-financed or supported private sector projects</w:t>
      </w:r>
      <w:r w:rsidR="001E4CF8" w:rsidRPr="007B5C1C">
        <w:t>.</w:t>
      </w:r>
      <w:r w:rsidR="00467DFC" w:rsidRPr="007B5C1C">
        <w:t xml:space="preserve"> </w:t>
      </w:r>
      <w:r w:rsidR="001A15B2" w:rsidRPr="007B5C1C">
        <w:t xml:space="preserve">In addition, the process will take into account </w:t>
      </w:r>
      <w:r w:rsidR="00EA1F93" w:rsidRPr="007B5C1C">
        <w:t>appro</w:t>
      </w:r>
      <w:r w:rsidR="00E374F7" w:rsidRPr="007B5C1C">
        <w:t>aches</w:t>
      </w:r>
      <w:r w:rsidR="00060541" w:rsidRPr="007B5C1C">
        <w:t xml:space="preserve"> to sustainable development</w:t>
      </w:r>
      <w:r w:rsidR="00E374F7" w:rsidRPr="007B5C1C">
        <w:t xml:space="preserve"> under implementation by </w:t>
      </w:r>
      <w:r w:rsidRPr="007B5C1C">
        <w:t xml:space="preserve">others, including private and public sector initiatives that reference the Performance Standards (such as the Equator Principles, the OECD Common Approach for export credit agencies, and the European Development Financial Institutions), </w:t>
      </w:r>
      <w:r w:rsidR="00F137F1" w:rsidRPr="007B5C1C">
        <w:t xml:space="preserve">relevant UN agencies, </w:t>
      </w:r>
      <w:r w:rsidR="00AF3E46" w:rsidRPr="007B5C1C">
        <w:t xml:space="preserve">other </w:t>
      </w:r>
      <w:r w:rsidR="00C36BAA" w:rsidRPr="007B5C1C">
        <w:t>MDBs</w:t>
      </w:r>
      <w:r w:rsidR="00F137F1" w:rsidRPr="007B5C1C">
        <w:t>,</w:t>
      </w:r>
      <w:r w:rsidR="00EA1F93" w:rsidRPr="007B5C1C">
        <w:t xml:space="preserve"> </w:t>
      </w:r>
      <w:r w:rsidR="00F137F1" w:rsidRPr="007B5C1C">
        <w:t xml:space="preserve">bilateral </w:t>
      </w:r>
      <w:r w:rsidR="00860D5B" w:rsidRPr="007B5C1C">
        <w:t>development partners</w:t>
      </w:r>
      <w:r w:rsidR="00060541" w:rsidRPr="007B5C1C">
        <w:t xml:space="preserve">, </w:t>
      </w:r>
      <w:r w:rsidR="00F137F1" w:rsidRPr="007B5C1C">
        <w:t>and member governments.</w:t>
      </w:r>
      <w:r w:rsidR="000F6A2C" w:rsidRPr="007B5C1C">
        <w:t xml:space="preserve"> </w:t>
      </w:r>
    </w:p>
    <w:p w:rsidR="001C08B5" w:rsidRPr="007B5C1C" w:rsidRDefault="00F668DA" w:rsidP="00F668DA">
      <w:pPr>
        <w:pStyle w:val="ippara2"/>
      </w:pPr>
      <w:r w:rsidRPr="007B5C1C">
        <w:rPr>
          <w:b/>
          <w:i/>
        </w:rPr>
        <w:t>Enhanced transparency in Bank operations.</w:t>
      </w:r>
      <w:r w:rsidRPr="007B5C1C">
        <w:t xml:space="preserve"> Finally, </w:t>
      </w:r>
      <w:r w:rsidR="001C08B5" w:rsidRPr="007B5C1C">
        <w:t xml:space="preserve">Management notes that this review and update process is taking place in </w:t>
      </w:r>
      <w:r w:rsidRPr="007B5C1C">
        <w:t>a</w:t>
      </w:r>
      <w:r w:rsidR="001C08B5" w:rsidRPr="007B5C1C">
        <w:t xml:space="preserve"> time of unprecedented transparency in all aspects of Bank operations. </w:t>
      </w:r>
      <w:r w:rsidR="003910C1" w:rsidRPr="007B5C1C">
        <w:t xml:space="preserve">Such transparency should support the review and </w:t>
      </w:r>
      <w:r w:rsidR="00423A6B" w:rsidRPr="007B5C1C">
        <w:t>update</w:t>
      </w:r>
      <w:r w:rsidR="003910C1" w:rsidRPr="007B5C1C">
        <w:t xml:space="preserve"> process to achieve its stated objectives in the development of </w:t>
      </w:r>
      <w:r w:rsidR="001C08B5" w:rsidRPr="007B5C1C">
        <w:t>the integrated framework.</w:t>
      </w:r>
      <w:r w:rsidR="00423A6B" w:rsidRPr="007B5C1C">
        <w:t xml:space="preserve"> </w:t>
      </w:r>
    </w:p>
    <w:p w:rsidR="002508ED" w:rsidRPr="007B5C1C" w:rsidRDefault="00126879" w:rsidP="002508ED">
      <w:pPr>
        <w:pStyle w:val="Heading3"/>
        <w:keepNext/>
        <w:widowControl/>
        <w:numPr>
          <w:ilvl w:val="0"/>
          <w:numId w:val="38"/>
        </w:numPr>
        <w:spacing w:before="0" w:after="200" w:line="276" w:lineRule="auto"/>
        <w:rPr>
          <w:szCs w:val="24"/>
        </w:rPr>
      </w:pPr>
      <w:bookmarkStart w:id="6" w:name="_Toc333515711"/>
      <w:r w:rsidRPr="007B5C1C">
        <w:rPr>
          <w:szCs w:val="24"/>
        </w:rPr>
        <w:t>Scope of the Review and Update</w:t>
      </w:r>
      <w:bookmarkEnd w:id="6"/>
    </w:p>
    <w:p w:rsidR="002508ED" w:rsidRPr="007B5C1C" w:rsidRDefault="00EA1F93" w:rsidP="00F668DA">
      <w:pPr>
        <w:pStyle w:val="ippara2"/>
      </w:pPr>
      <w:r w:rsidRPr="007B5C1C">
        <w:rPr>
          <w:b/>
          <w:i/>
        </w:rPr>
        <w:t xml:space="preserve">The </w:t>
      </w:r>
      <w:r w:rsidR="00E62FB2" w:rsidRPr="007B5C1C">
        <w:rPr>
          <w:b/>
          <w:i/>
        </w:rPr>
        <w:t>g</w:t>
      </w:r>
      <w:r w:rsidR="0074511E" w:rsidRPr="007B5C1C">
        <w:rPr>
          <w:b/>
          <w:i/>
        </w:rPr>
        <w:t xml:space="preserve">eneral </w:t>
      </w:r>
      <w:r w:rsidR="00E62FB2" w:rsidRPr="007B5C1C">
        <w:rPr>
          <w:b/>
          <w:i/>
        </w:rPr>
        <w:t>s</w:t>
      </w:r>
      <w:r w:rsidR="0074511E" w:rsidRPr="007B5C1C">
        <w:rPr>
          <w:b/>
          <w:i/>
        </w:rPr>
        <w:t>cope</w:t>
      </w:r>
      <w:r w:rsidRPr="007B5C1C">
        <w:rPr>
          <w:b/>
          <w:i/>
        </w:rPr>
        <w:t>.</w:t>
      </w:r>
      <w:r w:rsidR="00467DFC" w:rsidRPr="007B5C1C">
        <w:t xml:space="preserve"> </w:t>
      </w:r>
      <w:r w:rsidR="00D02506" w:rsidRPr="007B5C1C">
        <w:t>As described in paragraph 19</w:t>
      </w:r>
      <w:r w:rsidR="00860D5B" w:rsidRPr="007B5C1C">
        <w:t>,</w:t>
      </w:r>
      <w:r w:rsidR="006C45EF" w:rsidRPr="007B5C1C">
        <w:t xml:space="preserve"> </w:t>
      </w:r>
      <w:r w:rsidR="00EB4127" w:rsidRPr="007B5C1C">
        <w:t xml:space="preserve">the </w:t>
      </w:r>
      <w:r w:rsidR="006C45EF" w:rsidRPr="007B5C1C">
        <w:t xml:space="preserve">review and update </w:t>
      </w:r>
      <w:r w:rsidR="00D02506" w:rsidRPr="007B5C1C">
        <w:t xml:space="preserve">anticipates a new integrated framework </w:t>
      </w:r>
      <w:r w:rsidR="00EB4127" w:rsidRPr="007B5C1C">
        <w:t xml:space="preserve">that will articulate how </w:t>
      </w:r>
      <w:r w:rsidR="00D02506" w:rsidRPr="007B5C1C">
        <w:t xml:space="preserve">all Bank instruments </w:t>
      </w:r>
      <w:r w:rsidR="00EB4127" w:rsidRPr="007B5C1C">
        <w:t>can</w:t>
      </w:r>
      <w:r w:rsidR="00D02506" w:rsidRPr="007B5C1C">
        <w:t xml:space="preserve"> </w:t>
      </w:r>
      <w:r w:rsidR="00860D5B" w:rsidRPr="007B5C1C">
        <w:t xml:space="preserve">achieve </w:t>
      </w:r>
      <w:r w:rsidR="00D02506" w:rsidRPr="007B5C1C">
        <w:t xml:space="preserve">better development outcomes. Within that framework, </w:t>
      </w:r>
      <w:r w:rsidR="00EB4127" w:rsidRPr="007B5C1C">
        <w:t xml:space="preserve">proposed </w:t>
      </w:r>
      <w:r w:rsidR="00D02506" w:rsidRPr="007B5C1C">
        <w:t xml:space="preserve">policy revisions </w:t>
      </w:r>
      <w:r w:rsidR="006C45EF" w:rsidRPr="007B5C1C">
        <w:t xml:space="preserve">will focus on the application of the </w:t>
      </w:r>
      <w:r w:rsidR="00E62FB2" w:rsidRPr="007B5C1C">
        <w:t>safeguard polic</w:t>
      </w:r>
      <w:r w:rsidR="006C45EF" w:rsidRPr="007B5C1C">
        <w:t xml:space="preserve">ies to Investment Lending given the importance of this instrument for the Bank and its </w:t>
      </w:r>
      <w:r w:rsidR="005E4540" w:rsidRPr="007B5C1C">
        <w:t>borrower</w:t>
      </w:r>
      <w:r w:rsidR="006C45EF" w:rsidRPr="007B5C1C">
        <w:t>s</w:t>
      </w:r>
      <w:r w:rsidR="006C45EF" w:rsidRPr="007B5C1C">
        <w:rPr>
          <w:iCs/>
        </w:rPr>
        <w:t xml:space="preserve">. With this </w:t>
      </w:r>
      <w:r w:rsidR="00D02506" w:rsidRPr="007B5C1C">
        <w:rPr>
          <w:iCs/>
        </w:rPr>
        <w:t xml:space="preserve">approach </w:t>
      </w:r>
      <w:r w:rsidR="006C45EF" w:rsidRPr="007B5C1C">
        <w:rPr>
          <w:iCs/>
        </w:rPr>
        <w:t xml:space="preserve">in mind, the </w:t>
      </w:r>
      <w:r w:rsidR="0050224F" w:rsidRPr="007B5C1C">
        <w:rPr>
          <w:iCs/>
        </w:rPr>
        <w:t>core policy content</w:t>
      </w:r>
      <w:r w:rsidR="000304B8" w:rsidRPr="007B5C1C">
        <w:t xml:space="preserve"> of the review and update process is the following set of</w:t>
      </w:r>
      <w:r w:rsidR="00423A6B" w:rsidRPr="007B5C1C">
        <w:t xml:space="preserve"> </w:t>
      </w:r>
      <w:r w:rsidR="00E62FB2" w:rsidRPr="007B5C1C">
        <w:t>safeguard polic</w:t>
      </w:r>
      <w:r w:rsidRPr="007B5C1C">
        <w:t>ies:</w:t>
      </w:r>
    </w:p>
    <w:p w:rsidR="002508ED" w:rsidRPr="007B5C1C" w:rsidRDefault="00EA1F93" w:rsidP="002508ED">
      <w:pPr>
        <w:pStyle w:val="BodyText"/>
        <w:widowControl/>
        <w:numPr>
          <w:ilvl w:val="0"/>
          <w:numId w:val="9"/>
        </w:numPr>
        <w:spacing w:before="0" w:after="200" w:line="276" w:lineRule="auto"/>
        <w:ind w:left="720"/>
      </w:pPr>
      <w:r w:rsidRPr="007B5C1C">
        <w:t xml:space="preserve">Eight environmental and social </w:t>
      </w:r>
      <w:r w:rsidR="00E62FB2" w:rsidRPr="007B5C1C">
        <w:t>safeguard polic</w:t>
      </w:r>
      <w:r w:rsidRPr="007B5C1C">
        <w:t>ies (see Box 1 below);</w:t>
      </w:r>
    </w:p>
    <w:p w:rsidR="002508ED" w:rsidRPr="007B5C1C" w:rsidRDefault="00EA1F93" w:rsidP="002508ED">
      <w:pPr>
        <w:pStyle w:val="BodyText"/>
        <w:widowControl/>
        <w:numPr>
          <w:ilvl w:val="0"/>
          <w:numId w:val="9"/>
        </w:numPr>
        <w:spacing w:before="0" w:after="200" w:line="276" w:lineRule="auto"/>
        <w:ind w:left="720"/>
      </w:pPr>
      <w:r w:rsidRPr="007B5C1C">
        <w:t>The Policy on Piloting the Use of Borrower Systems for Environmental and Social Safeguards (“Use of Country Systems”), OP 4.00</w:t>
      </w:r>
    </w:p>
    <w:tbl>
      <w:tblPr>
        <w:tblStyle w:val="TableGrid"/>
        <w:tblW w:w="9356" w:type="dxa"/>
        <w:tblInd w:w="250" w:type="dxa"/>
        <w:tblLayout w:type="fixed"/>
        <w:tblLook w:val="04A0"/>
      </w:tblPr>
      <w:tblGrid>
        <w:gridCol w:w="9356"/>
      </w:tblGrid>
      <w:tr w:rsidR="00FD570A" w:rsidRPr="007B5C1C">
        <w:tc>
          <w:tcPr>
            <w:tcW w:w="9356" w:type="dxa"/>
          </w:tcPr>
          <w:p w:rsidR="002508ED" w:rsidRPr="007B5C1C" w:rsidRDefault="00EA1F93" w:rsidP="002508ED">
            <w:pPr>
              <w:keepNext/>
              <w:keepLines/>
              <w:widowControl/>
              <w:spacing w:after="200" w:line="276" w:lineRule="auto"/>
              <w:rPr>
                <w:rFonts w:cs="Times New Roman"/>
                <w:b/>
                <w:bCs/>
                <w:sz w:val="24"/>
                <w:szCs w:val="24"/>
              </w:rPr>
            </w:pPr>
            <w:r w:rsidRPr="007B5C1C">
              <w:rPr>
                <w:rFonts w:cs="Times New Roman"/>
                <w:b/>
                <w:bCs/>
                <w:szCs w:val="24"/>
              </w:rPr>
              <w:lastRenderedPageBreak/>
              <w:t>Box 1:</w:t>
            </w:r>
            <w:r w:rsidR="00467DFC" w:rsidRPr="007B5C1C">
              <w:rPr>
                <w:rFonts w:cs="Times New Roman"/>
                <w:b/>
                <w:bCs/>
                <w:szCs w:val="24"/>
              </w:rPr>
              <w:t xml:space="preserve"> </w:t>
            </w:r>
            <w:r w:rsidRPr="007B5C1C">
              <w:rPr>
                <w:rFonts w:cs="Times New Roman"/>
                <w:b/>
                <w:bCs/>
                <w:szCs w:val="24"/>
              </w:rPr>
              <w:t xml:space="preserve">The </w:t>
            </w:r>
            <w:r w:rsidR="00345496" w:rsidRPr="007B5C1C">
              <w:rPr>
                <w:rFonts w:cs="Times New Roman"/>
                <w:b/>
                <w:bCs/>
                <w:szCs w:val="24"/>
              </w:rPr>
              <w:t>C</w:t>
            </w:r>
            <w:r w:rsidRPr="007B5C1C">
              <w:rPr>
                <w:rFonts w:cs="Times New Roman"/>
                <w:b/>
                <w:bCs/>
                <w:szCs w:val="24"/>
              </w:rPr>
              <w:t xml:space="preserve">ore </w:t>
            </w:r>
            <w:r w:rsidR="00345496" w:rsidRPr="007B5C1C">
              <w:rPr>
                <w:rFonts w:cs="Times New Roman"/>
                <w:b/>
                <w:bCs/>
                <w:szCs w:val="24"/>
              </w:rPr>
              <w:t>E</w:t>
            </w:r>
            <w:r w:rsidRPr="007B5C1C">
              <w:rPr>
                <w:rFonts w:cs="Times New Roman"/>
                <w:b/>
                <w:bCs/>
                <w:szCs w:val="24"/>
              </w:rPr>
              <w:t xml:space="preserve">nvironmental and </w:t>
            </w:r>
            <w:r w:rsidR="00345496" w:rsidRPr="007B5C1C">
              <w:rPr>
                <w:rFonts w:cs="Times New Roman"/>
                <w:b/>
                <w:bCs/>
                <w:szCs w:val="24"/>
              </w:rPr>
              <w:t>S</w:t>
            </w:r>
            <w:r w:rsidRPr="007B5C1C">
              <w:rPr>
                <w:rFonts w:cs="Times New Roman"/>
                <w:b/>
                <w:bCs/>
                <w:szCs w:val="24"/>
              </w:rPr>
              <w:t>ocial Safeguard Policies</w:t>
            </w:r>
          </w:p>
          <w:tbl>
            <w:tblPr>
              <w:tblStyle w:val="TableGrid"/>
              <w:tblW w:w="9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70"/>
              <w:gridCol w:w="5103"/>
            </w:tblGrid>
            <w:tr w:rsidR="00FD570A" w:rsidRPr="007B5C1C">
              <w:tc>
                <w:tcPr>
                  <w:tcW w:w="4570" w:type="dxa"/>
                </w:tcPr>
                <w:p w:rsidR="002508ED" w:rsidRPr="007B5C1C" w:rsidRDefault="00EA1F93" w:rsidP="002508ED">
                  <w:pPr>
                    <w:pStyle w:val="NormalWeb"/>
                    <w:keepNext/>
                    <w:keepLines/>
                    <w:widowControl/>
                    <w:numPr>
                      <w:ilvl w:val="0"/>
                      <w:numId w:val="1"/>
                    </w:numPr>
                    <w:spacing w:before="0" w:beforeAutospacing="0" w:after="200" w:afterAutospacing="0" w:line="276" w:lineRule="auto"/>
                    <w:ind w:left="318" w:right="284" w:hanging="284"/>
                    <w:rPr>
                      <w:b/>
                      <w:bCs/>
                      <w:sz w:val="24"/>
                    </w:rPr>
                  </w:pPr>
                  <w:r w:rsidRPr="007B5C1C">
                    <w:rPr>
                      <w:b/>
                      <w:bCs/>
                    </w:rPr>
                    <w:t>OP 4.01, Environmental Assessment</w:t>
                  </w:r>
                </w:p>
                <w:p w:rsidR="002508ED" w:rsidRPr="007B5C1C" w:rsidRDefault="00EA1F93" w:rsidP="002508ED">
                  <w:pPr>
                    <w:pStyle w:val="NormalWeb"/>
                    <w:keepNext/>
                    <w:keepLines/>
                    <w:widowControl/>
                    <w:numPr>
                      <w:ilvl w:val="0"/>
                      <w:numId w:val="1"/>
                    </w:numPr>
                    <w:spacing w:before="0" w:beforeAutospacing="0" w:after="200" w:afterAutospacing="0" w:line="276" w:lineRule="auto"/>
                    <w:ind w:left="318" w:right="284" w:hanging="284"/>
                    <w:rPr>
                      <w:b/>
                      <w:bCs/>
                      <w:sz w:val="24"/>
                    </w:rPr>
                  </w:pPr>
                  <w:r w:rsidRPr="007B5C1C">
                    <w:rPr>
                      <w:b/>
                      <w:bCs/>
                    </w:rPr>
                    <w:t>OP 4.04, Natural Habitats</w:t>
                  </w:r>
                </w:p>
                <w:p w:rsidR="002508ED" w:rsidRPr="007B5C1C" w:rsidRDefault="00EA1F93" w:rsidP="002508ED">
                  <w:pPr>
                    <w:pStyle w:val="NormalWeb"/>
                    <w:keepNext/>
                    <w:keepLines/>
                    <w:widowControl/>
                    <w:numPr>
                      <w:ilvl w:val="0"/>
                      <w:numId w:val="1"/>
                    </w:numPr>
                    <w:spacing w:before="0" w:beforeAutospacing="0" w:after="200" w:afterAutospacing="0" w:line="276" w:lineRule="auto"/>
                    <w:ind w:left="318" w:right="284" w:hanging="284"/>
                    <w:rPr>
                      <w:b/>
                      <w:sz w:val="24"/>
                    </w:rPr>
                  </w:pPr>
                  <w:r w:rsidRPr="007B5C1C">
                    <w:rPr>
                      <w:b/>
                      <w:bCs/>
                    </w:rPr>
                    <w:t xml:space="preserve">OP </w:t>
                  </w:r>
                  <w:r w:rsidRPr="007B5C1C">
                    <w:rPr>
                      <w:b/>
                    </w:rPr>
                    <w:t>4.09</w:t>
                  </w:r>
                  <w:r w:rsidR="006975DB" w:rsidRPr="007B5C1C">
                    <w:rPr>
                      <w:b/>
                    </w:rPr>
                    <w:t>,</w:t>
                  </w:r>
                  <w:r w:rsidRPr="007B5C1C">
                    <w:rPr>
                      <w:b/>
                    </w:rPr>
                    <w:t xml:space="preserve"> Pest Management </w:t>
                  </w:r>
                </w:p>
                <w:p w:rsidR="002508ED" w:rsidRPr="007B5C1C" w:rsidRDefault="00EA1F93" w:rsidP="002508ED">
                  <w:pPr>
                    <w:pStyle w:val="NormalWeb"/>
                    <w:keepNext/>
                    <w:keepLines/>
                    <w:widowControl/>
                    <w:numPr>
                      <w:ilvl w:val="0"/>
                      <w:numId w:val="8"/>
                    </w:numPr>
                    <w:spacing w:before="0" w:beforeAutospacing="0" w:after="200" w:afterAutospacing="0" w:line="276" w:lineRule="auto"/>
                    <w:ind w:left="318" w:right="284" w:hanging="284"/>
                    <w:rPr>
                      <w:b/>
                      <w:bCs/>
                      <w:sz w:val="24"/>
                    </w:rPr>
                  </w:pPr>
                  <w:r w:rsidRPr="007B5C1C">
                    <w:rPr>
                      <w:b/>
                      <w:bCs/>
                    </w:rPr>
                    <w:t>OP 4.10, Indigenous Peoples</w:t>
                  </w:r>
                </w:p>
              </w:tc>
              <w:tc>
                <w:tcPr>
                  <w:tcW w:w="5103" w:type="dxa"/>
                </w:tcPr>
                <w:p w:rsidR="002508ED" w:rsidRPr="007B5C1C" w:rsidRDefault="00EA1F93" w:rsidP="002508ED">
                  <w:pPr>
                    <w:pStyle w:val="NormalWeb"/>
                    <w:keepNext/>
                    <w:keepLines/>
                    <w:widowControl/>
                    <w:numPr>
                      <w:ilvl w:val="0"/>
                      <w:numId w:val="2"/>
                    </w:numPr>
                    <w:tabs>
                      <w:tab w:val="clear" w:pos="720"/>
                    </w:tabs>
                    <w:spacing w:before="0" w:beforeAutospacing="0" w:after="200" w:afterAutospacing="0" w:line="276" w:lineRule="auto"/>
                    <w:ind w:left="568" w:hanging="284"/>
                    <w:rPr>
                      <w:b/>
                      <w:bCs/>
                      <w:sz w:val="24"/>
                    </w:rPr>
                  </w:pPr>
                  <w:r w:rsidRPr="007B5C1C">
                    <w:rPr>
                      <w:b/>
                      <w:bCs/>
                    </w:rPr>
                    <w:t>OP 4.11</w:t>
                  </w:r>
                  <w:r w:rsidR="006975DB" w:rsidRPr="007B5C1C">
                    <w:rPr>
                      <w:b/>
                      <w:bCs/>
                    </w:rPr>
                    <w:t>,</w:t>
                  </w:r>
                  <w:r w:rsidRPr="007B5C1C">
                    <w:rPr>
                      <w:b/>
                      <w:bCs/>
                    </w:rPr>
                    <w:t xml:space="preserve"> Physical Cultural Resources</w:t>
                  </w:r>
                </w:p>
                <w:p w:rsidR="002508ED" w:rsidRPr="007B5C1C" w:rsidRDefault="00EA1F93" w:rsidP="002508ED">
                  <w:pPr>
                    <w:pStyle w:val="NormalWeb"/>
                    <w:keepNext/>
                    <w:keepLines/>
                    <w:widowControl/>
                    <w:numPr>
                      <w:ilvl w:val="0"/>
                      <w:numId w:val="2"/>
                    </w:numPr>
                    <w:tabs>
                      <w:tab w:val="clear" w:pos="720"/>
                    </w:tabs>
                    <w:spacing w:before="0" w:beforeAutospacing="0" w:after="200" w:afterAutospacing="0" w:line="276" w:lineRule="auto"/>
                    <w:ind w:left="568" w:hanging="284"/>
                    <w:rPr>
                      <w:b/>
                      <w:bCs/>
                      <w:sz w:val="24"/>
                    </w:rPr>
                  </w:pPr>
                  <w:r w:rsidRPr="007B5C1C">
                    <w:rPr>
                      <w:b/>
                      <w:bCs/>
                    </w:rPr>
                    <w:t>OP 4.12, Involuntary Resettlement</w:t>
                  </w:r>
                </w:p>
                <w:p w:rsidR="002508ED" w:rsidRPr="007B5C1C" w:rsidRDefault="00EA1F93" w:rsidP="002508ED">
                  <w:pPr>
                    <w:pStyle w:val="NormalWeb"/>
                    <w:keepNext/>
                    <w:keepLines/>
                    <w:widowControl/>
                    <w:numPr>
                      <w:ilvl w:val="0"/>
                      <w:numId w:val="2"/>
                    </w:numPr>
                    <w:tabs>
                      <w:tab w:val="clear" w:pos="720"/>
                    </w:tabs>
                    <w:spacing w:before="0" w:beforeAutospacing="0" w:after="200" w:afterAutospacing="0" w:line="276" w:lineRule="auto"/>
                    <w:ind w:left="568" w:hanging="284"/>
                    <w:rPr>
                      <w:b/>
                      <w:bCs/>
                      <w:sz w:val="24"/>
                    </w:rPr>
                  </w:pPr>
                  <w:r w:rsidRPr="007B5C1C">
                    <w:rPr>
                      <w:b/>
                    </w:rPr>
                    <w:t>OP 4.36, Forests</w:t>
                  </w:r>
                  <w:r w:rsidRPr="007B5C1C">
                    <w:rPr>
                      <w:b/>
                      <w:bCs/>
                    </w:rPr>
                    <w:t xml:space="preserve"> </w:t>
                  </w:r>
                </w:p>
                <w:p w:rsidR="002508ED" w:rsidRPr="007B5C1C" w:rsidRDefault="00EA1F93" w:rsidP="002508ED">
                  <w:pPr>
                    <w:pStyle w:val="NormalWeb"/>
                    <w:keepNext/>
                    <w:keepLines/>
                    <w:widowControl/>
                    <w:numPr>
                      <w:ilvl w:val="0"/>
                      <w:numId w:val="2"/>
                    </w:numPr>
                    <w:tabs>
                      <w:tab w:val="clear" w:pos="720"/>
                    </w:tabs>
                    <w:spacing w:before="0" w:beforeAutospacing="0" w:after="200" w:afterAutospacing="0" w:line="276" w:lineRule="auto"/>
                    <w:ind w:left="568" w:hanging="284"/>
                    <w:rPr>
                      <w:b/>
                      <w:bCs/>
                      <w:sz w:val="24"/>
                    </w:rPr>
                  </w:pPr>
                  <w:r w:rsidRPr="007B5C1C">
                    <w:rPr>
                      <w:b/>
                      <w:bCs/>
                    </w:rPr>
                    <w:t>OP 4.37, Safety of Dams</w:t>
                  </w:r>
                </w:p>
              </w:tc>
            </w:tr>
          </w:tbl>
          <w:p w:rsidR="002508ED" w:rsidRPr="007B5C1C" w:rsidRDefault="002508ED" w:rsidP="002508ED">
            <w:pPr>
              <w:pStyle w:val="ListParagraph"/>
              <w:keepNext/>
              <w:keepLines/>
              <w:widowControl/>
              <w:autoSpaceDE w:val="0"/>
              <w:autoSpaceDN w:val="0"/>
              <w:adjustRightInd w:val="0"/>
              <w:spacing w:before="0" w:after="200" w:line="276" w:lineRule="auto"/>
              <w:ind w:left="1800" w:right="547"/>
              <w:contextualSpacing w:val="0"/>
              <w:jc w:val="both"/>
              <w:rPr>
                <w:sz w:val="24"/>
              </w:rPr>
            </w:pPr>
          </w:p>
        </w:tc>
      </w:tr>
    </w:tbl>
    <w:p w:rsidR="00494627" w:rsidRPr="007B5C1C" w:rsidRDefault="00494627" w:rsidP="00494627">
      <w:pPr>
        <w:widowControl/>
        <w:autoSpaceDE w:val="0"/>
        <w:autoSpaceDN w:val="0"/>
        <w:adjustRightInd w:val="0"/>
        <w:spacing w:after="200" w:line="276" w:lineRule="auto"/>
        <w:ind w:right="547"/>
        <w:jc w:val="both"/>
        <w:rPr>
          <w:rFonts w:cs="Times New Roman"/>
          <w:b/>
          <w:bCs/>
          <w:i/>
          <w:szCs w:val="24"/>
        </w:rPr>
      </w:pPr>
    </w:p>
    <w:p w:rsidR="002508ED" w:rsidRPr="007B5C1C" w:rsidRDefault="00EA1F93" w:rsidP="00F668DA">
      <w:pPr>
        <w:pStyle w:val="ippara2"/>
        <w:rPr>
          <w:rFonts w:cs="Times New Roman"/>
          <w:bCs/>
          <w:szCs w:val="24"/>
        </w:rPr>
      </w:pPr>
      <w:r w:rsidRPr="007B5C1C">
        <w:t>OP 7.50 Projects on International Waterways has been undergoing a process of revision.</w:t>
      </w:r>
      <w:r w:rsidR="00467DFC" w:rsidRPr="007B5C1C">
        <w:t xml:space="preserve"> </w:t>
      </w:r>
      <w:r w:rsidRPr="007B5C1C">
        <w:t xml:space="preserve">Upon completion of this process, the Bank will consider the policy’s status in relation to </w:t>
      </w:r>
      <w:r w:rsidR="00C73DA8" w:rsidRPr="007B5C1C">
        <w:t>the review and update process</w:t>
      </w:r>
      <w:r w:rsidRPr="007B5C1C">
        <w:t>.</w:t>
      </w:r>
      <w:r w:rsidR="00467DFC" w:rsidRPr="007B5C1C">
        <w:t xml:space="preserve"> </w:t>
      </w:r>
      <w:r w:rsidR="00182397" w:rsidRPr="007B5C1C">
        <w:rPr>
          <w:rFonts w:cs="Times New Roman"/>
          <w:bCs/>
          <w:szCs w:val="24"/>
        </w:rPr>
        <w:t xml:space="preserve">OP 7.60 </w:t>
      </w:r>
      <w:r w:rsidR="00F137F1" w:rsidRPr="007B5C1C">
        <w:rPr>
          <w:rFonts w:cs="Times New Roman"/>
          <w:bCs/>
          <w:szCs w:val="24"/>
        </w:rPr>
        <w:t xml:space="preserve">on Projects in Disputed Areas will not be part of this process. </w:t>
      </w:r>
    </w:p>
    <w:p w:rsidR="00AD3CE8" w:rsidRPr="007B5C1C" w:rsidRDefault="00EA1F93">
      <w:pPr>
        <w:pStyle w:val="ippara2"/>
        <w:rPr>
          <w:rFonts w:cs="Times New Roman"/>
          <w:bCs/>
          <w:szCs w:val="24"/>
        </w:rPr>
      </w:pPr>
      <w:r w:rsidRPr="007B5C1C">
        <w:t>In addition, the Bank may review other relevant Operational Policies, such as some of the remaining Operational Policies in the OP 4 series</w:t>
      </w:r>
      <w:r w:rsidR="00D42D4C" w:rsidRPr="007B5C1C">
        <w:t>,</w:t>
      </w:r>
      <w:r w:rsidRPr="007B5C1C">
        <w:t xml:space="preserve"> as well as past Operational Policies.</w:t>
      </w:r>
      <w:r w:rsidR="00467DFC" w:rsidRPr="007B5C1C">
        <w:t xml:space="preserve"> </w:t>
      </w:r>
      <w:r w:rsidR="002508ED" w:rsidRPr="007B5C1C">
        <w:t>The Bank will not review BP 17.55, Inspection Panel through this review and update process.</w:t>
      </w:r>
    </w:p>
    <w:p w:rsidR="00AD3CE8" w:rsidRPr="007B5C1C" w:rsidRDefault="00B03213">
      <w:pPr>
        <w:pStyle w:val="ippara2"/>
        <w:rPr>
          <w:rFonts w:cs="Times New Roman"/>
          <w:bCs/>
          <w:szCs w:val="24"/>
        </w:rPr>
      </w:pPr>
      <w:r w:rsidRPr="007B5C1C">
        <w:rPr>
          <w:b/>
          <w:i/>
        </w:rPr>
        <w:t>Borro</w:t>
      </w:r>
      <w:r w:rsidR="00217629" w:rsidRPr="007B5C1C">
        <w:rPr>
          <w:b/>
          <w:i/>
        </w:rPr>
        <w:t>wer institutions and systems</w:t>
      </w:r>
      <w:r w:rsidRPr="007B5C1C">
        <w:rPr>
          <w:b/>
          <w:i/>
        </w:rPr>
        <w:t>.</w:t>
      </w:r>
      <w:r w:rsidR="0095163E" w:rsidRPr="007B5C1C">
        <w:rPr>
          <w:b/>
          <w:i/>
        </w:rPr>
        <w:t xml:space="preserve"> </w:t>
      </w:r>
      <w:r w:rsidRPr="007B5C1C">
        <w:t xml:space="preserve">The Bank will </w:t>
      </w:r>
      <w:r w:rsidR="00217629" w:rsidRPr="007B5C1C">
        <w:t xml:space="preserve">seek its </w:t>
      </w:r>
      <w:r w:rsidR="005E4540" w:rsidRPr="007B5C1C">
        <w:t>borrowers’</w:t>
      </w:r>
      <w:r w:rsidR="00217629" w:rsidRPr="007B5C1C">
        <w:t xml:space="preserve"> views and suggestions on </w:t>
      </w:r>
      <w:r w:rsidRPr="007B5C1C">
        <w:t xml:space="preserve">how </w:t>
      </w:r>
      <w:r w:rsidR="00217629" w:rsidRPr="007B5C1C">
        <w:t>the Bank</w:t>
      </w:r>
      <w:r w:rsidRPr="007B5C1C">
        <w:t xml:space="preserve"> can better support </w:t>
      </w:r>
      <w:r w:rsidR="00217629" w:rsidRPr="007B5C1C">
        <w:t>and</w:t>
      </w:r>
      <w:r w:rsidRPr="007B5C1C">
        <w:t xml:space="preserve"> strengthen </w:t>
      </w:r>
      <w:r w:rsidR="005E4540" w:rsidRPr="007B5C1C">
        <w:t>borrower</w:t>
      </w:r>
      <w:r w:rsidRPr="007B5C1C">
        <w:t xml:space="preserve"> institutions and systems</w:t>
      </w:r>
      <w:r w:rsidR="00217629" w:rsidRPr="007B5C1C">
        <w:t xml:space="preserve"> t</w:t>
      </w:r>
      <w:r w:rsidRPr="007B5C1C">
        <w:t>o deliver measurable results.</w:t>
      </w:r>
      <w:r w:rsidR="0095163E" w:rsidRPr="007B5C1C">
        <w:t xml:space="preserve"> </w:t>
      </w:r>
      <w:r w:rsidR="007D5BF5" w:rsidRPr="007B5C1C">
        <w:t>Starting with</w:t>
      </w:r>
      <w:r w:rsidRPr="007B5C1C">
        <w:t xml:space="preserve"> the first phase of </w:t>
      </w:r>
      <w:r w:rsidR="005A68CD" w:rsidRPr="007B5C1C">
        <w:t>consultation (see below)</w:t>
      </w:r>
      <w:r w:rsidR="007D5BF5" w:rsidRPr="007B5C1C">
        <w:t xml:space="preserve"> and throughout the period of review and update</w:t>
      </w:r>
      <w:r w:rsidRPr="007B5C1C">
        <w:t xml:space="preserve">, the Bank will organize meetings with </w:t>
      </w:r>
      <w:r w:rsidR="005A68CD" w:rsidRPr="007B5C1C">
        <w:t xml:space="preserve">the offices of the Executive Directors as well as </w:t>
      </w:r>
      <w:r w:rsidR="005E4540" w:rsidRPr="007B5C1C">
        <w:t>borrower</w:t>
      </w:r>
      <w:r w:rsidR="005A68CD" w:rsidRPr="007B5C1C">
        <w:t>s’ in-country</w:t>
      </w:r>
      <w:r w:rsidRPr="007B5C1C">
        <w:t xml:space="preserve"> representatives</w:t>
      </w:r>
      <w:r w:rsidR="005A68CD" w:rsidRPr="007B5C1C">
        <w:t xml:space="preserve"> </w:t>
      </w:r>
      <w:r w:rsidR="004540BF" w:rsidRPr="007B5C1C">
        <w:t xml:space="preserve">and relevant agencies </w:t>
      </w:r>
      <w:r w:rsidRPr="007B5C1C">
        <w:t>to seek their views and suggestions.</w:t>
      </w:r>
      <w:r w:rsidR="0095163E" w:rsidRPr="007B5C1C">
        <w:t xml:space="preserve"> </w:t>
      </w:r>
    </w:p>
    <w:p w:rsidR="00AD3CE8" w:rsidRPr="007B5C1C" w:rsidRDefault="00EA1F93">
      <w:pPr>
        <w:pStyle w:val="ippara2"/>
        <w:rPr>
          <w:rFonts w:cs="Times New Roman"/>
          <w:bCs/>
          <w:szCs w:val="24"/>
        </w:rPr>
      </w:pPr>
      <w:r w:rsidRPr="007B5C1C">
        <w:rPr>
          <w:b/>
          <w:i/>
        </w:rPr>
        <w:t>Addressing social issues.</w:t>
      </w:r>
      <w:r w:rsidR="00467DFC" w:rsidRPr="007B5C1C">
        <w:rPr>
          <w:b/>
          <w:i/>
        </w:rPr>
        <w:t xml:space="preserve"> </w:t>
      </w:r>
      <w:r w:rsidRPr="007B5C1C">
        <w:t xml:space="preserve">The review will consider ways in which </w:t>
      </w:r>
      <w:r w:rsidR="0005062E" w:rsidRPr="007B5C1C">
        <w:t xml:space="preserve">an </w:t>
      </w:r>
      <w:r w:rsidR="00ED7E5C" w:rsidRPr="007B5C1C">
        <w:t>i</w:t>
      </w:r>
      <w:r w:rsidR="0005062E" w:rsidRPr="007B5C1C">
        <w:t xml:space="preserve">ntegrated </w:t>
      </w:r>
      <w:r w:rsidR="00ED7E5C" w:rsidRPr="007B5C1C">
        <w:t>f</w:t>
      </w:r>
      <w:r w:rsidR="0005062E" w:rsidRPr="007B5C1C">
        <w:t xml:space="preserve">ramework </w:t>
      </w:r>
      <w:r w:rsidRPr="007B5C1C">
        <w:t xml:space="preserve">could </w:t>
      </w:r>
      <w:r w:rsidR="003146EA" w:rsidRPr="007B5C1C">
        <w:t xml:space="preserve">better </w:t>
      </w:r>
      <w:r w:rsidRPr="007B5C1C">
        <w:t xml:space="preserve">ensure a </w:t>
      </w:r>
      <w:r w:rsidR="00ED7E5C" w:rsidRPr="007B5C1C">
        <w:t>comprehensive treatment</w:t>
      </w:r>
      <w:r w:rsidRPr="007B5C1C">
        <w:t xml:space="preserve"> of environmental and social risks and opportunities within an integrated assessment process</w:t>
      </w:r>
      <w:r w:rsidR="00D42D4C" w:rsidRPr="007B5C1C">
        <w:t xml:space="preserve"> that would complement</w:t>
      </w:r>
      <w:r w:rsidRPr="007B5C1C">
        <w:t xml:space="preserve"> the continued use of specific process</w:t>
      </w:r>
      <w:r w:rsidR="000B62E6" w:rsidRPr="007B5C1C">
        <w:t>es</w:t>
      </w:r>
      <w:r w:rsidRPr="007B5C1C">
        <w:t xml:space="preserve"> for projects involving involuntary resettlement or Indigenous Peoples.</w:t>
      </w:r>
      <w:r w:rsidR="00467DFC" w:rsidRPr="007B5C1C">
        <w:t xml:space="preserve"> </w:t>
      </w:r>
      <w:r w:rsidRPr="007B5C1C">
        <w:t xml:space="preserve">Disclosure of information, consultation, ongoing community and stakeholder engagement, </w:t>
      </w:r>
      <w:r w:rsidR="00182397" w:rsidRPr="007B5C1C">
        <w:t xml:space="preserve">dispute resolution and prevention, </w:t>
      </w:r>
      <w:r w:rsidRPr="007B5C1C">
        <w:t>and grievance management at the project or program level will also be reviewed.</w:t>
      </w:r>
    </w:p>
    <w:p w:rsidR="00AD3CE8" w:rsidRPr="007B5C1C" w:rsidRDefault="00EA1F93">
      <w:pPr>
        <w:pStyle w:val="ippara2"/>
        <w:rPr>
          <w:rFonts w:cs="Times New Roman"/>
          <w:bCs/>
          <w:szCs w:val="24"/>
        </w:rPr>
      </w:pPr>
      <w:r w:rsidRPr="007B5C1C">
        <w:rPr>
          <w:b/>
          <w:i/>
        </w:rPr>
        <w:t>Addressing issues covered under the IFC Performance Standards.</w:t>
      </w:r>
      <w:r w:rsidR="00467DFC" w:rsidRPr="007B5C1C">
        <w:t xml:space="preserve"> </w:t>
      </w:r>
      <w:r w:rsidRPr="007B5C1C">
        <w:t xml:space="preserve">IFC in its 2006 </w:t>
      </w:r>
      <w:r w:rsidR="000B62E6" w:rsidRPr="007B5C1C">
        <w:t xml:space="preserve">and 2012 </w:t>
      </w:r>
      <w:r w:rsidRPr="007B5C1C">
        <w:t>version</w:t>
      </w:r>
      <w:r w:rsidR="000B62E6" w:rsidRPr="007B5C1C">
        <w:t>s</w:t>
      </w:r>
      <w:r w:rsidRPr="007B5C1C">
        <w:t xml:space="preserve"> of the Performance Standards included several new areas of coverage.</w:t>
      </w:r>
      <w:r w:rsidR="00503364" w:rsidRPr="007B5C1C">
        <w:rPr>
          <w:rStyle w:val="FootnoteReference"/>
        </w:rPr>
        <w:footnoteReference w:id="12"/>
      </w:r>
      <w:r w:rsidR="00467DFC" w:rsidRPr="007B5C1C">
        <w:t xml:space="preserve"> </w:t>
      </w:r>
      <w:r w:rsidRPr="007B5C1C">
        <w:t xml:space="preserve">These are areas of risk that IFC identified as commonly recurring in international projects, and hence </w:t>
      </w:r>
      <w:r w:rsidR="000B62E6" w:rsidRPr="007B5C1C">
        <w:t>requir</w:t>
      </w:r>
      <w:r w:rsidR="003354F3" w:rsidRPr="007B5C1C">
        <w:t>e</w:t>
      </w:r>
      <w:r w:rsidR="000B62E6" w:rsidRPr="007B5C1C">
        <w:t xml:space="preserve"> </w:t>
      </w:r>
      <w:r w:rsidRPr="007B5C1C">
        <w:t xml:space="preserve">review in IFC’s process of </w:t>
      </w:r>
      <w:r w:rsidR="004540BF" w:rsidRPr="007B5C1C">
        <w:t xml:space="preserve">project </w:t>
      </w:r>
      <w:r w:rsidRPr="007B5C1C">
        <w:t>appraisal and supervision.</w:t>
      </w:r>
      <w:r w:rsidR="00467DFC" w:rsidRPr="007B5C1C">
        <w:t xml:space="preserve"> </w:t>
      </w:r>
      <w:r w:rsidRPr="007B5C1C">
        <w:t>IFC experience indicates that addressing these issues enables investments in high-risk contexts.</w:t>
      </w:r>
      <w:r w:rsidR="00467DFC" w:rsidRPr="007B5C1C">
        <w:t xml:space="preserve"> </w:t>
      </w:r>
      <w:r w:rsidRPr="007B5C1C">
        <w:t xml:space="preserve">While IFC’s treatment of </w:t>
      </w:r>
      <w:r w:rsidRPr="007B5C1C">
        <w:lastRenderedPageBreak/>
        <w:t xml:space="preserve">these risks is designed for </w:t>
      </w:r>
      <w:r w:rsidR="000B62E6" w:rsidRPr="007B5C1C">
        <w:t xml:space="preserve">its </w:t>
      </w:r>
      <w:r w:rsidR="00D42D4C" w:rsidRPr="007B5C1C">
        <w:t xml:space="preserve">private-sector focused </w:t>
      </w:r>
      <w:r w:rsidRPr="007B5C1C">
        <w:t xml:space="preserve">business model, it </w:t>
      </w:r>
      <w:r w:rsidR="00D42D4C" w:rsidRPr="007B5C1C">
        <w:t xml:space="preserve">would </w:t>
      </w:r>
      <w:r w:rsidRPr="007B5C1C">
        <w:t xml:space="preserve">be informative for the Bank to consider such areas of risk in </w:t>
      </w:r>
      <w:r w:rsidR="00D42D4C" w:rsidRPr="007B5C1C">
        <w:t xml:space="preserve">this </w:t>
      </w:r>
      <w:r w:rsidRPr="007B5C1C">
        <w:t>review process.</w:t>
      </w:r>
    </w:p>
    <w:p w:rsidR="00AD3CE8" w:rsidRPr="007B5C1C" w:rsidRDefault="00EA1F93">
      <w:pPr>
        <w:pStyle w:val="ippara2"/>
        <w:rPr>
          <w:rFonts w:cs="Times New Roman"/>
          <w:bCs/>
          <w:szCs w:val="24"/>
        </w:rPr>
      </w:pPr>
      <w:r w:rsidRPr="007B5C1C">
        <w:rPr>
          <w:b/>
          <w:i/>
        </w:rPr>
        <w:t xml:space="preserve">Addressing </w:t>
      </w:r>
      <w:r w:rsidR="00947600" w:rsidRPr="007B5C1C">
        <w:rPr>
          <w:b/>
          <w:i/>
        </w:rPr>
        <w:t xml:space="preserve">emerging </w:t>
      </w:r>
      <w:r w:rsidR="007C4C88" w:rsidRPr="007B5C1C">
        <w:rPr>
          <w:b/>
          <w:i/>
        </w:rPr>
        <w:t>area</w:t>
      </w:r>
      <w:r w:rsidRPr="007B5C1C">
        <w:rPr>
          <w:b/>
          <w:i/>
        </w:rPr>
        <w:t>s.</w:t>
      </w:r>
      <w:r w:rsidR="00467DFC" w:rsidRPr="007B5C1C">
        <w:t xml:space="preserve"> </w:t>
      </w:r>
      <w:r w:rsidR="00D42D4C" w:rsidRPr="007B5C1C">
        <w:t xml:space="preserve">Some </w:t>
      </w:r>
      <w:r w:rsidR="00B03213" w:rsidRPr="007B5C1C">
        <w:t>stakeholders have requested the Bank</w:t>
      </w:r>
      <w:r w:rsidR="00947600" w:rsidRPr="007B5C1C">
        <w:t xml:space="preserve"> </w:t>
      </w:r>
      <w:r w:rsidRPr="007B5C1C">
        <w:t>to consider in the review and update process</w:t>
      </w:r>
      <w:r w:rsidR="003146EA" w:rsidRPr="007B5C1C">
        <w:t xml:space="preserve"> a number of </w:t>
      </w:r>
      <w:r w:rsidR="007C4C88" w:rsidRPr="007B5C1C">
        <w:t>areas</w:t>
      </w:r>
      <w:r w:rsidR="003146EA" w:rsidRPr="007B5C1C">
        <w:t xml:space="preserve"> that are not addressed under the current set of </w:t>
      </w:r>
      <w:r w:rsidR="00E62FB2" w:rsidRPr="007B5C1C">
        <w:t>safeguard polic</w:t>
      </w:r>
      <w:r w:rsidR="003146EA" w:rsidRPr="007B5C1C">
        <w:t>ies</w:t>
      </w:r>
      <w:r w:rsidRPr="007B5C1C">
        <w:t>. These include human rights, labor</w:t>
      </w:r>
      <w:r w:rsidR="00F33445" w:rsidRPr="007B5C1C">
        <w:t xml:space="preserve"> and</w:t>
      </w:r>
      <w:r w:rsidRPr="007B5C1C">
        <w:t xml:space="preserve"> occupational health and safety, gender, disability, the free, prior, and informed consent of Indigenous Peoples, </w:t>
      </w:r>
      <w:r w:rsidR="00C95FD3" w:rsidRPr="007B5C1C">
        <w:t xml:space="preserve">land </w:t>
      </w:r>
      <w:r w:rsidR="00E05FD8" w:rsidRPr="007B5C1C">
        <w:t xml:space="preserve">tenure </w:t>
      </w:r>
      <w:r w:rsidR="00C95FD3" w:rsidRPr="007B5C1C">
        <w:t xml:space="preserve">and natural resources, </w:t>
      </w:r>
      <w:r w:rsidRPr="007B5C1C">
        <w:t>and climate change.</w:t>
      </w:r>
      <w:r w:rsidR="00467DFC" w:rsidRPr="007B5C1C">
        <w:t xml:space="preserve"> </w:t>
      </w:r>
      <w:r w:rsidR="001272E9" w:rsidRPr="007B5C1C">
        <w:rPr>
          <w:bCs/>
        </w:rPr>
        <w:t>Examination of these areas, and if and how they can best be addressed by the Bank, will be part of the review process.</w:t>
      </w:r>
      <w:r w:rsidR="001272E9" w:rsidRPr="007B5C1C" w:rsidDel="00AF4A3A">
        <w:rPr>
          <w:bCs/>
        </w:rPr>
        <w:t xml:space="preserve"> </w:t>
      </w:r>
      <w:r w:rsidR="008B161E" w:rsidRPr="007B5C1C">
        <w:rPr>
          <w:bCs/>
        </w:rPr>
        <w:t>T</w:t>
      </w:r>
      <w:r w:rsidR="00AF3E46" w:rsidRPr="007B5C1C">
        <w:rPr>
          <w:bCs/>
        </w:rPr>
        <w:t>he Bank</w:t>
      </w:r>
      <w:r w:rsidR="00C95FD3" w:rsidRPr="007B5C1C">
        <w:rPr>
          <w:bCs/>
        </w:rPr>
        <w:t xml:space="preserve"> will </w:t>
      </w:r>
      <w:r w:rsidR="008B161E" w:rsidRPr="007B5C1C">
        <w:rPr>
          <w:bCs/>
        </w:rPr>
        <w:t xml:space="preserve">undertake an </w:t>
      </w:r>
      <w:r w:rsidR="00C95FD3" w:rsidRPr="007B5C1C">
        <w:rPr>
          <w:bCs/>
        </w:rPr>
        <w:t>internal dialogue</w:t>
      </w:r>
      <w:r w:rsidR="008B161E" w:rsidRPr="007B5C1C">
        <w:rPr>
          <w:bCs/>
        </w:rPr>
        <w:t xml:space="preserve"> on these areas</w:t>
      </w:r>
      <w:r w:rsidR="00C95FD3" w:rsidRPr="007B5C1C">
        <w:rPr>
          <w:bCs/>
        </w:rPr>
        <w:t xml:space="preserve">, followed by consultations with </w:t>
      </w:r>
      <w:r w:rsidR="00E05FD8" w:rsidRPr="007B5C1C">
        <w:rPr>
          <w:bCs/>
        </w:rPr>
        <w:t xml:space="preserve">shareholders and </w:t>
      </w:r>
      <w:r w:rsidR="00C95FD3" w:rsidRPr="007B5C1C">
        <w:rPr>
          <w:bCs/>
        </w:rPr>
        <w:t>external experts</w:t>
      </w:r>
      <w:r w:rsidR="00F33445" w:rsidRPr="007B5C1C">
        <w:rPr>
          <w:bCs/>
        </w:rPr>
        <w:t>.</w:t>
      </w:r>
      <w:r w:rsidR="003354F3" w:rsidRPr="007B5C1C">
        <w:rPr>
          <w:bCs/>
        </w:rPr>
        <w:t xml:space="preserve"> </w:t>
      </w:r>
    </w:p>
    <w:p w:rsidR="00AD3CE8" w:rsidRPr="007B5C1C" w:rsidRDefault="00EA1F93">
      <w:pPr>
        <w:pStyle w:val="ippara2"/>
        <w:rPr>
          <w:rFonts w:cs="Times New Roman"/>
          <w:szCs w:val="24"/>
        </w:rPr>
      </w:pPr>
      <w:r w:rsidRPr="007B5C1C">
        <w:rPr>
          <w:b/>
          <w:i/>
        </w:rPr>
        <w:t xml:space="preserve">Analyses of </w:t>
      </w:r>
      <w:r w:rsidR="00621F44" w:rsidRPr="007B5C1C">
        <w:rPr>
          <w:b/>
          <w:i/>
        </w:rPr>
        <w:t>l</w:t>
      </w:r>
      <w:r w:rsidRPr="007B5C1C">
        <w:rPr>
          <w:b/>
          <w:i/>
        </w:rPr>
        <w:t xml:space="preserve">essons </w:t>
      </w:r>
      <w:r w:rsidR="00621F44" w:rsidRPr="007B5C1C">
        <w:rPr>
          <w:b/>
          <w:i/>
        </w:rPr>
        <w:t>l</w:t>
      </w:r>
      <w:r w:rsidRPr="007B5C1C">
        <w:rPr>
          <w:b/>
          <w:i/>
        </w:rPr>
        <w:t>earned.</w:t>
      </w:r>
      <w:r w:rsidR="00467DFC" w:rsidRPr="007B5C1C">
        <w:t xml:space="preserve"> </w:t>
      </w:r>
      <w:r w:rsidRPr="007B5C1C">
        <w:t xml:space="preserve">The Bank’s past </w:t>
      </w:r>
      <w:r w:rsidR="00A46BE0" w:rsidRPr="007B5C1C">
        <w:t xml:space="preserve">and ongoing </w:t>
      </w:r>
      <w:r w:rsidR="00947600" w:rsidRPr="007B5C1C">
        <w:t xml:space="preserve">analytical work and </w:t>
      </w:r>
      <w:r w:rsidRPr="007B5C1C">
        <w:t xml:space="preserve">reviews, </w:t>
      </w:r>
      <w:r w:rsidR="00431EC9" w:rsidRPr="007B5C1C">
        <w:t>as well as lessons learned from past evaluations and compliance reviews will inform the review and update process.</w:t>
      </w:r>
      <w:r w:rsidR="0095163E" w:rsidRPr="007B5C1C">
        <w:t xml:space="preserve"> </w:t>
      </w:r>
      <w:r w:rsidR="00431EC9" w:rsidRPr="007B5C1C">
        <w:t xml:space="preserve">Over the last few months, the Bank has engaged in discussions with its multilateral and bilateral development partners to identify their lessons learned </w:t>
      </w:r>
      <w:r w:rsidR="00820EEE" w:rsidRPr="007B5C1C">
        <w:t xml:space="preserve">from </w:t>
      </w:r>
      <w:r w:rsidR="00431EC9" w:rsidRPr="007B5C1C">
        <w:t>and innovation</w:t>
      </w:r>
      <w:r w:rsidR="00820EEE" w:rsidRPr="007B5C1C">
        <w:t>s</w:t>
      </w:r>
      <w:r w:rsidR="00431EC9" w:rsidRPr="007B5C1C">
        <w:t xml:space="preserve"> </w:t>
      </w:r>
      <w:r w:rsidR="00820EEE" w:rsidRPr="007B5C1C">
        <w:t xml:space="preserve">in </w:t>
      </w:r>
      <w:r w:rsidR="00431EC9" w:rsidRPr="007B5C1C">
        <w:t xml:space="preserve">their application of environmental and social policies. </w:t>
      </w:r>
      <w:r w:rsidR="00C36BAA" w:rsidRPr="007B5C1C">
        <w:t>It will be instructive to consider t</w:t>
      </w:r>
      <w:r w:rsidR="00431EC9" w:rsidRPr="007B5C1C">
        <w:t xml:space="preserve">he experience of IFC’s application of the Sustainability Framework designed specifically for private sector projects as well as the approach taken by some </w:t>
      </w:r>
      <w:r w:rsidR="00C36BAA" w:rsidRPr="007B5C1C">
        <w:t>MDB</w:t>
      </w:r>
      <w:r w:rsidR="00431EC9" w:rsidRPr="007B5C1C">
        <w:t xml:space="preserve">s that </w:t>
      </w:r>
      <w:r w:rsidR="00E3241A" w:rsidRPr="007B5C1C">
        <w:t>developed</w:t>
      </w:r>
      <w:r w:rsidR="00431EC9" w:rsidRPr="007B5C1C">
        <w:t xml:space="preserve"> their safeguard policies to meet both public and private sector project needs.</w:t>
      </w:r>
      <w:r w:rsidR="0095163E" w:rsidRPr="007B5C1C">
        <w:t xml:space="preserve"> </w:t>
      </w:r>
    </w:p>
    <w:p w:rsidR="00AD3CE8" w:rsidRPr="007B5C1C" w:rsidRDefault="00710D3B">
      <w:pPr>
        <w:pStyle w:val="ippara2"/>
        <w:rPr>
          <w:rFonts w:cs="Times New Roman"/>
          <w:bCs/>
          <w:szCs w:val="24"/>
        </w:rPr>
      </w:pPr>
      <w:r w:rsidRPr="007B5C1C">
        <w:rPr>
          <w:b/>
          <w:bCs/>
          <w:i/>
        </w:rPr>
        <w:t>Consideration</w:t>
      </w:r>
      <w:r w:rsidR="006D3175" w:rsidRPr="007B5C1C">
        <w:rPr>
          <w:b/>
          <w:bCs/>
          <w:i/>
        </w:rPr>
        <w:t xml:space="preserve"> of policy and non-policy options</w:t>
      </w:r>
      <w:r w:rsidR="00820EEE" w:rsidRPr="007B5C1C">
        <w:rPr>
          <w:b/>
          <w:bCs/>
          <w:i/>
        </w:rPr>
        <w:t>.</w:t>
      </w:r>
      <w:r w:rsidR="006D3175" w:rsidRPr="007B5C1C">
        <w:rPr>
          <w:b/>
          <w:bCs/>
          <w:i/>
        </w:rPr>
        <w:t xml:space="preserve"> </w:t>
      </w:r>
      <w:r w:rsidR="006D3175" w:rsidRPr="007B5C1C">
        <w:rPr>
          <w:bCs/>
        </w:rPr>
        <w:t xml:space="preserve">While </w:t>
      </w:r>
      <w:r w:rsidR="006D3175" w:rsidRPr="007B5C1C">
        <w:t xml:space="preserve">the Bank </w:t>
      </w:r>
      <w:r w:rsidR="00955221" w:rsidRPr="007B5C1C">
        <w:t>will engage in</w:t>
      </w:r>
      <w:r w:rsidR="006D3175" w:rsidRPr="007B5C1C">
        <w:t xml:space="preserve"> a process of inquiry </w:t>
      </w:r>
      <w:r w:rsidR="00955221" w:rsidRPr="007B5C1C">
        <w:t xml:space="preserve">into the </w:t>
      </w:r>
      <w:r w:rsidR="0064711E" w:rsidRPr="007B5C1C">
        <w:t>areas</w:t>
      </w:r>
      <w:r w:rsidR="006D3175" w:rsidRPr="007B5C1C">
        <w:t xml:space="preserve"> described in the paragraphs above, there</w:t>
      </w:r>
      <w:r w:rsidR="00965882" w:rsidRPr="007B5C1C">
        <w:t xml:space="preserve"> are a number of possible ways to address them, </w:t>
      </w:r>
      <w:r w:rsidR="003354F3" w:rsidRPr="007B5C1C">
        <w:t xml:space="preserve">and not all may be appropriate to be expressed in the form of </w:t>
      </w:r>
      <w:r w:rsidR="00965882" w:rsidRPr="007B5C1C">
        <w:t>safeguard policy.</w:t>
      </w:r>
      <w:r w:rsidR="0095163E" w:rsidRPr="007B5C1C">
        <w:t xml:space="preserve"> </w:t>
      </w:r>
      <w:r w:rsidR="006D3175" w:rsidRPr="007B5C1C">
        <w:t xml:space="preserve">Other </w:t>
      </w:r>
      <w:r w:rsidR="00992911" w:rsidRPr="007B5C1C">
        <w:t xml:space="preserve">potential </w:t>
      </w:r>
      <w:r w:rsidR="006D3175" w:rsidRPr="007B5C1C">
        <w:t xml:space="preserve">options </w:t>
      </w:r>
      <w:r w:rsidR="00965882" w:rsidRPr="007B5C1C">
        <w:t xml:space="preserve">available </w:t>
      </w:r>
      <w:r w:rsidR="006D3175" w:rsidRPr="007B5C1C">
        <w:t>include addressing issue</w:t>
      </w:r>
      <w:r w:rsidR="00820EEE" w:rsidRPr="007B5C1C">
        <w:t>s</w:t>
      </w:r>
      <w:r w:rsidR="006D3175" w:rsidRPr="007B5C1C">
        <w:t xml:space="preserve"> as </w:t>
      </w:r>
      <w:r w:rsidR="003F5FCB" w:rsidRPr="007B5C1C">
        <w:t>part of the</w:t>
      </w:r>
      <w:r w:rsidR="006D3175" w:rsidRPr="007B5C1C">
        <w:t xml:space="preserve"> principles, procedure</w:t>
      </w:r>
      <w:r w:rsidR="00820EEE" w:rsidRPr="007B5C1C">
        <w:t>s</w:t>
      </w:r>
      <w:r w:rsidR="006D3175" w:rsidRPr="007B5C1C">
        <w:t>, or guidance</w:t>
      </w:r>
      <w:r w:rsidR="00AF3E46" w:rsidRPr="007B5C1C">
        <w:t xml:space="preserve"> in </w:t>
      </w:r>
      <w:r w:rsidR="00820EEE" w:rsidRPr="007B5C1C">
        <w:t xml:space="preserve">an </w:t>
      </w:r>
      <w:r w:rsidR="00AF3E46" w:rsidRPr="007B5C1C">
        <w:t>integrated framework</w:t>
      </w:r>
      <w:r w:rsidR="006D3175" w:rsidRPr="007B5C1C">
        <w:t xml:space="preserve">, or through </w:t>
      </w:r>
      <w:r w:rsidR="003F5FCB" w:rsidRPr="007B5C1C">
        <w:t>other Bank interventions</w:t>
      </w:r>
      <w:r w:rsidR="00965882" w:rsidRPr="007B5C1C">
        <w:t xml:space="preserve"> such as </w:t>
      </w:r>
      <w:r w:rsidR="003F5FCB" w:rsidRPr="007B5C1C">
        <w:t xml:space="preserve">upstream analytical work, policy dialogue, </w:t>
      </w:r>
      <w:r w:rsidR="00423A6B" w:rsidRPr="007B5C1C">
        <w:t xml:space="preserve">Country Partnership Strategy </w:t>
      </w:r>
      <w:r w:rsidR="003F5FCB" w:rsidRPr="007B5C1C">
        <w:t xml:space="preserve">discussion, global or regional programs, </w:t>
      </w:r>
      <w:r w:rsidR="00C668F3" w:rsidRPr="007B5C1C">
        <w:t>or</w:t>
      </w:r>
      <w:r w:rsidR="003F5FCB" w:rsidRPr="007B5C1C">
        <w:t xml:space="preserve"> building an action platform with external partners.</w:t>
      </w:r>
      <w:r w:rsidR="0095163E" w:rsidRPr="007B5C1C">
        <w:t xml:space="preserve"> </w:t>
      </w:r>
      <w:r w:rsidR="00045572" w:rsidRPr="007B5C1C">
        <w:t>It should also be noted that</w:t>
      </w:r>
      <w:r w:rsidR="00965882" w:rsidRPr="007B5C1C">
        <w:t xml:space="preserve"> </w:t>
      </w:r>
      <w:r w:rsidR="00992911" w:rsidRPr="007B5C1C">
        <w:t xml:space="preserve">because </w:t>
      </w:r>
      <w:r w:rsidR="00965882" w:rsidRPr="007B5C1C">
        <w:t xml:space="preserve">the Bank must work within the parameters of its </w:t>
      </w:r>
      <w:r w:rsidR="00045572" w:rsidRPr="007B5C1C">
        <w:t>mandate</w:t>
      </w:r>
      <w:r w:rsidR="00820EEE" w:rsidRPr="007B5C1C">
        <w:t xml:space="preserve"> and</w:t>
      </w:r>
      <w:r w:rsidR="00045572" w:rsidRPr="007B5C1C">
        <w:t xml:space="preserve"> </w:t>
      </w:r>
      <w:r w:rsidR="00965882" w:rsidRPr="007B5C1C">
        <w:t xml:space="preserve">its business model, </w:t>
      </w:r>
      <w:r w:rsidR="00045572" w:rsidRPr="007B5C1C">
        <w:t xml:space="preserve">it may not be possible or appropriate for the Bank to address all </w:t>
      </w:r>
      <w:r w:rsidR="00B13734" w:rsidRPr="007B5C1C">
        <w:t>area</w:t>
      </w:r>
      <w:r w:rsidR="00992911" w:rsidRPr="007B5C1C">
        <w:t>s</w:t>
      </w:r>
      <w:r w:rsidR="00045572" w:rsidRPr="007B5C1C">
        <w:t xml:space="preserve"> that may </w:t>
      </w:r>
      <w:r w:rsidR="00B13734" w:rsidRPr="007B5C1C">
        <w:t>be identified</w:t>
      </w:r>
      <w:r w:rsidR="00045572" w:rsidRPr="007B5C1C">
        <w:t xml:space="preserve"> </w:t>
      </w:r>
      <w:r w:rsidR="00992911" w:rsidRPr="007B5C1C">
        <w:t xml:space="preserve">or considered </w:t>
      </w:r>
      <w:r w:rsidR="00045572" w:rsidRPr="007B5C1C">
        <w:t>during the course of the review and update.</w:t>
      </w:r>
      <w:r w:rsidR="00820EEE" w:rsidRPr="007B5C1C" w:rsidDel="00820EEE">
        <w:t xml:space="preserve"> </w:t>
      </w:r>
      <w:r w:rsidR="00C36BAA" w:rsidRPr="007B5C1C">
        <w:t>In addition, a</w:t>
      </w:r>
      <w:r w:rsidR="003354F3" w:rsidRPr="007B5C1C">
        <w:t>ll policy proposals will be screened for consistency with the Bank’s mandate as set out in its Articles of Agreement.</w:t>
      </w:r>
    </w:p>
    <w:p w:rsidR="002508ED" w:rsidRPr="007B5C1C" w:rsidRDefault="00126879" w:rsidP="002508ED">
      <w:pPr>
        <w:pStyle w:val="Heading3"/>
        <w:keepNext/>
        <w:widowControl/>
        <w:numPr>
          <w:ilvl w:val="0"/>
          <w:numId w:val="38"/>
        </w:numPr>
        <w:spacing w:before="0" w:after="200" w:line="276" w:lineRule="auto"/>
        <w:rPr>
          <w:szCs w:val="24"/>
        </w:rPr>
      </w:pPr>
      <w:bookmarkStart w:id="7" w:name="_Toc333515712"/>
      <w:r w:rsidRPr="007B5C1C">
        <w:rPr>
          <w:szCs w:val="24"/>
        </w:rPr>
        <w:t>Complementary Management Actions</w:t>
      </w:r>
      <w:proofErr w:type="gramStart"/>
      <w:r w:rsidRPr="007B5C1C">
        <w:rPr>
          <w:szCs w:val="24"/>
        </w:rPr>
        <w:t>:</w:t>
      </w:r>
      <w:proofErr w:type="gramEnd"/>
      <w:r w:rsidRPr="007B5C1C">
        <w:rPr>
          <w:szCs w:val="24"/>
        </w:rPr>
        <w:br/>
        <w:t xml:space="preserve">Strengthening Implementation, </w:t>
      </w:r>
      <w:r w:rsidR="007C4C88" w:rsidRPr="007B5C1C">
        <w:rPr>
          <w:szCs w:val="24"/>
        </w:rPr>
        <w:t xml:space="preserve">Supervision, </w:t>
      </w:r>
      <w:r w:rsidRPr="007B5C1C">
        <w:rPr>
          <w:szCs w:val="24"/>
        </w:rPr>
        <w:t>Monitoring and Reporting</w:t>
      </w:r>
      <w:bookmarkEnd w:id="7"/>
    </w:p>
    <w:p w:rsidR="002508ED" w:rsidRPr="007B5C1C" w:rsidRDefault="00EA1F93" w:rsidP="00F668DA">
      <w:pPr>
        <w:pStyle w:val="ippara2"/>
      </w:pPr>
      <w:r w:rsidRPr="007B5C1C">
        <w:t xml:space="preserve">The review and update process provides an opportunity to undertake </w:t>
      </w:r>
      <w:r w:rsidR="00820EEE" w:rsidRPr="007B5C1C">
        <w:t xml:space="preserve">in parallel </w:t>
      </w:r>
      <w:r w:rsidRPr="007B5C1C">
        <w:t xml:space="preserve">a number of complementary </w:t>
      </w:r>
      <w:r w:rsidR="00184866" w:rsidRPr="007B5C1C">
        <w:t>M</w:t>
      </w:r>
      <w:r w:rsidRPr="007B5C1C">
        <w:t xml:space="preserve">anagement actions to improve the application, implementation, </w:t>
      </w:r>
      <w:r w:rsidR="004540BF" w:rsidRPr="007B5C1C">
        <w:t xml:space="preserve">supervision, </w:t>
      </w:r>
      <w:r w:rsidRPr="007B5C1C">
        <w:t>monitoring</w:t>
      </w:r>
      <w:r w:rsidR="00EC3F67" w:rsidRPr="007B5C1C">
        <w:t xml:space="preserve">, </w:t>
      </w:r>
      <w:r w:rsidRPr="007B5C1C">
        <w:rPr>
          <w:bCs/>
        </w:rPr>
        <w:t>reporting</w:t>
      </w:r>
      <w:r w:rsidR="004540BF" w:rsidRPr="007B5C1C">
        <w:rPr>
          <w:bCs/>
        </w:rPr>
        <w:t>, and evaluation</w:t>
      </w:r>
      <w:r w:rsidRPr="007B5C1C">
        <w:t xml:space="preserve"> of activities under the existing </w:t>
      </w:r>
      <w:r w:rsidR="00E62FB2" w:rsidRPr="007B5C1C">
        <w:t>safeguard polic</w:t>
      </w:r>
      <w:r w:rsidRPr="007B5C1C">
        <w:t>ies.</w:t>
      </w:r>
      <w:r w:rsidR="00467DFC" w:rsidRPr="007B5C1C">
        <w:t xml:space="preserve"> </w:t>
      </w:r>
      <w:r w:rsidRPr="007B5C1C">
        <w:t xml:space="preserve">Some of these actions have already been indicated in the </w:t>
      </w:r>
      <w:r w:rsidR="007629EE" w:rsidRPr="007B5C1C">
        <w:t>M</w:t>
      </w:r>
      <w:r w:rsidRPr="007B5C1C">
        <w:t xml:space="preserve">anagement </w:t>
      </w:r>
      <w:r w:rsidR="00184866" w:rsidRPr="007B5C1C">
        <w:t xml:space="preserve">Action Record in response </w:t>
      </w:r>
      <w:r w:rsidRPr="007B5C1C">
        <w:t xml:space="preserve">to the IEG </w:t>
      </w:r>
      <w:r w:rsidR="00820EEE" w:rsidRPr="007B5C1C">
        <w:t>e</w:t>
      </w:r>
      <w:r w:rsidRPr="007B5C1C">
        <w:t>valuation, and are under implementation.</w:t>
      </w:r>
      <w:r w:rsidR="00467DFC" w:rsidRPr="007B5C1C">
        <w:t xml:space="preserve"> </w:t>
      </w:r>
      <w:r w:rsidRPr="007B5C1C">
        <w:t>Additional complementary procedural and guidance changes that need not involve policy changes are currently being identified</w:t>
      </w:r>
      <w:r w:rsidR="00710D3B" w:rsidRPr="007B5C1C">
        <w:t xml:space="preserve">, with a view </w:t>
      </w:r>
      <w:r w:rsidR="00820EEE" w:rsidRPr="007B5C1C">
        <w:t xml:space="preserve">to </w:t>
      </w:r>
      <w:r w:rsidR="00710D3B" w:rsidRPr="007B5C1C">
        <w:t xml:space="preserve">improving the quality of projects through both upstream preparation and downstream </w:t>
      </w:r>
      <w:r w:rsidR="00710D3B" w:rsidRPr="007B5C1C">
        <w:lastRenderedPageBreak/>
        <w:t>supervision</w:t>
      </w:r>
      <w:r w:rsidRPr="007B5C1C">
        <w:t>.</w:t>
      </w:r>
      <w:r w:rsidR="00467DFC" w:rsidRPr="007B5C1C">
        <w:t xml:space="preserve"> </w:t>
      </w:r>
      <w:r w:rsidR="00EC3F67" w:rsidRPr="007B5C1C">
        <w:t>Management is also considering ways to transform the Bank’s approval culture to one that emphasizes implementation, quality, and results.</w:t>
      </w:r>
      <w:r w:rsidR="0095163E" w:rsidRPr="007B5C1C">
        <w:t xml:space="preserve"> </w:t>
      </w:r>
      <w:r w:rsidRPr="007B5C1C">
        <w:t xml:space="preserve">These actions </w:t>
      </w:r>
      <w:r w:rsidR="00006BF0" w:rsidRPr="007B5C1C">
        <w:t xml:space="preserve">will </w:t>
      </w:r>
      <w:r w:rsidRPr="007B5C1C">
        <w:t xml:space="preserve">in turn inform the review and update process, and also help Bank staff and management prepare for an orderly transition to </w:t>
      </w:r>
      <w:r w:rsidR="00006BF0" w:rsidRPr="007B5C1C">
        <w:t xml:space="preserve">a </w:t>
      </w:r>
      <w:r w:rsidRPr="007B5C1C">
        <w:t xml:space="preserve">new </w:t>
      </w:r>
      <w:r w:rsidR="00411B60" w:rsidRPr="007B5C1C">
        <w:t>i</w:t>
      </w:r>
      <w:r w:rsidRPr="007B5C1C">
        <w:t xml:space="preserve">ntegrated </w:t>
      </w:r>
      <w:r w:rsidR="00411B60" w:rsidRPr="007B5C1C">
        <w:t>f</w:t>
      </w:r>
      <w:r w:rsidRPr="007B5C1C">
        <w:t>ramework.</w:t>
      </w:r>
    </w:p>
    <w:p w:rsidR="002508ED" w:rsidRPr="007B5C1C" w:rsidRDefault="00F80034" w:rsidP="002508ED">
      <w:pPr>
        <w:pStyle w:val="Heading3"/>
        <w:keepNext/>
        <w:widowControl/>
        <w:numPr>
          <w:ilvl w:val="0"/>
          <w:numId w:val="38"/>
        </w:numPr>
        <w:spacing w:before="0" w:after="200" w:line="276" w:lineRule="auto"/>
        <w:rPr>
          <w:rStyle w:val="IntenseReference"/>
          <w:rFonts w:ascii="Times New Roman" w:hAnsi="Times New Roman"/>
          <w:b/>
          <w:smallCaps/>
          <w:color w:val="auto"/>
        </w:rPr>
      </w:pPr>
      <w:bookmarkStart w:id="8" w:name="_Toc333515713"/>
      <w:r w:rsidRPr="007B5C1C">
        <w:rPr>
          <w:rStyle w:val="IntenseReference"/>
          <w:bCs w:val="0"/>
          <w:smallCaps/>
          <w:color w:val="auto"/>
          <w:spacing w:val="0"/>
          <w:u w:val="none"/>
        </w:rPr>
        <w:t>Opportunities</w:t>
      </w:r>
      <w:r w:rsidR="00860D5B" w:rsidRPr="007B5C1C">
        <w:rPr>
          <w:rStyle w:val="IntenseReference"/>
          <w:bCs w:val="0"/>
          <w:smallCaps/>
          <w:color w:val="auto"/>
          <w:spacing w:val="0"/>
          <w:u w:val="none"/>
        </w:rPr>
        <w:t xml:space="preserve"> and Risks</w:t>
      </w:r>
      <w:bookmarkEnd w:id="8"/>
    </w:p>
    <w:p w:rsidR="002508ED" w:rsidRPr="007B5C1C" w:rsidRDefault="00860D5B" w:rsidP="00F668DA">
      <w:pPr>
        <w:pStyle w:val="ippara2"/>
      </w:pPr>
      <w:r w:rsidRPr="007B5C1C">
        <w:rPr>
          <w:b/>
          <w:i/>
        </w:rPr>
        <w:t>Opportunities</w:t>
      </w:r>
      <w:r w:rsidR="00D77F75" w:rsidRPr="007B5C1C">
        <w:t>.</w:t>
      </w:r>
      <w:r w:rsidR="0095163E" w:rsidRPr="007B5C1C">
        <w:t xml:space="preserve"> </w:t>
      </w:r>
      <w:r w:rsidR="00D77F75" w:rsidRPr="007B5C1C">
        <w:t>A successful review and update process could yield multiple benefits for the Bank, its shareholders</w:t>
      </w:r>
      <w:r w:rsidR="008F3992" w:rsidRPr="007B5C1C">
        <w:t xml:space="preserve">, </w:t>
      </w:r>
      <w:r w:rsidR="00D77F75" w:rsidRPr="007B5C1C">
        <w:t>and its internal and external stakeholders</w:t>
      </w:r>
      <w:r w:rsidR="00344A2D" w:rsidRPr="007B5C1C">
        <w:t xml:space="preserve">: </w:t>
      </w:r>
      <w:r w:rsidR="00EB4127" w:rsidRPr="007B5C1C">
        <w:t>(</w:t>
      </w:r>
      <w:proofErr w:type="spellStart"/>
      <w:r w:rsidR="00EB4127" w:rsidRPr="007B5C1C">
        <w:t>i</w:t>
      </w:r>
      <w:proofErr w:type="spellEnd"/>
      <w:r w:rsidR="00EB4127" w:rsidRPr="007B5C1C">
        <w:t xml:space="preserve">) delivering better environmental and social outcomes; (ii) strengthening country systems and institutions; </w:t>
      </w:r>
      <w:r w:rsidRPr="007B5C1C">
        <w:t xml:space="preserve">and </w:t>
      </w:r>
      <w:r w:rsidR="00EB4127" w:rsidRPr="007B5C1C">
        <w:t xml:space="preserve">(iii) improving coverage of environmental and social risks. </w:t>
      </w:r>
      <w:r w:rsidR="008578AA" w:rsidRPr="007B5C1C">
        <w:t xml:space="preserve">An </w:t>
      </w:r>
      <w:r w:rsidR="00D77F75" w:rsidRPr="007B5C1C">
        <w:t xml:space="preserve">integrated framework could </w:t>
      </w:r>
      <w:r w:rsidR="004540BF" w:rsidRPr="007B5C1C">
        <w:t>effectively</w:t>
      </w:r>
      <w:r w:rsidR="00D77F75" w:rsidRPr="007B5C1C">
        <w:t xml:space="preserve"> become a global public good by serving as a de facto risk management </w:t>
      </w:r>
      <w:r w:rsidR="008F3992" w:rsidRPr="007B5C1C">
        <w:t xml:space="preserve">reference point </w:t>
      </w:r>
      <w:r w:rsidR="00D77F75" w:rsidRPr="007B5C1C">
        <w:t xml:space="preserve">for other </w:t>
      </w:r>
      <w:r w:rsidR="00C36BAA" w:rsidRPr="007B5C1C">
        <w:t xml:space="preserve">MDBs </w:t>
      </w:r>
      <w:r w:rsidR="00D77F75" w:rsidRPr="007B5C1C">
        <w:t xml:space="preserve">and the </w:t>
      </w:r>
      <w:r w:rsidR="00C36BAA" w:rsidRPr="007B5C1C">
        <w:t xml:space="preserve">other </w:t>
      </w:r>
      <w:r w:rsidR="00D77F75" w:rsidRPr="007B5C1C">
        <w:t>international financial institutions that work with the public sector.</w:t>
      </w:r>
      <w:r w:rsidR="0095163E" w:rsidRPr="007B5C1C">
        <w:t xml:space="preserve"> </w:t>
      </w:r>
      <w:r w:rsidR="00D77F75" w:rsidRPr="007B5C1C">
        <w:t xml:space="preserve">This could result in </w:t>
      </w:r>
      <w:r w:rsidR="008F3992" w:rsidRPr="007B5C1C">
        <w:t xml:space="preserve">better management of </w:t>
      </w:r>
      <w:r w:rsidR="00D77F75" w:rsidRPr="007B5C1C">
        <w:t>negative environmental and social impacts and risks, and enhancement of measurable positive impacts on environmental and social sustainability, development effectiveness, as well as efficiency of operations.</w:t>
      </w:r>
      <w:r w:rsidR="0095163E" w:rsidRPr="007B5C1C">
        <w:t xml:space="preserve"> </w:t>
      </w:r>
    </w:p>
    <w:p w:rsidR="00AD3CE8" w:rsidRPr="007B5C1C" w:rsidRDefault="00860D5B">
      <w:pPr>
        <w:pStyle w:val="ippara2"/>
      </w:pPr>
      <w:r w:rsidRPr="007B5C1C">
        <w:rPr>
          <w:b/>
          <w:i/>
        </w:rPr>
        <w:t>Risks.</w:t>
      </w:r>
      <w:r w:rsidRPr="007B5C1C">
        <w:t xml:space="preserve"> The safeguard policies are among the most visible of the Bank’s Operational Policies. They are complex in nature, and attract strong interest from a large and diverse group of stakeholders. They have been developed over time, and represent ongoing learning and adaptation by the Bank on management of environmental and social risks. While the review and update process represents a valuable and timely opportunity to evolve the safeguard policies, it also entails challenges at multiple levels. Any proposed change to the current wording of the safeguard policies may be interpreted by some as a weakening of existing requirements. The multiple and sometimes conflicting voices that claim to represent stakeholders’ interests can lead to a polarized debate, and make it difficult to find consensus. The Bank will seek to strike the right balance, guided by its mandate, its overall development objectives, and implementation considerations.</w:t>
      </w:r>
    </w:p>
    <w:p w:rsidR="002508ED" w:rsidRPr="007B5C1C" w:rsidRDefault="00126879" w:rsidP="002508ED">
      <w:pPr>
        <w:pStyle w:val="Heading3"/>
        <w:keepNext/>
        <w:widowControl/>
        <w:numPr>
          <w:ilvl w:val="0"/>
          <w:numId w:val="38"/>
        </w:numPr>
        <w:spacing w:before="0" w:after="200" w:line="276" w:lineRule="auto"/>
        <w:rPr>
          <w:szCs w:val="24"/>
        </w:rPr>
      </w:pPr>
      <w:bookmarkStart w:id="9" w:name="_Toc333515714"/>
      <w:r w:rsidRPr="007B5C1C">
        <w:rPr>
          <w:szCs w:val="24"/>
        </w:rPr>
        <w:t>The Review and Update Process and Consultation</w:t>
      </w:r>
      <w:bookmarkEnd w:id="9"/>
    </w:p>
    <w:p w:rsidR="002508ED" w:rsidRPr="007B5C1C" w:rsidRDefault="00126879" w:rsidP="002508ED">
      <w:pPr>
        <w:keepNext/>
        <w:spacing w:after="200" w:line="276" w:lineRule="auto"/>
      </w:pPr>
      <w:r w:rsidRPr="007B5C1C">
        <w:rPr>
          <w:b/>
        </w:rPr>
        <w:t>Stakeholders</w:t>
      </w:r>
    </w:p>
    <w:p w:rsidR="002508ED" w:rsidRPr="007B5C1C" w:rsidRDefault="00EA1F93" w:rsidP="00F668DA">
      <w:pPr>
        <w:pStyle w:val="ippara2"/>
      </w:pPr>
      <w:r w:rsidRPr="007B5C1C">
        <w:rPr>
          <w:b/>
          <w:i/>
        </w:rPr>
        <w:t xml:space="preserve">Recognition of a </w:t>
      </w:r>
      <w:r w:rsidR="00621F44" w:rsidRPr="007B5C1C">
        <w:rPr>
          <w:b/>
          <w:i/>
        </w:rPr>
        <w:t>w</w:t>
      </w:r>
      <w:r w:rsidRPr="007B5C1C">
        <w:rPr>
          <w:b/>
          <w:i/>
        </w:rPr>
        <w:t xml:space="preserve">ide </w:t>
      </w:r>
      <w:r w:rsidR="00621F44" w:rsidRPr="007B5C1C">
        <w:rPr>
          <w:b/>
          <w:i/>
        </w:rPr>
        <w:t>r</w:t>
      </w:r>
      <w:r w:rsidRPr="007B5C1C">
        <w:rPr>
          <w:b/>
          <w:i/>
        </w:rPr>
        <w:t xml:space="preserve">ange of </w:t>
      </w:r>
      <w:r w:rsidR="00621F44" w:rsidRPr="007B5C1C">
        <w:rPr>
          <w:b/>
          <w:i/>
        </w:rPr>
        <w:t>s</w:t>
      </w:r>
      <w:r w:rsidRPr="007B5C1C">
        <w:rPr>
          <w:b/>
          <w:i/>
        </w:rPr>
        <w:t>takeholders.</w:t>
      </w:r>
      <w:r w:rsidR="00467DFC" w:rsidRPr="007B5C1C">
        <w:t xml:space="preserve"> </w:t>
      </w:r>
      <w:r w:rsidRPr="007B5C1C">
        <w:t xml:space="preserve">The Bank seeks to elicit multi-stakeholder participation and input throughout the </w:t>
      </w:r>
      <w:r w:rsidR="00006BF0" w:rsidRPr="007B5C1C">
        <w:t xml:space="preserve">review and update </w:t>
      </w:r>
      <w:r w:rsidRPr="007B5C1C">
        <w:t xml:space="preserve">process. </w:t>
      </w:r>
      <w:r w:rsidR="001A2637" w:rsidRPr="007B5C1C">
        <w:t>To this end</w:t>
      </w:r>
      <w:r w:rsidRPr="007B5C1C">
        <w:t xml:space="preserve">, the Bank will </w:t>
      </w:r>
      <w:r w:rsidR="0033290D" w:rsidRPr="007B5C1C">
        <w:t xml:space="preserve">engage with </w:t>
      </w:r>
      <w:r w:rsidRPr="007B5C1C">
        <w:t xml:space="preserve">its shareholders, </w:t>
      </w:r>
      <w:r w:rsidR="00F40798" w:rsidRPr="007B5C1C">
        <w:t xml:space="preserve">and </w:t>
      </w:r>
      <w:r w:rsidRPr="007B5C1C">
        <w:t>internal</w:t>
      </w:r>
      <w:r w:rsidR="004F6BEE" w:rsidRPr="007B5C1C">
        <w:t xml:space="preserve"> </w:t>
      </w:r>
      <w:r w:rsidRPr="007B5C1C">
        <w:t xml:space="preserve">and external stakeholders, to seek their views and input. By engaging a wide range of stakeholders in dialogue, the consultation process will also aim to build a base for dialogue between the Bank and its stakeholders so that implementation of </w:t>
      </w:r>
      <w:r w:rsidR="0033290D" w:rsidRPr="007B5C1C">
        <w:t>a</w:t>
      </w:r>
      <w:r w:rsidRPr="007B5C1C">
        <w:t xml:space="preserve"> new </w:t>
      </w:r>
      <w:r w:rsidR="00411B60" w:rsidRPr="007B5C1C">
        <w:t>i</w:t>
      </w:r>
      <w:r w:rsidRPr="007B5C1C">
        <w:t xml:space="preserve">ntegrated </w:t>
      </w:r>
      <w:r w:rsidR="00411B60" w:rsidRPr="007B5C1C">
        <w:t>f</w:t>
      </w:r>
      <w:r w:rsidRPr="007B5C1C">
        <w:t>ramework can continue to benefit from diverse perspectives beyond the life of this review and update.</w:t>
      </w:r>
      <w:r w:rsidR="00411B60" w:rsidRPr="007B5C1C">
        <w:t xml:space="preserve"> </w:t>
      </w:r>
    </w:p>
    <w:p w:rsidR="002508ED" w:rsidRPr="007B5C1C" w:rsidRDefault="00EA1F93" w:rsidP="00F668DA">
      <w:pPr>
        <w:pStyle w:val="ippara2"/>
      </w:pPr>
      <w:r w:rsidRPr="007B5C1C">
        <w:rPr>
          <w:b/>
          <w:i/>
        </w:rPr>
        <w:t>Consultations with shareholder governments.</w:t>
      </w:r>
      <w:r w:rsidR="00467DFC" w:rsidRPr="007B5C1C">
        <w:rPr>
          <w:i/>
        </w:rPr>
        <w:t xml:space="preserve"> </w:t>
      </w:r>
      <w:r w:rsidR="001604D5" w:rsidRPr="007B5C1C">
        <w:t xml:space="preserve">Central to the review and update process is the diversity of experience, perspectives, knowledge and expectations of its shareholder </w:t>
      </w:r>
      <w:r w:rsidR="001604D5" w:rsidRPr="007B5C1C">
        <w:lastRenderedPageBreak/>
        <w:t xml:space="preserve">governments. </w:t>
      </w:r>
      <w:r w:rsidR="00D556DB" w:rsidRPr="007B5C1C">
        <w:t>M</w:t>
      </w:r>
      <w:r w:rsidR="001604D5" w:rsidRPr="007B5C1C">
        <w:t xml:space="preserve">anagement will seek advice </w:t>
      </w:r>
      <w:r w:rsidR="00F668DA" w:rsidRPr="007B5C1C">
        <w:t xml:space="preserve">from Executive Directors </w:t>
      </w:r>
      <w:r w:rsidR="001604D5" w:rsidRPr="007B5C1C">
        <w:t>on how best to organize in-country consultations with shareholders to understand their experiences, views and priorities at the national and sub-national level. In the case of donor countries, discussions will include their interest and willingness to</w:t>
      </w:r>
      <w:r w:rsidR="00F668DA" w:rsidRPr="007B5C1C">
        <w:t xml:space="preserve"> shape and</w:t>
      </w:r>
      <w:r w:rsidR="001604D5" w:rsidRPr="007B5C1C">
        <w:t xml:space="preserve"> provide targeted assistance to facilitate institutional strengthening and capacity building in borrowing countries.</w:t>
      </w:r>
    </w:p>
    <w:p w:rsidR="00AD3CE8" w:rsidRPr="007B5C1C" w:rsidRDefault="00EA1F93">
      <w:pPr>
        <w:pStyle w:val="ippara2"/>
      </w:pPr>
      <w:r w:rsidRPr="007B5C1C">
        <w:rPr>
          <w:b/>
          <w:bCs/>
          <w:i/>
        </w:rPr>
        <w:t>Consultations with internal stakeholders.</w:t>
      </w:r>
      <w:r w:rsidRPr="007B5C1C">
        <w:rPr>
          <w:bCs/>
          <w:i/>
        </w:rPr>
        <w:t xml:space="preserve"> </w:t>
      </w:r>
      <w:r w:rsidRPr="007B5C1C">
        <w:rPr>
          <w:bCs/>
        </w:rPr>
        <w:t>Bank management and staff</w:t>
      </w:r>
      <w:r w:rsidRPr="007B5C1C">
        <w:t xml:space="preserve"> have two decades’ experience in applying and implementing the </w:t>
      </w:r>
      <w:r w:rsidR="00E62FB2" w:rsidRPr="007B5C1C">
        <w:t>safeguard polic</w:t>
      </w:r>
      <w:r w:rsidRPr="007B5C1C">
        <w:t>ies.</w:t>
      </w:r>
      <w:r w:rsidR="00467DFC" w:rsidRPr="007B5C1C">
        <w:t xml:space="preserve"> </w:t>
      </w:r>
      <w:r w:rsidR="008F3992" w:rsidRPr="007B5C1C">
        <w:t>T</w:t>
      </w:r>
      <w:r w:rsidRPr="007B5C1C">
        <w:t xml:space="preserve">he </w:t>
      </w:r>
      <w:r w:rsidR="00FA0326" w:rsidRPr="007B5C1C">
        <w:t xml:space="preserve">review and </w:t>
      </w:r>
      <w:r w:rsidRPr="007B5C1C">
        <w:t xml:space="preserve">updating process </w:t>
      </w:r>
      <w:r w:rsidR="00FA0326" w:rsidRPr="007B5C1C">
        <w:t xml:space="preserve">will </w:t>
      </w:r>
      <w:r w:rsidRPr="007B5C1C">
        <w:t xml:space="preserve">benefit fully from this experience. To do so, internal consultations will be conducted with Bank staff </w:t>
      </w:r>
      <w:r w:rsidR="001A2637" w:rsidRPr="007B5C1C">
        <w:t>in</w:t>
      </w:r>
      <w:r w:rsidRPr="007B5C1C">
        <w:t xml:space="preserve"> country offices</w:t>
      </w:r>
      <w:r w:rsidR="001A2637" w:rsidRPr="007B5C1C">
        <w:t xml:space="preserve"> as well as in headquarters</w:t>
      </w:r>
      <w:r w:rsidR="00130EE6" w:rsidRPr="007B5C1C">
        <w:t xml:space="preserve">. </w:t>
      </w:r>
      <w:r w:rsidRPr="007B5C1C">
        <w:t xml:space="preserve">These </w:t>
      </w:r>
      <w:r w:rsidR="00C36BAA" w:rsidRPr="007B5C1C">
        <w:t xml:space="preserve">consultations </w:t>
      </w:r>
      <w:r w:rsidRPr="007B5C1C">
        <w:t xml:space="preserve">will give Bank staff opportunities to discuss and share their views on how to improve the design and implementation of the </w:t>
      </w:r>
      <w:r w:rsidR="00130EE6" w:rsidRPr="007B5C1C">
        <w:t xml:space="preserve">current </w:t>
      </w:r>
      <w:r w:rsidR="00E62FB2" w:rsidRPr="007B5C1C">
        <w:t>safeguard polic</w:t>
      </w:r>
      <w:r w:rsidRPr="007B5C1C">
        <w:t>ies</w:t>
      </w:r>
      <w:r w:rsidR="00130EE6" w:rsidRPr="007B5C1C">
        <w:t xml:space="preserve"> and move toward an </w:t>
      </w:r>
      <w:r w:rsidR="002150D7" w:rsidRPr="007B5C1C">
        <w:t>i</w:t>
      </w:r>
      <w:r w:rsidR="00130EE6" w:rsidRPr="007B5C1C">
        <w:t xml:space="preserve">ntegrated </w:t>
      </w:r>
      <w:r w:rsidR="002150D7" w:rsidRPr="007B5C1C">
        <w:t>f</w:t>
      </w:r>
      <w:r w:rsidR="00130EE6" w:rsidRPr="007B5C1C">
        <w:t>ramework</w:t>
      </w:r>
      <w:r w:rsidRPr="007B5C1C">
        <w:t>.</w:t>
      </w:r>
      <w:r w:rsidR="00467DFC" w:rsidRPr="007B5C1C">
        <w:t xml:space="preserve"> </w:t>
      </w:r>
      <w:r w:rsidR="00C36BAA" w:rsidRPr="007B5C1C">
        <w:t xml:space="preserve">The </w:t>
      </w:r>
      <w:r w:rsidRPr="007B5C1C">
        <w:t>consultations, which will be both virtual and face-to-face, will take a variety</w:t>
      </w:r>
      <w:r w:rsidR="004F6BEE" w:rsidRPr="007B5C1C">
        <w:t xml:space="preserve"> of forms, including open </w:t>
      </w:r>
      <w:proofErr w:type="spellStart"/>
      <w:r w:rsidR="004F6BEE" w:rsidRPr="007B5C1C">
        <w:t>fora</w:t>
      </w:r>
      <w:proofErr w:type="spellEnd"/>
      <w:r w:rsidRPr="007B5C1C">
        <w:t>, targeted meetings, focus groups, and video</w:t>
      </w:r>
      <w:r w:rsidR="00FD7879" w:rsidRPr="007B5C1C">
        <w:t>-</w:t>
      </w:r>
      <w:r w:rsidRPr="007B5C1C">
        <w:t xml:space="preserve">conferences. </w:t>
      </w:r>
    </w:p>
    <w:p w:rsidR="00CE7277" w:rsidRPr="007B5C1C" w:rsidRDefault="00EA1F93" w:rsidP="00CE7277">
      <w:pPr>
        <w:pStyle w:val="ippara2"/>
      </w:pPr>
      <w:r w:rsidRPr="007B5C1C">
        <w:rPr>
          <w:b/>
          <w:bCs/>
          <w:i/>
        </w:rPr>
        <w:t>Consultations with external stakeholders.</w:t>
      </w:r>
      <w:r w:rsidR="00467DFC" w:rsidRPr="007B5C1C">
        <w:rPr>
          <w:bCs/>
          <w:i/>
        </w:rPr>
        <w:t xml:space="preserve"> </w:t>
      </w:r>
      <w:r w:rsidRPr="007B5C1C">
        <w:rPr>
          <w:bCs/>
        </w:rPr>
        <w:t>The consultative process</w:t>
      </w:r>
      <w:r w:rsidRPr="007B5C1C">
        <w:t xml:space="preserve"> will seek the views of a wide and diverse </w:t>
      </w:r>
      <w:r w:rsidR="001A2637" w:rsidRPr="007B5C1C">
        <w:t>group</w:t>
      </w:r>
      <w:r w:rsidRPr="007B5C1C">
        <w:t xml:space="preserve"> of stakeholders</w:t>
      </w:r>
      <w:r w:rsidR="002150D7" w:rsidRPr="007B5C1C">
        <w:t>.</w:t>
      </w:r>
      <w:r w:rsidRPr="007B5C1C">
        <w:t xml:space="preserve"> Engagement with stakeholders and constituencies will include, but not be limited to, the following: </w:t>
      </w:r>
      <w:r w:rsidR="0039539D" w:rsidRPr="007B5C1C">
        <w:t xml:space="preserve">(a) representatives of </w:t>
      </w:r>
      <w:r w:rsidR="005E4540" w:rsidRPr="007B5C1C">
        <w:t>borrower</w:t>
      </w:r>
      <w:r w:rsidR="0039539D" w:rsidRPr="007B5C1C">
        <w:t>s</w:t>
      </w:r>
      <w:r w:rsidR="001A2637" w:rsidRPr="007B5C1C">
        <w:t>;</w:t>
      </w:r>
      <w:r w:rsidR="0039539D" w:rsidRPr="007B5C1C">
        <w:t xml:space="preserve"> </w:t>
      </w:r>
      <w:r w:rsidRPr="007B5C1C">
        <w:t>(</w:t>
      </w:r>
      <w:r w:rsidR="0039539D" w:rsidRPr="007B5C1C">
        <w:t>b</w:t>
      </w:r>
      <w:r w:rsidRPr="007B5C1C">
        <w:t>) United Nations agencies; (</w:t>
      </w:r>
      <w:r w:rsidR="0039539D" w:rsidRPr="007B5C1C">
        <w:t>c</w:t>
      </w:r>
      <w:r w:rsidRPr="007B5C1C">
        <w:t>) multilateral and bilateral development partners; (</w:t>
      </w:r>
      <w:r w:rsidR="0039539D" w:rsidRPr="007B5C1C">
        <w:t>d</w:t>
      </w:r>
      <w:r w:rsidRPr="007B5C1C">
        <w:t>) private sector representatives; (</w:t>
      </w:r>
      <w:r w:rsidR="0039539D" w:rsidRPr="007B5C1C">
        <w:t>e</w:t>
      </w:r>
      <w:r w:rsidRPr="007B5C1C">
        <w:t>) development-oriented organizations and foundations; (</w:t>
      </w:r>
      <w:r w:rsidR="0039539D" w:rsidRPr="007B5C1C">
        <w:t>f</w:t>
      </w:r>
      <w:r w:rsidRPr="007B5C1C">
        <w:t>) academic and applied research institutions; (</w:t>
      </w:r>
      <w:r w:rsidR="0039539D" w:rsidRPr="007B5C1C">
        <w:t>g</w:t>
      </w:r>
      <w:r w:rsidRPr="007B5C1C">
        <w:t>) professional organizations and societies; (</w:t>
      </w:r>
      <w:r w:rsidR="0039539D" w:rsidRPr="007B5C1C">
        <w:t>h</w:t>
      </w:r>
      <w:r w:rsidRPr="007B5C1C">
        <w:t xml:space="preserve">) </w:t>
      </w:r>
      <w:r w:rsidR="00130EE6" w:rsidRPr="007B5C1C">
        <w:t>labor organizations; (</w:t>
      </w:r>
      <w:proofErr w:type="spellStart"/>
      <w:r w:rsidR="0039539D" w:rsidRPr="007B5C1C">
        <w:t>i</w:t>
      </w:r>
      <w:proofErr w:type="spellEnd"/>
      <w:r w:rsidR="00130EE6" w:rsidRPr="007B5C1C">
        <w:t xml:space="preserve">) </w:t>
      </w:r>
      <w:r w:rsidRPr="007B5C1C">
        <w:t>Indigenous Peoples representatives; (</w:t>
      </w:r>
      <w:r w:rsidR="0039539D" w:rsidRPr="007B5C1C">
        <w:t>j</w:t>
      </w:r>
      <w:r w:rsidRPr="007B5C1C">
        <w:t>) leaders and representatives of a sample of communities affected by Bank operations; and (</w:t>
      </w:r>
      <w:r w:rsidR="001A2637" w:rsidRPr="007B5C1C">
        <w:t>k</w:t>
      </w:r>
      <w:r w:rsidRPr="007B5C1C">
        <w:t xml:space="preserve">) civil society organizations at international, national </w:t>
      </w:r>
      <w:r w:rsidR="001A2637" w:rsidRPr="007B5C1C">
        <w:t>and</w:t>
      </w:r>
      <w:r w:rsidRPr="007B5C1C">
        <w:t xml:space="preserve"> local level involved in advocacy or</w:t>
      </w:r>
      <w:r w:rsidR="00467DFC" w:rsidRPr="007B5C1C">
        <w:t xml:space="preserve"> </w:t>
      </w:r>
      <w:r w:rsidRPr="007B5C1C">
        <w:t>service delivery.</w:t>
      </w:r>
      <w:r w:rsidR="002E18E1" w:rsidRPr="007B5C1C">
        <w:rPr>
          <w:b/>
        </w:rPr>
        <w:t xml:space="preserve"> </w:t>
      </w:r>
      <w:r w:rsidR="00C243EE" w:rsidRPr="007B5C1C">
        <w:t>The feedback from communities directly affected by World Bank-funded projects that have applied the safeguard policies is particularly important. The Bank will hold focus group meetings with communities from a variety of geographical locations</w:t>
      </w:r>
      <w:r w:rsidR="00163EDB" w:rsidRPr="007B5C1C">
        <w:t xml:space="preserve"> that </w:t>
      </w:r>
      <w:r w:rsidR="003910C1" w:rsidRPr="007B5C1C">
        <w:t xml:space="preserve">have </w:t>
      </w:r>
      <w:r w:rsidR="00163EDB" w:rsidRPr="007B5C1C">
        <w:t xml:space="preserve">encountered </w:t>
      </w:r>
      <w:r w:rsidR="00C243EE" w:rsidRPr="007B5C1C">
        <w:t>a number of social and/or environmental issues during design or implementation of Bank-funded projects (including communities that have previously been interviewed by the Bank as well as those that have not).</w:t>
      </w:r>
    </w:p>
    <w:p w:rsidR="002508ED" w:rsidRPr="007B5C1C" w:rsidRDefault="00126879" w:rsidP="002508ED">
      <w:pPr>
        <w:keepNext/>
        <w:spacing w:after="200" w:line="276" w:lineRule="auto"/>
        <w:rPr>
          <w:b/>
        </w:rPr>
      </w:pPr>
      <w:r w:rsidRPr="007B5C1C">
        <w:rPr>
          <w:b/>
        </w:rPr>
        <w:t>Overall Process</w:t>
      </w:r>
    </w:p>
    <w:p w:rsidR="002508ED" w:rsidRPr="007B5C1C" w:rsidRDefault="00CA3C13" w:rsidP="00F668DA">
      <w:pPr>
        <w:pStyle w:val="ippara2"/>
      </w:pPr>
      <w:r w:rsidRPr="007B5C1C">
        <w:rPr>
          <w:b/>
          <w:i/>
        </w:rPr>
        <w:t>Three phases of the review and update process.</w:t>
      </w:r>
      <w:r w:rsidRPr="007B5C1C">
        <w:t xml:space="preserve"> Management envisages the overall process of reviewing and updating the </w:t>
      </w:r>
      <w:r w:rsidR="00E62FB2" w:rsidRPr="007B5C1C">
        <w:t>safeguard polic</w:t>
      </w:r>
      <w:r w:rsidRPr="007B5C1C">
        <w:t>ies to take 24 months and to consist of three key phases. The three-</w:t>
      </w:r>
      <w:r w:rsidR="00143089" w:rsidRPr="007B5C1C">
        <w:t xml:space="preserve">phase </w:t>
      </w:r>
      <w:r w:rsidRPr="007B5C1C">
        <w:t xml:space="preserve">review will be supported by a global multi-stakeholder consultation process to elicit input from interested stakeholders in as broad and inclusive a manner as possible. The following table </w:t>
      </w:r>
      <w:r w:rsidR="00000255" w:rsidRPr="007B5C1C">
        <w:t>highlights key activities in the</w:t>
      </w:r>
      <w:r w:rsidRPr="007B5C1C">
        <w:t xml:space="preserve"> three-phased process</w:t>
      </w:r>
      <w:r w:rsidR="0060582A" w:rsidRPr="007B5C1C">
        <w:t xml:space="preserve"> (additional details will be available in the consultation and communication plan, to be released simultaneously with this paper)</w:t>
      </w:r>
      <w:r w:rsidRPr="007B5C1C">
        <w:t>:</w:t>
      </w:r>
    </w:p>
    <w:tbl>
      <w:tblPr>
        <w:tblStyle w:val="TableGrid"/>
        <w:tblW w:w="0" w:type="auto"/>
        <w:tblInd w:w="-6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CellMar>
          <w:top w:w="29" w:type="dxa"/>
          <w:left w:w="115" w:type="dxa"/>
          <w:bottom w:w="29" w:type="dxa"/>
          <w:right w:w="115" w:type="dxa"/>
        </w:tblCellMar>
        <w:tblLook w:val="04A0"/>
      </w:tblPr>
      <w:tblGrid>
        <w:gridCol w:w="1481"/>
        <w:gridCol w:w="2666"/>
        <w:gridCol w:w="5494"/>
      </w:tblGrid>
      <w:tr w:rsidR="00CA3C13" w:rsidRPr="007B5C1C">
        <w:trPr>
          <w:tblHeader/>
        </w:trPr>
        <w:tc>
          <w:tcPr>
            <w:tcW w:w="1481" w:type="dxa"/>
            <w:shd w:val="clear" w:color="auto" w:fill="FFFFFF" w:themeFill="background1"/>
          </w:tcPr>
          <w:p w:rsidR="002508ED" w:rsidRPr="007B5C1C" w:rsidRDefault="00CA3C13" w:rsidP="002508ED">
            <w:pPr>
              <w:pStyle w:val="BodyText"/>
              <w:keepNext/>
              <w:keepLines/>
              <w:widowControl/>
              <w:spacing w:before="0" w:after="0"/>
              <w:rPr>
                <w:b/>
                <w:i/>
                <w:color w:val="000000"/>
                <w:sz w:val="24"/>
              </w:rPr>
            </w:pPr>
            <w:r w:rsidRPr="007B5C1C">
              <w:rPr>
                <w:color w:val="000000"/>
              </w:rPr>
              <w:lastRenderedPageBreak/>
              <w:br w:type="page"/>
            </w:r>
            <w:r w:rsidRPr="007B5C1C">
              <w:rPr>
                <w:b/>
                <w:i/>
                <w:color w:val="000000"/>
              </w:rPr>
              <w:t>Timeline</w:t>
            </w:r>
          </w:p>
        </w:tc>
        <w:tc>
          <w:tcPr>
            <w:tcW w:w="2666" w:type="dxa"/>
            <w:shd w:val="clear" w:color="auto" w:fill="FFFFFF" w:themeFill="background1"/>
          </w:tcPr>
          <w:p w:rsidR="002508ED" w:rsidRPr="007B5C1C" w:rsidRDefault="00CA3C13" w:rsidP="002508ED">
            <w:pPr>
              <w:pStyle w:val="BodyText"/>
              <w:keepNext/>
              <w:keepLines/>
              <w:widowControl/>
              <w:spacing w:before="0" w:after="0"/>
              <w:jc w:val="left"/>
              <w:rPr>
                <w:b/>
                <w:i/>
                <w:color w:val="000000"/>
                <w:sz w:val="24"/>
              </w:rPr>
            </w:pPr>
            <w:r w:rsidRPr="007B5C1C">
              <w:rPr>
                <w:b/>
                <w:i/>
                <w:color w:val="000000"/>
              </w:rPr>
              <w:t>Phase</w:t>
            </w:r>
          </w:p>
        </w:tc>
        <w:tc>
          <w:tcPr>
            <w:tcW w:w="5494" w:type="dxa"/>
            <w:shd w:val="clear" w:color="auto" w:fill="FFFFFF" w:themeFill="background1"/>
          </w:tcPr>
          <w:p w:rsidR="002508ED" w:rsidRPr="007B5C1C" w:rsidRDefault="00CA3C13" w:rsidP="002508ED">
            <w:pPr>
              <w:pStyle w:val="BodyText"/>
              <w:keepNext/>
              <w:keepLines/>
              <w:widowControl/>
              <w:spacing w:before="0" w:after="0"/>
              <w:jc w:val="left"/>
              <w:rPr>
                <w:b/>
                <w:i/>
                <w:color w:val="000000"/>
                <w:sz w:val="24"/>
              </w:rPr>
            </w:pPr>
            <w:r w:rsidRPr="007B5C1C">
              <w:rPr>
                <w:b/>
                <w:i/>
                <w:color w:val="000000"/>
              </w:rPr>
              <w:t>Description</w:t>
            </w:r>
          </w:p>
        </w:tc>
      </w:tr>
      <w:tr w:rsidR="00CA3C13" w:rsidRPr="007B5C1C">
        <w:tc>
          <w:tcPr>
            <w:tcW w:w="1481" w:type="dxa"/>
            <w:shd w:val="clear" w:color="auto" w:fill="FFFFFF" w:themeFill="background1"/>
          </w:tcPr>
          <w:p w:rsidR="002508ED" w:rsidRPr="007B5C1C" w:rsidRDefault="00CA3C13" w:rsidP="0008462F">
            <w:pPr>
              <w:pStyle w:val="BodyText"/>
              <w:keepNext/>
              <w:keepLines/>
              <w:widowControl/>
              <w:spacing w:before="0" w:after="0"/>
              <w:rPr>
                <w:b/>
                <w:i/>
                <w:color w:val="000000"/>
                <w:sz w:val="24"/>
              </w:rPr>
            </w:pPr>
            <w:r w:rsidRPr="007B5C1C">
              <w:rPr>
                <w:b/>
                <w:i/>
                <w:color w:val="000000"/>
              </w:rPr>
              <w:t>July 2012</w:t>
            </w:r>
            <w:r w:rsidR="00487551" w:rsidRPr="007B5C1C">
              <w:rPr>
                <w:b/>
                <w:i/>
                <w:color w:val="000000"/>
              </w:rPr>
              <w:t xml:space="preserve"> –</w:t>
            </w:r>
            <w:r w:rsidR="0008462F" w:rsidRPr="007B5C1C">
              <w:rPr>
                <w:b/>
                <w:i/>
                <w:color w:val="000000"/>
              </w:rPr>
              <w:t>April</w:t>
            </w:r>
            <w:r w:rsidRPr="007B5C1C">
              <w:rPr>
                <w:b/>
                <w:i/>
                <w:color w:val="000000"/>
              </w:rPr>
              <w:t xml:space="preserve"> 2013</w:t>
            </w:r>
          </w:p>
        </w:tc>
        <w:tc>
          <w:tcPr>
            <w:tcW w:w="2666" w:type="dxa"/>
            <w:shd w:val="clear" w:color="auto" w:fill="FFFFFF" w:themeFill="background1"/>
          </w:tcPr>
          <w:p w:rsidR="002508ED" w:rsidRPr="007B5C1C" w:rsidRDefault="00CA3C13" w:rsidP="002508ED">
            <w:pPr>
              <w:pStyle w:val="BodyText"/>
              <w:keepNext/>
              <w:keepLines/>
              <w:widowControl/>
              <w:spacing w:before="0" w:after="0"/>
              <w:jc w:val="left"/>
              <w:rPr>
                <w:b/>
                <w:color w:val="000000"/>
                <w:sz w:val="24"/>
              </w:rPr>
            </w:pPr>
            <w:r w:rsidRPr="007B5C1C">
              <w:rPr>
                <w:b/>
                <w:i/>
                <w:color w:val="000000"/>
              </w:rPr>
              <w:t>Phase 1: Global Review</w:t>
            </w:r>
          </w:p>
        </w:tc>
        <w:tc>
          <w:tcPr>
            <w:tcW w:w="5494" w:type="dxa"/>
            <w:shd w:val="clear" w:color="auto" w:fill="FFFFFF" w:themeFill="background1"/>
          </w:tcPr>
          <w:p w:rsidR="002508ED" w:rsidRPr="007B5C1C" w:rsidRDefault="00CA3C13" w:rsidP="002508ED">
            <w:pPr>
              <w:pStyle w:val="BodyText"/>
              <w:keepNext/>
              <w:keepLines/>
              <w:widowControl/>
              <w:spacing w:before="0" w:after="0"/>
              <w:jc w:val="left"/>
              <w:rPr>
                <w:i/>
                <w:color w:val="000000"/>
                <w:sz w:val="24"/>
              </w:rPr>
            </w:pPr>
            <w:r w:rsidRPr="007B5C1C">
              <w:rPr>
                <w:color w:val="000000"/>
              </w:rPr>
              <w:t xml:space="preserve">Phase 1 will include the following </w:t>
            </w:r>
            <w:r w:rsidRPr="007B5C1C">
              <w:rPr>
                <w:i/>
                <w:color w:val="000000"/>
              </w:rPr>
              <w:t>concurrent activities:</w:t>
            </w:r>
          </w:p>
          <w:p w:rsidR="002508ED" w:rsidRPr="007B5C1C" w:rsidRDefault="00CA3C13" w:rsidP="002508ED">
            <w:pPr>
              <w:pStyle w:val="BodyText"/>
              <w:keepNext/>
              <w:keepLines/>
              <w:widowControl/>
              <w:numPr>
                <w:ilvl w:val="0"/>
                <w:numId w:val="3"/>
              </w:numPr>
              <w:spacing w:before="0" w:after="0"/>
              <w:jc w:val="left"/>
              <w:rPr>
                <w:color w:val="000000"/>
                <w:sz w:val="24"/>
              </w:rPr>
            </w:pPr>
            <w:r w:rsidRPr="007B5C1C">
              <w:rPr>
                <w:color w:val="000000"/>
              </w:rPr>
              <w:t>a global review of good practice / lessons learned</w:t>
            </w:r>
          </w:p>
          <w:p w:rsidR="002508ED" w:rsidRPr="007B5C1C" w:rsidRDefault="00CA3C13" w:rsidP="002508ED">
            <w:pPr>
              <w:pStyle w:val="BodyText"/>
              <w:keepNext/>
              <w:keepLines/>
              <w:widowControl/>
              <w:numPr>
                <w:ilvl w:val="0"/>
                <w:numId w:val="3"/>
              </w:numPr>
              <w:spacing w:before="0" w:after="0"/>
              <w:jc w:val="left"/>
              <w:rPr>
                <w:color w:val="000000"/>
                <w:sz w:val="24"/>
              </w:rPr>
            </w:pPr>
            <w:r w:rsidRPr="007B5C1C">
              <w:rPr>
                <w:color w:val="000000"/>
              </w:rPr>
              <w:t>preparation and presentation to CODE (Committee on Development Effectiveness) of this Approach Paper</w:t>
            </w:r>
          </w:p>
          <w:p w:rsidR="002508ED" w:rsidRPr="007B5C1C" w:rsidRDefault="00CA3C13" w:rsidP="002508ED">
            <w:pPr>
              <w:pStyle w:val="BodyText"/>
              <w:keepNext/>
              <w:keepLines/>
              <w:widowControl/>
              <w:numPr>
                <w:ilvl w:val="0"/>
                <w:numId w:val="3"/>
              </w:numPr>
              <w:spacing w:before="0" w:after="0"/>
              <w:jc w:val="left"/>
              <w:rPr>
                <w:color w:val="000000"/>
                <w:sz w:val="24"/>
              </w:rPr>
            </w:pPr>
            <w:r w:rsidRPr="007B5C1C">
              <w:rPr>
                <w:color w:val="000000"/>
              </w:rPr>
              <w:t>initial consultations with shareholders and internal stakeholders</w:t>
            </w:r>
          </w:p>
          <w:p w:rsidR="002508ED" w:rsidRPr="007B5C1C" w:rsidRDefault="003363FD" w:rsidP="002508ED">
            <w:pPr>
              <w:pStyle w:val="BodyText"/>
              <w:keepNext/>
              <w:keepLines/>
              <w:widowControl/>
              <w:numPr>
                <w:ilvl w:val="0"/>
                <w:numId w:val="3"/>
              </w:numPr>
              <w:spacing w:before="0" w:after="0"/>
              <w:jc w:val="left"/>
              <w:rPr>
                <w:color w:val="000000"/>
                <w:sz w:val="24"/>
              </w:rPr>
            </w:pPr>
            <w:r w:rsidRPr="007B5C1C">
              <w:rPr>
                <w:color w:val="000000"/>
              </w:rPr>
              <w:t>external</w:t>
            </w:r>
            <w:r w:rsidR="00CA3C13" w:rsidRPr="007B5C1C">
              <w:rPr>
                <w:color w:val="000000"/>
              </w:rPr>
              <w:t xml:space="preserve"> consultations seeking input on opportunities, emerging directions, and options to inform drafting of a</w:t>
            </w:r>
            <w:r w:rsidR="00487551" w:rsidRPr="007B5C1C">
              <w:rPr>
                <w:color w:val="000000"/>
              </w:rPr>
              <w:t xml:space="preserve">n integrated </w:t>
            </w:r>
            <w:r w:rsidR="00CA3C13" w:rsidRPr="007B5C1C">
              <w:rPr>
                <w:color w:val="000000"/>
              </w:rPr>
              <w:t>framework</w:t>
            </w:r>
            <w:r w:rsidR="00487551" w:rsidRPr="007B5C1C">
              <w:rPr>
                <w:color w:val="000000"/>
              </w:rPr>
              <w:t>,</w:t>
            </w:r>
            <w:r w:rsidR="00CA3C13" w:rsidRPr="007B5C1C">
              <w:rPr>
                <w:color w:val="000000"/>
              </w:rPr>
              <w:t xml:space="preserve"> for a period of four months from the public disclosure of this Approach Paper</w:t>
            </w:r>
          </w:p>
          <w:p w:rsidR="002508ED" w:rsidRPr="007B5C1C" w:rsidRDefault="001A2637" w:rsidP="002508ED">
            <w:pPr>
              <w:pStyle w:val="BodyText"/>
              <w:keepNext/>
              <w:keepLines/>
              <w:widowControl/>
              <w:numPr>
                <w:ilvl w:val="0"/>
                <w:numId w:val="3"/>
              </w:numPr>
              <w:spacing w:before="0" w:after="0"/>
              <w:jc w:val="left"/>
              <w:rPr>
                <w:color w:val="000000"/>
                <w:sz w:val="24"/>
              </w:rPr>
            </w:pPr>
            <w:r w:rsidRPr="007B5C1C">
              <w:rPr>
                <w:color w:val="000000"/>
              </w:rPr>
              <w:t>expert</w:t>
            </w:r>
            <w:r w:rsidR="00CA3C13" w:rsidRPr="007B5C1C">
              <w:rPr>
                <w:color w:val="000000"/>
              </w:rPr>
              <w:t xml:space="preserve"> meetings on emerging issues</w:t>
            </w:r>
          </w:p>
          <w:p w:rsidR="002508ED" w:rsidRPr="007B5C1C" w:rsidRDefault="00CA3C13" w:rsidP="002508ED">
            <w:pPr>
              <w:pStyle w:val="BodyText"/>
              <w:keepNext/>
              <w:keepLines/>
              <w:widowControl/>
              <w:numPr>
                <w:ilvl w:val="0"/>
                <w:numId w:val="3"/>
              </w:numPr>
              <w:spacing w:before="0" w:after="0"/>
              <w:jc w:val="left"/>
              <w:rPr>
                <w:color w:val="000000"/>
                <w:sz w:val="24"/>
              </w:rPr>
            </w:pPr>
            <w:r w:rsidRPr="007B5C1C">
              <w:rPr>
                <w:color w:val="000000"/>
              </w:rPr>
              <w:t>preparation of an initial draft</w:t>
            </w:r>
            <w:r w:rsidR="00A46BE0" w:rsidRPr="007B5C1C">
              <w:rPr>
                <w:color w:val="000000"/>
              </w:rPr>
              <w:t xml:space="preserve"> of </w:t>
            </w:r>
            <w:r w:rsidR="00143089" w:rsidRPr="007B5C1C">
              <w:rPr>
                <w:color w:val="000000"/>
              </w:rPr>
              <w:t xml:space="preserve">an </w:t>
            </w:r>
            <w:r w:rsidRPr="007B5C1C">
              <w:rPr>
                <w:color w:val="000000"/>
              </w:rPr>
              <w:t>integrated framework</w:t>
            </w:r>
            <w:r w:rsidR="00A46BE0" w:rsidRPr="007B5C1C">
              <w:rPr>
                <w:color w:val="000000"/>
              </w:rPr>
              <w:t xml:space="preserve">, </w:t>
            </w:r>
            <w:r w:rsidRPr="007B5C1C">
              <w:rPr>
                <w:color w:val="000000"/>
              </w:rPr>
              <w:t>incorporat</w:t>
            </w:r>
            <w:r w:rsidR="00A46BE0" w:rsidRPr="007B5C1C">
              <w:rPr>
                <w:color w:val="000000"/>
              </w:rPr>
              <w:t>ing</w:t>
            </w:r>
            <w:r w:rsidRPr="007B5C1C">
              <w:rPr>
                <w:color w:val="000000"/>
              </w:rPr>
              <w:t xml:space="preserve"> </w:t>
            </w:r>
            <w:r w:rsidR="00A46BE0" w:rsidRPr="007B5C1C">
              <w:rPr>
                <w:color w:val="000000"/>
              </w:rPr>
              <w:t>the objectives of the review and update process</w:t>
            </w:r>
            <w:r w:rsidR="00E5571D" w:rsidRPr="007B5C1C">
              <w:rPr>
                <w:color w:val="000000"/>
              </w:rPr>
              <w:t xml:space="preserve"> and</w:t>
            </w:r>
            <w:r w:rsidR="00A46BE0" w:rsidRPr="007B5C1C">
              <w:rPr>
                <w:color w:val="000000"/>
              </w:rPr>
              <w:t xml:space="preserve"> </w:t>
            </w:r>
            <w:r w:rsidR="00E5571D" w:rsidRPr="007B5C1C">
              <w:rPr>
                <w:color w:val="000000"/>
              </w:rPr>
              <w:t xml:space="preserve">taking into account </w:t>
            </w:r>
            <w:r w:rsidRPr="007B5C1C">
              <w:rPr>
                <w:color w:val="000000"/>
              </w:rPr>
              <w:t>feedback received from stakeholders</w:t>
            </w:r>
          </w:p>
        </w:tc>
      </w:tr>
      <w:tr w:rsidR="00CA3C13" w:rsidRPr="007B5C1C">
        <w:tc>
          <w:tcPr>
            <w:tcW w:w="1481" w:type="dxa"/>
            <w:shd w:val="clear" w:color="auto" w:fill="FFFFFF" w:themeFill="background1"/>
          </w:tcPr>
          <w:p w:rsidR="002508ED" w:rsidRPr="007B5C1C" w:rsidRDefault="0008462F" w:rsidP="0008462F">
            <w:pPr>
              <w:pStyle w:val="BodyText"/>
              <w:widowControl/>
              <w:spacing w:before="0" w:after="0"/>
              <w:rPr>
                <w:b/>
                <w:i/>
                <w:color w:val="000000"/>
                <w:sz w:val="24"/>
              </w:rPr>
            </w:pPr>
            <w:r w:rsidRPr="007B5C1C">
              <w:rPr>
                <w:b/>
                <w:i/>
                <w:color w:val="000000"/>
              </w:rPr>
              <w:t>May</w:t>
            </w:r>
            <w:r w:rsidR="00CA3C13" w:rsidRPr="007B5C1C">
              <w:rPr>
                <w:b/>
                <w:i/>
                <w:color w:val="000000"/>
              </w:rPr>
              <w:t xml:space="preserve"> 2013</w:t>
            </w:r>
            <w:r w:rsidR="00487551" w:rsidRPr="007B5C1C">
              <w:rPr>
                <w:b/>
                <w:i/>
                <w:color w:val="000000"/>
              </w:rPr>
              <w:t xml:space="preserve"> – </w:t>
            </w:r>
            <w:r w:rsidR="00031C2B" w:rsidRPr="007B5C1C">
              <w:rPr>
                <w:b/>
                <w:i/>
                <w:color w:val="000000"/>
              </w:rPr>
              <w:t>Nov</w:t>
            </w:r>
            <w:r w:rsidR="00CA3C13" w:rsidRPr="007B5C1C">
              <w:rPr>
                <w:b/>
                <w:i/>
                <w:color w:val="000000"/>
              </w:rPr>
              <w:t xml:space="preserve"> 2013</w:t>
            </w:r>
          </w:p>
        </w:tc>
        <w:tc>
          <w:tcPr>
            <w:tcW w:w="2666" w:type="dxa"/>
            <w:shd w:val="clear" w:color="auto" w:fill="FFFFFF" w:themeFill="background1"/>
          </w:tcPr>
          <w:p w:rsidR="002508ED" w:rsidRPr="007B5C1C" w:rsidRDefault="00CA3C13" w:rsidP="002508ED">
            <w:pPr>
              <w:pStyle w:val="BodyText"/>
              <w:widowControl/>
              <w:spacing w:before="0" w:after="0"/>
              <w:jc w:val="left"/>
              <w:rPr>
                <w:b/>
                <w:color w:val="000000"/>
                <w:sz w:val="24"/>
              </w:rPr>
            </w:pPr>
            <w:r w:rsidRPr="007B5C1C">
              <w:rPr>
                <w:b/>
                <w:i/>
                <w:color w:val="000000"/>
              </w:rPr>
              <w:t xml:space="preserve">Phase 2: Initial Draft Integrated Framework </w:t>
            </w:r>
          </w:p>
        </w:tc>
        <w:tc>
          <w:tcPr>
            <w:tcW w:w="5494" w:type="dxa"/>
            <w:shd w:val="clear" w:color="auto" w:fill="FFFFFF" w:themeFill="background1"/>
          </w:tcPr>
          <w:p w:rsidR="002508ED" w:rsidRPr="007B5C1C" w:rsidRDefault="00CA3C13" w:rsidP="002508ED">
            <w:pPr>
              <w:pStyle w:val="BodyText"/>
              <w:widowControl/>
              <w:spacing w:before="0" w:after="0"/>
              <w:jc w:val="left"/>
              <w:rPr>
                <w:color w:val="000000"/>
                <w:sz w:val="24"/>
              </w:rPr>
            </w:pPr>
            <w:r w:rsidRPr="007B5C1C">
              <w:rPr>
                <w:color w:val="000000"/>
              </w:rPr>
              <w:t>Phase 2 will include:</w:t>
            </w:r>
          </w:p>
          <w:p w:rsidR="002508ED" w:rsidRPr="007B5C1C" w:rsidRDefault="00CA3C13" w:rsidP="002508ED">
            <w:pPr>
              <w:pStyle w:val="BodyText"/>
              <w:widowControl/>
              <w:numPr>
                <w:ilvl w:val="0"/>
                <w:numId w:val="4"/>
              </w:numPr>
              <w:spacing w:before="0" w:after="0"/>
              <w:jc w:val="left"/>
              <w:rPr>
                <w:color w:val="000000"/>
                <w:sz w:val="24"/>
              </w:rPr>
            </w:pPr>
            <w:r w:rsidRPr="007B5C1C">
              <w:rPr>
                <w:color w:val="000000"/>
              </w:rPr>
              <w:t>report to CODE on the outcome of the Phase 1 activities, and presentation of initial draft integrated framework</w:t>
            </w:r>
          </w:p>
          <w:p w:rsidR="002508ED" w:rsidRPr="007B5C1C" w:rsidRDefault="003363FD" w:rsidP="002508ED">
            <w:pPr>
              <w:pStyle w:val="BodyText"/>
              <w:widowControl/>
              <w:numPr>
                <w:ilvl w:val="0"/>
                <w:numId w:val="4"/>
              </w:numPr>
              <w:spacing w:before="0" w:after="0"/>
              <w:jc w:val="left"/>
              <w:rPr>
                <w:color w:val="000000"/>
                <w:sz w:val="24"/>
              </w:rPr>
            </w:pPr>
            <w:r w:rsidRPr="007B5C1C">
              <w:rPr>
                <w:color w:val="000000"/>
              </w:rPr>
              <w:t>external</w:t>
            </w:r>
            <w:r w:rsidR="00CA3C13" w:rsidRPr="007B5C1C">
              <w:rPr>
                <w:color w:val="000000"/>
              </w:rPr>
              <w:t xml:space="preserve"> consultations seeking feedback on initial draft integrated framework for a period of </w:t>
            </w:r>
            <w:r w:rsidR="00031C2B" w:rsidRPr="007B5C1C">
              <w:rPr>
                <w:color w:val="000000"/>
              </w:rPr>
              <w:t>three</w:t>
            </w:r>
            <w:r w:rsidR="00CA3C13" w:rsidRPr="007B5C1C">
              <w:rPr>
                <w:color w:val="000000"/>
              </w:rPr>
              <w:t xml:space="preserve"> months </w:t>
            </w:r>
          </w:p>
          <w:p w:rsidR="002508ED" w:rsidRPr="007B5C1C" w:rsidRDefault="00CA3C13" w:rsidP="002508ED">
            <w:pPr>
              <w:pStyle w:val="BodyText"/>
              <w:widowControl/>
              <w:numPr>
                <w:ilvl w:val="0"/>
                <w:numId w:val="4"/>
              </w:numPr>
              <w:spacing w:before="0" w:after="0"/>
              <w:jc w:val="left"/>
              <w:rPr>
                <w:color w:val="000000"/>
                <w:sz w:val="24"/>
              </w:rPr>
            </w:pPr>
            <w:r w:rsidRPr="007B5C1C">
              <w:rPr>
                <w:color w:val="000000"/>
              </w:rPr>
              <w:t xml:space="preserve">preparation of draft integrated framework that </w:t>
            </w:r>
            <w:r w:rsidR="00E5571D" w:rsidRPr="007B5C1C">
              <w:rPr>
                <w:color w:val="000000"/>
              </w:rPr>
              <w:t>takes into account</w:t>
            </w:r>
            <w:r w:rsidRPr="007B5C1C">
              <w:rPr>
                <w:color w:val="000000"/>
              </w:rPr>
              <w:t xml:space="preserve"> feedback received from stakeholders</w:t>
            </w:r>
          </w:p>
        </w:tc>
      </w:tr>
      <w:tr w:rsidR="00CA3C13" w:rsidRPr="007B5C1C">
        <w:tc>
          <w:tcPr>
            <w:tcW w:w="1481" w:type="dxa"/>
            <w:shd w:val="clear" w:color="auto" w:fill="FFFFFF" w:themeFill="background1"/>
          </w:tcPr>
          <w:p w:rsidR="002508ED" w:rsidRPr="007B5C1C" w:rsidRDefault="00031C2B" w:rsidP="002508ED">
            <w:pPr>
              <w:pStyle w:val="BodyText"/>
              <w:widowControl/>
              <w:spacing w:before="0" w:after="0"/>
              <w:rPr>
                <w:b/>
                <w:i/>
                <w:color w:val="000000"/>
                <w:sz w:val="24"/>
              </w:rPr>
            </w:pPr>
            <w:r w:rsidRPr="007B5C1C">
              <w:rPr>
                <w:b/>
                <w:i/>
                <w:color w:val="000000"/>
              </w:rPr>
              <w:t xml:space="preserve">Dec </w:t>
            </w:r>
            <w:r w:rsidR="00CA3C13" w:rsidRPr="007B5C1C">
              <w:rPr>
                <w:b/>
                <w:i/>
                <w:color w:val="000000"/>
              </w:rPr>
              <w:t>2013</w:t>
            </w:r>
            <w:r w:rsidR="00487551" w:rsidRPr="007B5C1C">
              <w:rPr>
                <w:b/>
                <w:i/>
                <w:color w:val="000000"/>
              </w:rPr>
              <w:t xml:space="preserve"> – </w:t>
            </w:r>
            <w:r w:rsidR="00CA3C13" w:rsidRPr="007B5C1C">
              <w:rPr>
                <w:b/>
                <w:i/>
                <w:color w:val="000000"/>
              </w:rPr>
              <w:t>June 2014</w:t>
            </w:r>
          </w:p>
          <w:p w:rsidR="002508ED" w:rsidRPr="007B5C1C" w:rsidRDefault="002508ED" w:rsidP="002508ED">
            <w:pPr>
              <w:pStyle w:val="BodyText"/>
              <w:widowControl/>
              <w:spacing w:before="0" w:after="0"/>
              <w:rPr>
                <w:b/>
                <w:i/>
                <w:color w:val="000000"/>
                <w:sz w:val="24"/>
              </w:rPr>
            </w:pPr>
          </w:p>
        </w:tc>
        <w:tc>
          <w:tcPr>
            <w:tcW w:w="2666" w:type="dxa"/>
            <w:shd w:val="clear" w:color="auto" w:fill="FFFFFF" w:themeFill="background1"/>
          </w:tcPr>
          <w:p w:rsidR="002508ED" w:rsidRPr="007B5C1C" w:rsidRDefault="00CA3C13" w:rsidP="002508ED">
            <w:pPr>
              <w:pStyle w:val="BodyText"/>
              <w:widowControl/>
              <w:spacing w:before="0" w:after="0"/>
              <w:jc w:val="left"/>
              <w:rPr>
                <w:b/>
                <w:i/>
                <w:color w:val="000000"/>
                <w:sz w:val="24"/>
              </w:rPr>
            </w:pPr>
            <w:r w:rsidRPr="007B5C1C">
              <w:rPr>
                <w:b/>
                <w:i/>
                <w:color w:val="000000"/>
              </w:rPr>
              <w:t xml:space="preserve">Phase 3: Final Integrated Framework </w:t>
            </w:r>
            <w:r w:rsidR="00C35F1A" w:rsidRPr="007B5C1C">
              <w:rPr>
                <w:b/>
                <w:i/>
                <w:color w:val="000000"/>
              </w:rPr>
              <w:t>and Policy Recommendations</w:t>
            </w:r>
          </w:p>
        </w:tc>
        <w:tc>
          <w:tcPr>
            <w:tcW w:w="5494" w:type="dxa"/>
            <w:shd w:val="clear" w:color="auto" w:fill="FFFFFF" w:themeFill="background1"/>
          </w:tcPr>
          <w:p w:rsidR="002508ED" w:rsidRPr="007B5C1C" w:rsidRDefault="00CA3C13" w:rsidP="002508ED">
            <w:pPr>
              <w:pStyle w:val="BodyText"/>
              <w:widowControl/>
              <w:spacing w:before="0" w:after="0"/>
              <w:jc w:val="left"/>
              <w:rPr>
                <w:color w:val="000000"/>
                <w:sz w:val="24"/>
              </w:rPr>
            </w:pPr>
            <w:r w:rsidRPr="007B5C1C">
              <w:rPr>
                <w:color w:val="000000"/>
              </w:rPr>
              <w:t>Phase 3 will include:</w:t>
            </w:r>
          </w:p>
          <w:p w:rsidR="002508ED" w:rsidRPr="007B5C1C" w:rsidRDefault="00CA3C13" w:rsidP="002508ED">
            <w:pPr>
              <w:pStyle w:val="BodyText"/>
              <w:widowControl/>
              <w:numPr>
                <w:ilvl w:val="0"/>
                <w:numId w:val="5"/>
              </w:numPr>
              <w:spacing w:before="0" w:after="0"/>
              <w:jc w:val="left"/>
              <w:rPr>
                <w:color w:val="000000"/>
                <w:sz w:val="24"/>
              </w:rPr>
            </w:pPr>
            <w:r w:rsidRPr="007B5C1C">
              <w:rPr>
                <w:color w:val="000000"/>
              </w:rPr>
              <w:t>report to CODE on the outcome of the Phase 2 activities, and presentation of second draft integrated framework</w:t>
            </w:r>
          </w:p>
          <w:p w:rsidR="002508ED" w:rsidRPr="007B5C1C" w:rsidRDefault="003363FD" w:rsidP="002508ED">
            <w:pPr>
              <w:pStyle w:val="BodyText"/>
              <w:widowControl/>
              <w:numPr>
                <w:ilvl w:val="0"/>
                <w:numId w:val="5"/>
              </w:numPr>
              <w:spacing w:before="0" w:after="0"/>
              <w:jc w:val="left"/>
              <w:rPr>
                <w:color w:val="000000"/>
                <w:sz w:val="24"/>
              </w:rPr>
            </w:pPr>
            <w:r w:rsidRPr="007B5C1C">
              <w:rPr>
                <w:color w:val="000000"/>
              </w:rPr>
              <w:t>external</w:t>
            </w:r>
            <w:r w:rsidR="00CA3C13" w:rsidRPr="007B5C1C">
              <w:rPr>
                <w:color w:val="000000"/>
              </w:rPr>
              <w:t xml:space="preserve"> consultations seeking feedback on second draft integrated framework for a period of three months</w:t>
            </w:r>
          </w:p>
          <w:p w:rsidR="002508ED" w:rsidRPr="007B5C1C" w:rsidRDefault="00CA3C13" w:rsidP="002508ED">
            <w:pPr>
              <w:pStyle w:val="BodyText"/>
              <w:widowControl/>
              <w:numPr>
                <w:ilvl w:val="0"/>
                <w:numId w:val="5"/>
              </w:numPr>
              <w:spacing w:before="0" w:after="0"/>
              <w:jc w:val="left"/>
              <w:rPr>
                <w:color w:val="000000"/>
                <w:sz w:val="24"/>
              </w:rPr>
            </w:pPr>
            <w:r w:rsidRPr="007B5C1C">
              <w:rPr>
                <w:color w:val="000000"/>
              </w:rPr>
              <w:t xml:space="preserve">preparation of final integrated framework that </w:t>
            </w:r>
            <w:r w:rsidR="00610E34" w:rsidRPr="007B5C1C">
              <w:rPr>
                <w:color w:val="000000"/>
              </w:rPr>
              <w:t>takes into account</w:t>
            </w:r>
            <w:r w:rsidRPr="007B5C1C">
              <w:rPr>
                <w:color w:val="000000"/>
              </w:rPr>
              <w:t xml:space="preserve"> feedback received from stakeholders</w:t>
            </w:r>
          </w:p>
          <w:p w:rsidR="002508ED" w:rsidRPr="007B5C1C" w:rsidRDefault="00CA3C13" w:rsidP="00C35F1A">
            <w:pPr>
              <w:pStyle w:val="BodyText"/>
              <w:widowControl/>
              <w:numPr>
                <w:ilvl w:val="0"/>
                <w:numId w:val="5"/>
              </w:numPr>
              <w:spacing w:before="0" w:after="0"/>
              <w:jc w:val="left"/>
              <w:rPr>
                <w:rFonts w:cs="Times New Roman"/>
                <w:color w:val="000000"/>
                <w:sz w:val="24"/>
                <w:szCs w:val="24"/>
              </w:rPr>
            </w:pPr>
            <w:r w:rsidRPr="007B5C1C">
              <w:rPr>
                <w:color w:val="000000"/>
              </w:rPr>
              <w:t xml:space="preserve">report to the Board of Directors on the outcome of the consultations on second draft integrated framework, and presentation of </w:t>
            </w:r>
            <w:r w:rsidR="00C35F1A" w:rsidRPr="007B5C1C">
              <w:rPr>
                <w:color w:val="000000"/>
              </w:rPr>
              <w:t xml:space="preserve">the policy recommendations </w:t>
            </w:r>
            <w:r w:rsidRPr="007B5C1C">
              <w:rPr>
                <w:color w:val="000000"/>
              </w:rPr>
              <w:t>for approval</w:t>
            </w:r>
          </w:p>
        </w:tc>
      </w:tr>
    </w:tbl>
    <w:p w:rsidR="002508ED" w:rsidRPr="007B5C1C" w:rsidRDefault="002508ED" w:rsidP="002508ED">
      <w:pPr>
        <w:pStyle w:val="BodyText"/>
        <w:widowControl/>
        <w:spacing w:before="0" w:after="200" w:line="276" w:lineRule="auto"/>
        <w:rPr>
          <w:color w:val="000000"/>
        </w:rPr>
      </w:pPr>
    </w:p>
    <w:p w:rsidR="002508ED" w:rsidRPr="007B5C1C" w:rsidRDefault="00CA3C13" w:rsidP="00F668DA">
      <w:pPr>
        <w:pStyle w:val="ippara2"/>
      </w:pPr>
      <w:r w:rsidRPr="007B5C1C">
        <w:rPr>
          <w:b/>
          <w:i/>
        </w:rPr>
        <w:t xml:space="preserve">Three </w:t>
      </w:r>
      <w:r w:rsidR="00143089" w:rsidRPr="007B5C1C">
        <w:rPr>
          <w:b/>
          <w:i/>
        </w:rPr>
        <w:t xml:space="preserve">phase </w:t>
      </w:r>
      <w:r w:rsidRPr="007B5C1C">
        <w:rPr>
          <w:b/>
          <w:i/>
        </w:rPr>
        <w:t xml:space="preserve">process with three consultation periods. </w:t>
      </w:r>
      <w:r w:rsidRPr="007B5C1C">
        <w:t xml:space="preserve">A public consultation period will be built into each of the three phases of the review and update process. </w:t>
      </w:r>
      <w:r w:rsidR="00D556DB" w:rsidRPr="007B5C1C">
        <w:t xml:space="preserve">After CODE endorsement of this Approach Paper, the Phase 1 consultation will be launched. Subsequently, Management </w:t>
      </w:r>
      <w:r w:rsidR="00D556DB" w:rsidRPr="007B5C1C">
        <w:lastRenderedPageBreak/>
        <w:t xml:space="preserve">will </w:t>
      </w:r>
      <w:r w:rsidR="00EC04CE">
        <w:t>discuss draft documents</w:t>
      </w:r>
      <w:r w:rsidR="00D556DB" w:rsidRPr="007B5C1C">
        <w:t xml:space="preserve"> with CODE </w:t>
      </w:r>
      <w:r w:rsidR="00EC04CE">
        <w:t>before</w:t>
      </w:r>
      <w:r w:rsidR="00D556DB" w:rsidRPr="007B5C1C">
        <w:t xml:space="preserve"> the start of the consultations for Phases 2 and 3 </w:t>
      </w:r>
      <w:r w:rsidR="00EC04CE">
        <w:t xml:space="preserve">and </w:t>
      </w:r>
      <w:r w:rsidR="00D556DB" w:rsidRPr="007B5C1C">
        <w:t>before making any draft documents public.</w:t>
      </w:r>
    </w:p>
    <w:p w:rsidR="002508ED" w:rsidRPr="007B5C1C" w:rsidRDefault="000848D6" w:rsidP="002508ED">
      <w:pPr>
        <w:pStyle w:val="BodyText"/>
        <w:widowControl/>
        <w:numPr>
          <w:ilvl w:val="0"/>
          <w:numId w:val="9"/>
        </w:numPr>
        <w:spacing w:before="0" w:after="200" w:line="276" w:lineRule="auto"/>
        <w:ind w:left="720"/>
        <w:rPr>
          <w:color w:val="000000"/>
        </w:rPr>
      </w:pPr>
      <w:r w:rsidRPr="007B5C1C">
        <w:rPr>
          <w:i/>
          <w:color w:val="000000"/>
        </w:rPr>
        <w:t>P</w:t>
      </w:r>
      <w:r w:rsidR="00A533C2" w:rsidRPr="007B5C1C">
        <w:rPr>
          <w:i/>
          <w:color w:val="000000"/>
        </w:rPr>
        <w:t>hase</w:t>
      </w:r>
      <w:r w:rsidRPr="007B5C1C">
        <w:rPr>
          <w:i/>
          <w:color w:val="000000"/>
        </w:rPr>
        <w:t xml:space="preserve"> 1</w:t>
      </w:r>
      <w:r w:rsidR="00913DD1" w:rsidRPr="007B5C1C">
        <w:rPr>
          <w:i/>
          <w:color w:val="000000"/>
        </w:rPr>
        <w:t>.</w:t>
      </w:r>
      <w:r w:rsidR="00CA3C13" w:rsidRPr="007B5C1C">
        <w:rPr>
          <w:b/>
          <w:color w:val="000000"/>
        </w:rPr>
        <w:t xml:space="preserve"> </w:t>
      </w:r>
      <w:r w:rsidR="00CA3C13" w:rsidRPr="007B5C1C">
        <w:rPr>
          <w:color w:val="000000"/>
        </w:rPr>
        <w:t xml:space="preserve">This Approach Paper </w:t>
      </w:r>
      <w:r w:rsidR="00031C2B" w:rsidRPr="007B5C1C">
        <w:rPr>
          <w:color w:val="000000"/>
        </w:rPr>
        <w:t xml:space="preserve">and some initial consultation questions </w:t>
      </w:r>
      <w:r w:rsidR="006C13F9" w:rsidRPr="007B5C1C">
        <w:rPr>
          <w:color w:val="000000"/>
        </w:rPr>
        <w:t xml:space="preserve">(see Annex A) </w:t>
      </w:r>
      <w:r w:rsidR="00CA3C13" w:rsidRPr="007B5C1C">
        <w:rPr>
          <w:color w:val="000000"/>
        </w:rPr>
        <w:t xml:space="preserve">will be posted on the consultation website for comment. </w:t>
      </w:r>
      <w:r w:rsidR="00710D3B" w:rsidRPr="007B5C1C">
        <w:rPr>
          <w:color w:val="000000"/>
        </w:rPr>
        <w:t xml:space="preserve">The Bank will </w:t>
      </w:r>
      <w:r w:rsidR="00FF5F61" w:rsidRPr="007B5C1C">
        <w:rPr>
          <w:color w:val="000000"/>
        </w:rPr>
        <w:t xml:space="preserve">begin its </w:t>
      </w:r>
      <w:r w:rsidR="00710D3B" w:rsidRPr="007B5C1C">
        <w:rPr>
          <w:color w:val="000000"/>
        </w:rPr>
        <w:t>engage</w:t>
      </w:r>
      <w:r w:rsidR="00FF5F61" w:rsidRPr="007B5C1C">
        <w:rPr>
          <w:color w:val="000000"/>
        </w:rPr>
        <w:t>ment</w:t>
      </w:r>
      <w:r w:rsidR="00710D3B" w:rsidRPr="007B5C1C">
        <w:rPr>
          <w:color w:val="000000"/>
        </w:rPr>
        <w:t xml:space="preserve"> with its shareholders and internal stakeholders to seek consensus on </w:t>
      </w:r>
      <w:r w:rsidR="00B96D9B" w:rsidRPr="007B5C1C">
        <w:rPr>
          <w:color w:val="000000"/>
        </w:rPr>
        <w:t>the approach to the review and update</w:t>
      </w:r>
      <w:r w:rsidR="00710D3B" w:rsidRPr="007B5C1C">
        <w:rPr>
          <w:color w:val="000000"/>
        </w:rPr>
        <w:t>.</w:t>
      </w:r>
      <w:r w:rsidR="0095163E" w:rsidRPr="007B5C1C">
        <w:rPr>
          <w:color w:val="000000"/>
        </w:rPr>
        <w:t xml:space="preserve"> </w:t>
      </w:r>
      <w:r w:rsidR="00B96D9B" w:rsidRPr="007B5C1C">
        <w:rPr>
          <w:color w:val="000000"/>
        </w:rPr>
        <w:t>Dur</w:t>
      </w:r>
      <w:r w:rsidR="00CA3C13" w:rsidRPr="007B5C1C">
        <w:rPr>
          <w:color w:val="000000"/>
        </w:rPr>
        <w:t xml:space="preserve">ing this time, </w:t>
      </w:r>
      <w:r w:rsidR="00B96D9B" w:rsidRPr="007B5C1C">
        <w:rPr>
          <w:color w:val="000000"/>
        </w:rPr>
        <w:t xml:space="preserve">following internal consultations, </w:t>
      </w:r>
      <w:r w:rsidR="00CA3C13" w:rsidRPr="007B5C1C">
        <w:rPr>
          <w:color w:val="000000"/>
        </w:rPr>
        <w:t xml:space="preserve">the Bank will </w:t>
      </w:r>
      <w:r w:rsidR="00686AC4" w:rsidRPr="007B5C1C">
        <w:rPr>
          <w:color w:val="000000"/>
        </w:rPr>
        <w:t>convene a series of dialogues with</w:t>
      </w:r>
      <w:r w:rsidR="009719CB" w:rsidRPr="007B5C1C">
        <w:rPr>
          <w:color w:val="000000"/>
        </w:rPr>
        <w:t xml:space="preserve"> selected</w:t>
      </w:r>
      <w:r w:rsidR="00710D3B" w:rsidRPr="007B5C1C">
        <w:rPr>
          <w:color w:val="000000"/>
        </w:rPr>
        <w:t xml:space="preserve"> </w:t>
      </w:r>
      <w:r w:rsidR="00686AC4" w:rsidRPr="007B5C1C">
        <w:rPr>
          <w:color w:val="000000"/>
        </w:rPr>
        <w:t xml:space="preserve">experts </w:t>
      </w:r>
      <w:r w:rsidR="00CA3C13" w:rsidRPr="007B5C1C">
        <w:rPr>
          <w:color w:val="000000"/>
        </w:rPr>
        <w:t xml:space="preserve">on the emerging </w:t>
      </w:r>
      <w:r w:rsidR="00A93B78" w:rsidRPr="007B5C1C">
        <w:rPr>
          <w:color w:val="000000"/>
        </w:rPr>
        <w:t>areas</w:t>
      </w:r>
      <w:r w:rsidR="00CA3C13" w:rsidRPr="007B5C1C">
        <w:rPr>
          <w:color w:val="000000"/>
        </w:rPr>
        <w:t xml:space="preserve"> to help inform the analysis and shape the development of </w:t>
      </w:r>
      <w:r w:rsidR="00143089" w:rsidRPr="007B5C1C">
        <w:rPr>
          <w:color w:val="000000"/>
        </w:rPr>
        <w:t xml:space="preserve">a </w:t>
      </w:r>
      <w:r w:rsidR="00CA3C13" w:rsidRPr="007B5C1C">
        <w:rPr>
          <w:color w:val="000000"/>
        </w:rPr>
        <w:t>first draft integrated framework. In addition, there will be targeted face-to-face meetings with stakeholders groups, including selected project-affected communities.</w:t>
      </w:r>
      <w:r w:rsidR="006867EB" w:rsidRPr="007B5C1C">
        <w:rPr>
          <w:color w:val="000000"/>
        </w:rPr>
        <w:t xml:space="preserve"> </w:t>
      </w:r>
    </w:p>
    <w:p w:rsidR="002508ED" w:rsidRPr="007B5C1C" w:rsidRDefault="000848D6" w:rsidP="002508ED">
      <w:pPr>
        <w:pStyle w:val="BodyText"/>
        <w:widowControl/>
        <w:numPr>
          <w:ilvl w:val="0"/>
          <w:numId w:val="9"/>
        </w:numPr>
        <w:spacing w:before="0" w:after="200" w:line="276" w:lineRule="auto"/>
        <w:ind w:left="720"/>
        <w:rPr>
          <w:color w:val="000000"/>
        </w:rPr>
      </w:pPr>
      <w:r w:rsidRPr="007B5C1C">
        <w:rPr>
          <w:i/>
          <w:color w:val="000000"/>
        </w:rPr>
        <w:t>P</w:t>
      </w:r>
      <w:r w:rsidR="00A533C2" w:rsidRPr="007B5C1C">
        <w:rPr>
          <w:i/>
          <w:color w:val="000000"/>
        </w:rPr>
        <w:t>hase</w:t>
      </w:r>
      <w:r w:rsidRPr="007B5C1C">
        <w:rPr>
          <w:i/>
          <w:color w:val="000000"/>
        </w:rPr>
        <w:t xml:space="preserve"> 2</w:t>
      </w:r>
      <w:r w:rsidR="00A533C2" w:rsidRPr="007B5C1C">
        <w:rPr>
          <w:i/>
          <w:color w:val="000000"/>
        </w:rPr>
        <w:t>.</w:t>
      </w:r>
      <w:r w:rsidR="00CA3C13" w:rsidRPr="007B5C1C">
        <w:rPr>
          <w:b/>
          <w:color w:val="000000"/>
        </w:rPr>
        <w:t xml:space="preserve"> </w:t>
      </w:r>
      <w:r w:rsidR="00DD466A" w:rsidRPr="007B5C1C">
        <w:rPr>
          <w:color w:val="000000"/>
        </w:rPr>
        <w:t>Consultations during t</w:t>
      </w:r>
      <w:r w:rsidR="00CA3C13" w:rsidRPr="007B5C1C">
        <w:rPr>
          <w:color w:val="000000"/>
        </w:rPr>
        <w:t xml:space="preserve">his phase will focus on soliciting feedback on </w:t>
      </w:r>
      <w:r w:rsidR="00143089" w:rsidRPr="007B5C1C">
        <w:rPr>
          <w:color w:val="000000"/>
        </w:rPr>
        <w:t xml:space="preserve">a </w:t>
      </w:r>
      <w:r w:rsidR="00CA3C13" w:rsidRPr="007B5C1C">
        <w:rPr>
          <w:color w:val="000000"/>
        </w:rPr>
        <w:t xml:space="preserve">first draft </w:t>
      </w:r>
      <w:r w:rsidR="00913DD1" w:rsidRPr="007B5C1C">
        <w:rPr>
          <w:color w:val="000000"/>
        </w:rPr>
        <w:t>i</w:t>
      </w:r>
      <w:r w:rsidR="00CA3C13" w:rsidRPr="007B5C1C">
        <w:rPr>
          <w:color w:val="000000"/>
        </w:rPr>
        <w:t xml:space="preserve">ntegrated </w:t>
      </w:r>
      <w:r w:rsidR="00913DD1" w:rsidRPr="007B5C1C">
        <w:rPr>
          <w:color w:val="000000"/>
        </w:rPr>
        <w:t>f</w:t>
      </w:r>
      <w:r w:rsidR="00CA3C13" w:rsidRPr="007B5C1C">
        <w:rPr>
          <w:color w:val="000000"/>
        </w:rPr>
        <w:t xml:space="preserve">ramework. The Bank will organize face-to-face meetings and connect multiple </w:t>
      </w:r>
      <w:r w:rsidR="00CA3C13" w:rsidRPr="007B5C1C">
        <w:t>sites</w:t>
      </w:r>
      <w:r w:rsidR="00CA3C13" w:rsidRPr="007B5C1C">
        <w:rPr>
          <w:color w:val="000000"/>
        </w:rPr>
        <w:t xml:space="preserve"> via video-conferencing to facilitate reaching as many countries as possible. Focus groups with project-affected communities will continue during this phase, and interested stakeholders will also be able to comment on-line through the website. In addition there will be a series of issue-specific e-conferences to gather feedback on </w:t>
      </w:r>
      <w:r w:rsidR="00913DD1" w:rsidRPr="007B5C1C">
        <w:rPr>
          <w:color w:val="000000"/>
        </w:rPr>
        <w:t xml:space="preserve">particular </w:t>
      </w:r>
      <w:r w:rsidR="00CA3C13" w:rsidRPr="007B5C1C">
        <w:rPr>
          <w:color w:val="000000"/>
        </w:rPr>
        <w:t xml:space="preserve">topics. </w:t>
      </w:r>
    </w:p>
    <w:p w:rsidR="002508ED" w:rsidRPr="007B5C1C" w:rsidRDefault="000848D6" w:rsidP="002508ED">
      <w:pPr>
        <w:pStyle w:val="BodyText"/>
        <w:widowControl/>
        <w:numPr>
          <w:ilvl w:val="0"/>
          <w:numId w:val="9"/>
        </w:numPr>
        <w:spacing w:before="0" w:after="200" w:line="276" w:lineRule="auto"/>
        <w:ind w:left="720"/>
        <w:rPr>
          <w:color w:val="000000"/>
        </w:rPr>
      </w:pPr>
      <w:r w:rsidRPr="007B5C1C">
        <w:rPr>
          <w:i/>
          <w:color w:val="000000"/>
        </w:rPr>
        <w:t>P</w:t>
      </w:r>
      <w:r w:rsidR="00A533C2" w:rsidRPr="007B5C1C">
        <w:rPr>
          <w:i/>
          <w:color w:val="000000"/>
        </w:rPr>
        <w:t>hase</w:t>
      </w:r>
      <w:r w:rsidRPr="007B5C1C">
        <w:rPr>
          <w:i/>
          <w:color w:val="000000"/>
        </w:rPr>
        <w:t xml:space="preserve"> 3</w:t>
      </w:r>
      <w:r w:rsidR="00A533C2" w:rsidRPr="007B5C1C">
        <w:rPr>
          <w:i/>
          <w:color w:val="000000"/>
        </w:rPr>
        <w:t>.</w:t>
      </w:r>
      <w:r w:rsidR="00913DD1" w:rsidRPr="007B5C1C">
        <w:rPr>
          <w:b/>
          <w:color w:val="000000"/>
        </w:rPr>
        <w:t xml:space="preserve"> </w:t>
      </w:r>
      <w:r w:rsidR="00CA3C13" w:rsidRPr="007B5C1C">
        <w:rPr>
          <w:color w:val="000000"/>
        </w:rPr>
        <w:t>During the third and last phase, consultation will largely be conducted on</w:t>
      </w:r>
      <w:r w:rsidR="00913DD1" w:rsidRPr="007B5C1C">
        <w:rPr>
          <w:color w:val="000000"/>
        </w:rPr>
        <w:t>-</w:t>
      </w:r>
      <w:r w:rsidR="00CA3C13" w:rsidRPr="007B5C1C">
        <w:rPr>
          <w:color w:val="000000"/>
        </w:rPr>
        <w:t>line, with additional targeted face-to-face meetings conducted as needed.</w:t>
      </w:r>
    </w:p>
    <w:p w:rsidR="002508ED" w:rsidRPr="007B5C1C" w:rsidRDefault="00A533C2" w:rsidP="00F668DA">
      <w:pPr>
        <w:pStyle w:val="ippara2"/>
      </w:pPr>
      <w:r w:rsidRPr="007B5C1C">
        <w:rPr>
          <w:b/>
          <w:i/>
        </w:rPr>
        <w:t xml:space="preserve">Consultation </w:t>
      </w:r>
      <w:r w:rsidR="006867EB" w:rsidRPr="007B5C1C">
        <w:rPr>
          <w:b/>
          <w:i/>
        </w:rPr>
        <w:t>w</w:t>
      </w:r>
      <w:r w:rsidRPr="007B5C1C">
        <w:rPr>
          <w:b/>
          <w:i/>
        </w:rPr>
        <w:t>ebsite</w:t>
      </w:r>
      <w:r w:rsidR="006867EB" w:rsidRPr="007B5C1C">
        <w:rPr>
          <w:b/>
          <w:i/>
        </w:rPr>
        <w:t>.</w:t>
      </w:r>
      <w:r w:rsidR="00CA3C13" w:rsidRPr="007B5C1C">
        <w:rPr>
          <w:b/>
        </w:rPr>
        <w:t xml:space="preserve"> </w:t>
      </w:r>
      <w:r w:rsidR="00CA3C13" w:rsidRPr="007B5C1C">
        <w:t>A dedicated consultation website will be launched to provide a platform for disseminating information on the consultation process, posting</w:t>
      </w:r>
      <w:r w:rsidR="007135EB" w:rsidRPr="007B5C1C">
        <w:t xml:space="preserve"> </w:t>
      </w:r>
      <w:r w:rsidR="00CA3C13" w:rsidRPr="007B5C1C">
        <w:t xml:space="preserve">consultation documents, conducting on-line discussions, as well as posting </w:t>
      </w:r>
      <w:r w:rsidR="007135EB" w:rsidRPr="007B5C1C">
        <w:t xml:space="preserve">background or </w:t>
      </w:r>
      <w:r w:rsidR="00CA3C13" w:rsidRPr="007B5C1C">
        <w:t>supporting document</w:t>
      </w:r>
      <w:r w:rsidR="007135EB" w:rsidRPr="007B5C1C">
        <w:t>s</w:t>
      </w:r>
      <w:r w:rsidR="00CA3C13" w:rsidRPr="007B5C1C">
        <w:t xml:space="preserve"> to inform stakeholder contributions to the feedback process</w:t>
      </w:r>
      <w:r w:rsidR="00FF5A81" w:rsidRPr="007B5C1C">
        <w:t>. The website will include a</w:t>
      </w:r>
      <w:r w:rsidR="00CA3C13" w:rsidRPr="007B5C1C">
        <w:t xml:space="preserve"> mechanism </w:t>
      </w:r>
      <w:r w:rsidR="004F6BEE" w:rsidRPr="007B5C1C">
        <w:t xml:space="preserve">to receive </w:t>
      </w:r>
      <w:r w:rsidR="00CA3C13" w:rsidRPr="007B5C1C">
        <w:t xml:space="preserve">written comments on-line (via a survey form, which can also be printed out and faxed or mailed). All comments received through these different modalities will be summarized and shared through the consultation website and posted on a continuous basis through all three phases of the consultation process. </w:t>
      </w:r>
    </w:p>
    <w:p w:rsidR="00494627" w:rsidRPr="007B5C1C" w:rsidRDefault="00CA3C13" w:rsidP="00494627">
      <w:pPr>
        <w:pStyle w:val="ippara2"/>
      </w:pPr>
      <w:r w:rsidRPr="007B5C1C">
        <w:rPr>
          <w:b/>
          <w:i/>
        </w:rPr>
        <w:t xml:space="preserve">Consultation </w:t>
      </w:r>
      <w:r w:rsidR="006867EB" w:rsidRPr="007B5C1C">
        <w:rPr>
          <w:b/>
          <w:i/>
        </w:rPr>
        <w:t>l</w:t>
      </w:r>
      <w:r w:rsidRPr="007B5C1C">
        <w:rPr>
          <w:b/>
          <w:i/>
        </w:rPr>
        <w:t>anguages</w:t>
      </w:r>
      <w:r w:rsidR="006867EB" w:rsidRPr="007B5C1C">
        <w:rPr>
          <w:b/>
          <w:i/>
        </w:rPr>
        <w:t>.</w:t>
      </w:r>
      <w:r w:rsidRPr="007B5C1C">
        <w:t xml:space="preserve"> Key consultation documents (e.g., the Approach Paper, the consultation</w:t>
      </w:r>
      <w:r w:rsidR="0060582A" w:rsidRPr="007B5C1C">
        <w:t xml:space="preserve"> and communication</w:t>
      </w:r>
      <w:r w:rsidRPr="007B5C1C">
        <w:t xml:space="preserve"> plan, </w:t>
      </w:r>
      <w:r w:rsidR="00FD7879" w:rsidRPr="007B5C1C">
        <w:t xml:space="preserve">and </w:t>
      </w:r>
      <w:r w:rsidRPr="007B5C1C">
        <w:t xml:space="preserve">first and second draft integrated framework) will be made available in Arabic, Chinese, English, French, Portuguese, Russian and Spanish. </w:t>
      </w:r>
    </w:p>
    <w:p w:rsidR="002508ED" w:rsidRPr="007B5C1C" w:rsidRDefault="00126879" w:rsidP="002508ED">
      <w:pPr>
        <w:pStyle w:val="Heading3"/>
        <w:keepNext/>
        <w:widowControl/>
        <w:numPr>
          <w:ilvl w:val="0"/>
          <w:numId w:val="38"/>
        </w:numPr>
        <w:spacing w:before="0" w:after="200" w:line="276" w:lineRule="auto"/>
        <w:rPr>
          <w:szCs w:val="24"/>
        </w:rPr>
      </w:pPr>
      <w:bookmarkStart w:id="10" w:name="_Toc333515715"/>
      <w:r w:rsidRPr="007B5C1C">
        <w:rPr>
          <w:szCs w:val="24"/>
        </w:rPr>
        <w:t xml:space="preserve">Staffing and </w:t>
      </w:r>
      <w:r w:rsidR="004642A4" w:rsidRPr="007B5C1C">
        <w:rPr>
          <w:szCs w:val="24"/>
        </w:rPr>
        <w:t>Management</w:t>
      </w:r>
      <w:bookmarkEnd w:id="10"/>
    </w:p>
    <w:p w:rsidR="002508ED" w:rsidRPr="007B5C1C" w:rsidRDefault="00EA1F93" w:rsidP="00F668DA">
      <w:pPr>
        <w:pStyle w:val="ippara2"/>
      </w:pPr>
      <w:r w:rsidRPr="007B5C1C">
        <w:rPr>
          <w:b/>
          <w:i/>
        </w:rPr>
        <w:t>Staffing and management of the process.</w:t>
      </w:r>
      <w:r w:rsidRPr="007B5C1C">
        <w:t xml:space="preserve"> </w:t>
      </w:r>
      <w:r w:rsidR="00F67C48" w:rsidRPr="007B5C1C">
        <w:t>T</w:t>
      </w:r>
      <w:r w:rsidRPr="007B5C1C">
        <w:t xml:space="preserve">he process of review and update of the </w:t>
      </w:r>
      <w:r w:rsidR="00E62FB2" w:rsidRPr="007B5C1C">
        <w:t>safeguard polic</w:t>
      </w:r>
      <w:r w:rsidRPr="007B5C1C">
        <w:t>ies</w:t>
      </w:r>
      <w:r w:rsidR="00F67C48" w:rsidRPr="007B5C1C">
        <w:t xml:space="preserve"> will be </w:t>
      </w:r>
      <w:r w:rsidR="0039539D" w:rsidRPr="007B5C1C">
        <w:t xml:space="preserve">undertaken by a team comprising </w:t>
      </w:r>
      <w:r w:rsidR="00F67C48" w:rsidRPr="007B5C1C">
        <w:t>OPCS</w:t>
      </w:r>
      <w:r w:rsidR="0039539D" w:rsidRPr="007B5C1C">
        <w:t xml:space="preserve">, </w:t>
      </w:r>
      <w:r w:rsidR="00F67C48" w:rsidRPr="007B5C1C">
        <w:t>SDN</w:t>
      </w:r>
      <w:r w:rsidR="00C95FD3" w:rsidRPr="007B5C1C">
        <w:t xml:space="preserve"> and </w:t>
      </w:r>
      <w:r w:rsidRPr="007B5C1C">
        <w:t>LEG</w:t>
      </w:r>
      <w:r w:rsidR="002A4CE0" w:rsidRPr="007B5C1C">
        <w:t>,</w:t>
      </w:r>
      <w:r w:rsidR="00C95FD3" w:rsidRPr="007B5C1C">
        <w:t xml:space="preserve"> with participation by</w:t>
      </w:r>
      <w:r w:rsidRPr="007B5C1C">
        <w:t xml:space="preserve"> EXT</w:t>
      </w:r>
      <w:r w:rsidR="00130EE6" w:rsidRPr="007B5C1C">
        <w:t xml:space="preserve"> and the Regions</w:t>
      </w:r>
      <w:r w:rsidRPr="007B5C1C">
        <w:t xml:space="preserve">. </w:t>
      </w:r>
      <w:r w:rsidR="007F0A63" w:rsidRPr="007B5C1C">
        <w:t>The Operations Risk Management Department (OP</w:t>
      </w:r>
      <w:r w:rsidR="001272E9" w:rsidRPr="007B5C1C">
        <w:t>S</w:t>
      </w:r>
      <w:r w:rsidR="007F0A63" w:rsidRPr="007B5C1C">
        <w:t xml:space="preserve">OR) will coordinate the work of the team. </w:t>
      </w:r>
      <w:r w:rsidRPr="007B5C1C">
        <w:t xml:space="preserve">The joint team will tap into knowledge and experience of other Networks as relevant. The team will also work closely with IFC and MIGA, and will seek </w:t>
      </w:r>
      <w:r w:rsidRPr="007B5C1C">
        <w:lastRenderedPageBreak/>
        <w:t>input from IEG, among other internal stakeholders</w:t>
      </w:r>
      <w:r w:rsidR="007F0A63" w:rsidRPr="007B5C1C">
        <w:t xml:space="preserve">. </w:t>
      </w:r>
      <w:r w:rsidRPr="007B5C1C">
        <w:t>Throughout this process, Management will work with the Board through CODE and provide regular briefings so that the process can benefit from the views of the Board.</w:t>
      </w:r>
    </w:p>
    <w:p w:rsidR="002508ED" w:rsidRPr="007B5C1C" w:rsidRDefault="002508ED" w:rsidP="002508ED">
      <w:pPr>
        <w:pStyle w:val="Heading3"/>
        <w:keepNext/>
        <w:widowControl/>
        <w:numPr>
          <w:ilvl w:val="0"/>
          <w:numId w:val="38"/>
        </w:numPr>
        <w:spacing w:before="0" w:after="200" w:line="276" w:lineRule="auto"/>
        <w:rPr>
          <w:szCs w:val="24"/>
        </w:rPr>
      </w:pPr>
      <w:bookmarkStart w:id="11" w:name="_Toc333515716"/>
      <w:r w:rsidRPr="007B5C1C">
        <w:rPr>
          <w:szCs w:val="24"/>
        </w:rPr>
        <w:t>Next Steps</w:t>
      </w:r>
      <w:bookmarkEnd w:id="11"/>
    </w:p>
    <w:p w:rsidR="002147F4" w:rsidRPr="007B5C1C" w:rsidRDefault="00EA1F93" w:rsidP="00F668DA">
      <w:pPr>
        <w:pStyle w:val="ippara2"/>
      </w:pPr>
      <w:r w:rsidRPr="007B5C1C">
        <w:rPr>
          <w:b/>
          <w:i/>
        </w:rPr>
        <w:t xml:space="preserve">Launch of the Phase </w:t>
      </w:r>
      <w:r w:rsidR="00423A6B" w:rsidRPr="007B5C1C">
        <w:rPr>
          <w:b/>
          <w:i/>
        </w:rPr>
        <w:t xml:space="preserve">1 </w:t>
      </w:r>
      <w:r w:rsidRPr="007B5C1C">
        <w:rPr>
          <w:b/>
          <w:i/>
        </w:rPr>
        <w:t>consultation activities.</w:t>
      </w:r>
      <w:r w:rsidR="00467DFC" w:rsidRPr="007B5C1C">
        <w:t xml:space="preserve"> </w:t>
      </w:r>
      <w:r w:rsidR="00E43347" w:rsidRPr="007B5C1C">
        <w:t>Following discussion with</w:t>
      </w:r>
      <w:r w:rsidR="007F0A63" w:rsidRPr="007B5C1C">
        <w:t xml:space="preserve"> CODE, </w:t>
      </w:r>
      <w:r w:rsidR="00FF5A81" w:rsidRPr="007B5C1C">
        <w:t>M</w:t>
      </w:r>
      <w:r w:rsidR="007F0A63" w:rsidRPr="007B5C1C">
        <w:t xml:space="preserve">anagement will launch the first phase of the consultation activities. </w:t>
      </w:r>
      <w:r w:rsidRPr="007B5C1C">
        <w:t xml:space="preserve">This paper will be translated and publicly disclosed following CODE discussion for comment for a period of </w:t>
      </w:r>
      <w:r w:rsidR="007F0A63" w:rsidRPr="007B5C1C">
        <w:t>four</w:t>
      </w:r>
      <w:r w:rsidRPr="007B5C1C">
        <w:t xml:space="preserve"> months.</w:t>
      </w:r>
      <w:r w:rsidR="00467DFC" w:rsidRPr="007B5C1C">
        <w:t xml:space="preserve"> </w:t>
      </w:r>
      <w:r w:rsidRPr="007B5C1C">
        <w:t>The paper can be accessed at</w:t>
      </w:r>
      <w:r w:rsidR="007F0A63" w:rsidRPr="00981C28">
        <w:rPr>
          <w:rFonts w:cs="Times New Roman"/>
          <w:szCs w:val="24"/>
        </w:rPr>
        <w:t>:</w:t>
      </w:r>
      <w:r w:rsidR="00981C28" w:rsidRPr="00981C28">
        <w:rPr>
          <w:rFonts w:cs="Times New Roman"/>
          <w:szCs w:val="24"/>
        </w:rPr>
        <w:t xml:space="preserve"> </w:t>
      </w:r>
      <w:hyperlink r:id="rId14" w:history="1">
        <w:r w:rsidR="00981C28" w:rsidRPr="00981C28">
          <w:rPr>
            <w:rStyle w:val="Hyperlink"/>
            <w:rFonts w:cs="Times New Roman"/>
            <w:bCs/>
            <w:szCs w:val="24"/>
          </w:rPr>
          <w:t>www.worldbank.org/safeguardsconsultations</w:t>
        </w:r>
      </w:hyperlink>
      <w:r w:rsidR="00AD2C27" w:rsidRPr="007B5C1C">
        <w:t xml:space="preserve">. </w:t>
      </w:r>
      <w:r w:rsidR="007F0A63" w:rsidRPr="007B5C1C">
        <w:t xml:space="preserve">This site will go live shortly after the CODE discussion. </w:t>
      </w:r>
      <w:r w:rsidR="006B510C" w:rsidRPr="007B5C1C">
        <w:t>The communication and consultation plan will also be posted on line</w:t>
      </w:r>
      <w:r w:rsidR="00D556DB" w:rsidRPr="007B5C1C">
        <w:t xml:space="preserve"> (see Annex A)</w:t>
      </w:r>
      <w:r w:rsidR="006B510C" w:rsidRPr="007B5C1C">
        <w:t xml:space="preserve">. In the event that external stakeholders wish to submit questions and comments on this paper, or any matter related to the review and update process, they can do so using a dedicated email address: </w:t>
      </w:r>
      <w:hyperlink r:id="rId15" w:history="1">
        <w:r w:rsidR="00E259B8" w:rsidRPr="007B5C1C">
          <w:rPr>
            <w:rStyle w:val="Hyperlink"/>
          </w:rPr>
          <w:t>safeguardconsult</w:t>
        </w:r>
        <w:r w:rsidR="00134D90" w:rsidRPr="007B5C1C">
          <w:rPr>
            <w:rStyle w:val="Hyperlink"/>
          </w:rPr>
          <w:t>@worldbank.org</w:t>
        </w:r>
      </w:hyperlink>
      <w:r w:rsidR="006B510C" w:rsidRPr="007B5C1C">
        <w:t>.</w:t>
      </w:r>
      <w:r w:rsidR="0095163E" w:rsidRPr="007B5C1C">
        <w:t xml:space="preserve"> </w:t>
      </w:r>
      <w:r w:rsidR="006B510C" w:rsidRPr="007B5C1C">
        <w:t>A set of guiding questions will be included on</w:t>
      </w:r>
      <w:r w:rsidR="00FD7879" w:rsidRPr="007B5C1C">
        <w:t>-</w:t>
      </w:r>
      <w:r w:rsidR="006B510C" w:rsidRPr="007B5C1C">
        <w:t xml:space="preserve">line along with this </w:t>
      </w:r>
      <w:r w:rsidR="00FD7879" w:rsidRPr="007B5C1C">
        <w:t>A</w:t>
      </w:r>
      <w:r w:rsidR="006B510C" w:rsidRPr="007B5C1C">
        <w:t xml:space="preserve">pproach </w:t>
      </w:r>
      <w:r w:rsidR="00FD7879" w:rsidRPr="007B5C1C">
        <w:t>P</w:t>
      </w:r>
      <w:r w:rsidR="006B510C" w:rsidRPr="007B5C1C">
        <w:t xml:space="preserve">aper. Stakeholders can use the consultation software available on the consultation website to provide their responses. </w:t>
      </w:r>
    </w:p>
    <w:p w:rsidR="00B073C4" w:rsidRPr="007B5C1C" w:rsidRDefault="00B073C4">
      <w:pPr>
        <w:widowControl/>
        <w:spacing w:after="200" w:line="276" w:lineRule="auto"/>
        <w:rPr>
          <w:rFonts w:cs="Times New Roman"/>
          <w:szCs w:val="24"/>
        </w:rPr>
      </w:pPr>
      <w:r w:rsidRPr="007B5C1C">
        <w:rPr>
          <w:rFonts w:cs="Times New Roman"/>
          <w:szCs w:val="24"/>
        </w:rPr>
        <w:br w:type="page"/>
      </w:r>
    </w:p>
    <w:p w:rsidR="002147F4" w:rsidRPr="007B5C1C" w:rsidRDefault="000F0FA0" w:rsidP="00B073C4">
      <w:pPr>
        <w:pStyle w:val="ListParagraph"/>
        <w:widowControl/>
        <w:spacing w:before="0" w:after="200" w:line="276" w:lineRule="auto"/>
        <w:contextualSpacing w:val="0"/>
        <w:jc w:val="center"/>
        <w:rPr>
          <w:rFonts w:cs="Times New Roman"/>
          <w:b/>
          <w:szCs w:val="24"/>
        </w:rPr>
      </w:pPr>
      <w:r w:rsidRPr="007B5C1C">
        <w:rPr>
          <w:rFonts w:cs="Times New Roman"/>
          <w:b/>
          <w:szCs w:val="24"/>
        </w:rPr>
        <w:lastRenderedPageBreak/>
        <w:t xml:space="preserve">Annex A: Phase </w:t>
      </w:r>
      <w:r w:rsidR="00423A6B" w:rsidRPr="007B5C1C">
        <w:rPr>
          <w:rFonts w:cs="Times New Roman"/>
          <w:b/>
          <w:szCs w:val="24"/>
        </w:rPr>
        <w:t xml:space="preserve">1 </w:t>
      </w:r>
      <w:r w:rsidRPr="007B5C1C">
        <w:rPr>
          <w:rFonts w:cs="Times New Roman"/>
          <w:b/>
          <w:szCs w:val="24"/>
        </w:rPr>
        <w:t>Consultation</w:t>
      </w:r>
    </w:p>
    <w:p w:rsidR="00494627" w:rsidRPr="007B5C1C" w:rsidRDefault="00B073C4" w:rsidP="00494627">
      <w:pPr>
        <w:pStyle w:val="ListParagraph"/>
        <w:spacing w:after="200" w:line="276" w:lineRule="auto"/>
        <w:ind w:left="0"/>
        <w:rPr>
          <w:rFonts w:cs="Times New Roman"/>
          <w:szCs w:val="24"/>
        </w:rPr>
      </w:pPr>
      <w:r w:rsidRPr="007B5C1C">
        <w:rPr>
          <w:rFonts w:cs="Times New Roman"/>
          <w:szCs w:val="24"/>
        </w:rPr>
        <w:t xml:space="preserve">During the first phase of external consultations, the Bank will seek input and feedback on </w:t>
      </w:r>
      <w:r w:rsidR="00413FA0" w:rsidRPr="007B5C1C">
        <w:rPr>
          <w:rFonts w:cs="Times New Roman"/>
          <w:szCs w:val="24"/>
        </w:rPr>
        <w:t xml:space="preserve">the Approach Paper, including </w:t>
      </w:r>
      <w:r w:rsidRPr="007B5C1C">
        <w:rPr>
          <w:rFonts w:cs="Times New Roman"/>
          <w:szCs w:val="24"/>
        </w:rPr>
        <w:t>the following areas that will be useful to inform the draft integrated framework:</w:t>
      </w:r>
    </w:p>
    <w:p w:rsidR="00B073C4" w:rsidRPr="007B5C1C" w:rsidRDefault="00B073C4" w:rsidP="00B073C4">
      <w:pPr>
        <w:pStyle w:val="ListParagraph"/>
        <w:spacing w:after="200" w:line="276" w:lineRule="auto"/>
        <w:rPr>
          <w:rFonts w:cs="Times New Roman"/>
          <w:szCs w:val="24"/>
        </w:rPr>
      </w:pPr>
    </w:p>
    <w:p w:rsidR="00B073C4" w:rsidRPr="007B5C1C" w:rsidRDefault="00B073C4" w:rsidP="00B073C4">
      <w:pPr>
        <w:pStyle w:val="ListParagraph"/>
        <w:numPr>
          <w:ilvl w:val="0"/>
          <w:numId w:val="39"/>
        </w:numPr>
        <w:spacing w:after="200" w:line="276" w:lineRule="auto"/>
        <w:ind w:left="1080" w:hanging="360"/>
        <w:rPr>
          <w:rFonts w:cs="Times New Roman"/>
          <w:szCs w:val="24"/>
        </w:rPr>
      </w:pPr>
      <w:r w:rsidRPr="007B5C1C">
        <w:rPr>
          <w:rFonts w:cs="Times New Roman"/>
          <w:szCs w:val="24"/>
        </w:rPr>
        <w:t>aspects of the environmental and social safeguard policies that the Bank can improve to ensure that these policies continue to be an effective and efficient tool to achieve sustainable development and results on the ground;</w:t>
      </w:r>
    </w:p>
    <w:p w:rsidR="00B073C4" w:rsidRPr="007B5C1C" w:rsidRDefault="00B073C4" w:rsidP="00B073C4">
      <w:pPr>
        <w:pStyle w:val="ListParagraph"/>
        <w:spacing w:after="200" w:line="276" w:lineRule="auto"/>
        <w:ind w:left="1080"/>
        <w:rPr>
          <w:rFonts w:cs="Times New Roman"/>
          <w:szCs w:val="24"/>
        </w:rPr>
      </w:pPr>
    </w:p>
    <w:p w:rsidR="00B073C4" w:rsidRPr="007B5C1C" w:rsidRDefault="00B073C4" w:rsidP="00B073C4">
      <w:pPr>
        <w:pStyle w:val="ListParagraph"/>
        <w:numPr>
          <w:ilvl w:val="0"/>
          <w:numId w:val="39"/>
        </w:numPr>
        <w:spacing w:after="200" w:line="276" w:lineRule="auto"/>
        <w:ind w:left="1080" w:hanging="360"/>
        <w:rPr>
          <w:rFonts w:cs="Times New Roman"/>
          <w:szCs w:val="24"/>
        </w:rPr>
      </w:pPr>
      <w:r w:rsidRPr="007B5C1C">
        <w:rPr>
          <w:rFonts w:cs="Times New Roman"/>
          <w:szCs w:val="24"/>
        </w:rPr>
        <w:t>issues and challenges encountered during the application of safeguard policies;</w:t>
      </w:r>
    </w:p>
    <w:p w:rsidR="00B073C4" w:rsidRPr="007B5C1C" w:rsidRDefault="00B073C4" w:rsidP="00B073C4">
      <w:pPr>
        <w:pStyle w:val="ListParagraph"/>
        <w:rPr>
          <w:rFonts w:cs="Times New Roman"/>
          <w:szCs w:val="24"/>
        </w:rPr>
      </w:pPr>
    </w:p>
    <w:p w:rsidR="00B073C4" w:rsidRPr="007B5C1C" w:rsidRDefault="00B073C4" w:rsidP="00B073C4">
      <w:pPr>
        <w:pStyle w:val="ListParagraph"/>
        <w:numPr>
          <w:ilvl w:val="0"/>
          <w:numId w:val="39"/>
        </w:numPr>
        <w:spacing w:after="200" w:line="276" w:lineRule="auto"/>
        <w:ind w:left="1080" w:hanging="360"/>
        <w:rPr>
          <w:rFonts w:cs="Times New Roman"/>
          <w:szCs w:val="24"/>
        </w:rPr>
      </w:pPr>
      <w:r w:rsidRPr="007B5C1C">
        <w:rPr>
          <w:rFonts w:cs="Times New Roman"/>
          <w:szCs w:val="24"/>
        </w:rPr>
        <w:t xml:space="preserve">core principles that can promote sustainable development and that the Bank should consider, </w:t>
      </w:r>
      <w:r w:rsidR="00ED6FEC">
        <w:rPr>
          <w:rFonts w:cs="Times New Roman"/>
          <w:szCs w:val="24"/>
        </w:rPr>
        <w:t>including</w:t>
      </w:r>
      <w:r w:rsidRPr="007B5C1C">
        <w:rPr>
          <w:rFonts w:cs="Times New Roman"/>
          <w:szCs w:val="24"/>
        </w:rPr>
        <w:t xml:space="preserve"> those already reflected in </w:t>
      </w:r>
      <w:r w:rsidR="0090159B" w:rsidRPr="007B5C1C">
        <w:rPr>
          <w:rFonts w:cs="Times New Roman"/>
          <w:szCs w:val="24"/>
        </w:rPr>
        <w:t xml:space="preserve">the </w:t>
      </w:r>
      <w:r w:rsidRPr="007B5C1C">
        <w:rPr>
          <w:rFonts w:cs="Times New Roman"/>
          <w:szCs w:val="24"/>
        </w:rPr>
        <w:t>current safeguard policies;</w:t>
      </w:r>
    </w:p>
    <w:p w:rsidR="00B073C4" w:rsidRPr="007B5C1C" w:rsidRDefault="00B073C4" w:rsidP="00B073C4">
      <w:pPr>
        <w:pStyle w:val="ListParagraph"/>
        <w:rPr>
          <w:rFonts w:cs="Times New Roman"/>
          <w:szCs w:val="24"/>
        </w:rPr>
      </w:pPr>
    </w:p>
    <w:p w:rsidR="00B073C4" w:rsidRPr="007B5C1C" w:rsidRDefault="00B073C4" w:rsidP="00B073C4">
      <w:pPr>
        <w:pStyle w:val="ListParagraph"/>
        <w:numPr>
          <w:ilvl w:val="0"/>
          <w:numId w:val="39"/>
        </w:numPr>
        <w:spacing w:after="200" w:line="276" w:lineRule="auto"/>
        <w:ind w:left="1080" w:hanging="360"/>
        <w:rPr>
          <w:rFonts w:cs="Times New Roman"/>
          <w:szCs w:val="24"/>
        </w:rPr>
      </w:pPr>
      <w:r w:rsidRPr="007B5C1C">
        <w:rPr>
          <w:rFonts w:cs="Times New Roman"/>
          <w:szCs w:val="24"/>
        </w:rPr>
        <w:t>examples of environmental and social sustainability frameworks that the Bank should consider in the course of the review;</w:t>
      </w:r>
    </w:p>
    <w:p w:rsidR="00B073C4" w:rsidRPr="007B5C1C" w:rsidRDefault="00B073C4" w:rsidP="00B073C4">
      <w:pPr>
        <w:pStyle w:val="ListParagraph"/>
        <w:rPr>
          <w:rFonts w:cs="Times New Roman"/>
          <w:szCs w:val="24"/>
        </w:rPr>
      </w:pPr>
    </w:p>
    <w:p w:rsidR="00B073C4" w:rsidRPr="007B5C1C" w:rsidRDefault="00B073C4" w:rsidP="00B073C4">
      <w:pPr>
        <w:pStyle w:val="ListParagraph"/>
        <w:numPr>
          <w:ilvl w:val="0"/>
          <w:numId w:val="39"/>
        </w:numPr>
        <w:spacing w:after="200" w:line="276" w:lineRule="auto"/>
        <w:ind w:left="1080" w:hanging="360"/>
        <w:rPr>
          <w:rFonts w:cs="Times New Roman"/>
          <w:szCs w:val="24"/>
        </w:rPr>
      </w:pPr>
      <w:r w:rsidRPr="007B5C1C">
        <w:rPr>
          <w:rFonts w:cs="Times New Roman"/>
          <w:szCs w:val="24"/>
        </w:rPr>
        <w:t xml:space="preserve">additional factors the Bank should consider beyond the internal and external drivers described in the paper; </w:t>
      </w:r>
    </w:p>
    <w:p w:rsidR="00B073C4" w:rsidRPr="007B5C1C" w:rsidRDefault="00B073C4" w:rsidP="00B073C4">
      <w:pPr>
        <w:pStyle w:val="ListParagraph"/>
        <w:rPr>
          <w:rFonts w:cs="Times New Roman"/>
          <w:szCs w:val="24"/>
        </w:rPr>
      </w:pPr>
    </w:p>
    <w:p w:rsidR="00B073C4" w:rsidRPr="007B5C1C" w:rsidRDefault="00B073C4" w:rsidP="00B073C4">
      <w:pPr>
        <w:pStyle w:val="ListParagraph"/>
        <w:numPr>
          <w:ilvl w:val="0"/>
          <w:numId w:val="39"/>
        </w:numPr>
        <w:spacing w:after="200" w:line="276" w:lineRule="auto"/>
        <w:ind w:left="1080" w:hanging="360"/>
        <w:rPr>
          <w:rFonts w:cs="Times New Roman"/>
          <w:szCs w:val="24"/>
        </w:rPr>
      </w:pPr>
      <w:r w:rsidRPr="007B5C1C">
        <w:rPr>
          <w:rFonts w:cs="Times New Roman"/>
          <w:szCs w:val="24"/>
        </w:rPr>
        <w:t xml:space="preserve">recommendations with respect </w:t>
      </w:r>
      <w:r w:rsidR="0090159B" w:rsidRPr="007B5C1C">
        <w:rPr>
          <w:rFonts w:cs="Times New Roman"/>
          <w:szCs w:val="24"/>
        </w:rPr>
        <w:t xml:space="preserve">to </w:t>
      </w:r>
      <w:r w:rsidRPr="007B5C1C">
        <w:rPr>
          <w:rFonts w:cs="Times New Roman"/>
          <w:szCs w:val="24"/>
        </w:rPr>
        <w:t xml:space="preserve">any of the emerging areas described in the paper (i.e., disabilities; labor and occupational health and safety; human rights, land tenure and natural resources; free, prior and informed consent of Indigenous Peoples; gender; and climate change); </w:t>
      </w:r>
    </w:p>
    <w:p w:rsidR="00B073C4" w:rsidRPr="007B5C1C" w:rsidRDefault="00B073C4" w:rsidP="00B073C4">
      <w:pPr>
        <w:pStyle w:val="ListParagraph"/>
        <w:rPr>
          <w:rFonts w:cs="Times New Roman"/>
          <w:szCs w:val="24"/>
        </w:rPr>
      </w:pPr>
    </w:p>
    <w:p w:rsidR="00B073C4" w:rsidRPr="007B5C1C" w:rsidRDefault="00B073C4" w:rsidP="00B073C4">
      <w:pPr>
        <w:pStyle w:val="ListParagraph"/>
        <w:numPr>
          <w:ilvl w:val="0"/>
          <w:numId w:val="39"/>
        </w:numPr>
        <w:spacing w:after="200" w:line="276" w:lineRule="auto"/>
        <w:ind w:left="1080" w:hanging="360"/>
        <w:rPr>
          <w:rFonts w:cs="Times New Roman"/>
          <w:szCs w:val="24"/>
        </w:rPr>
      </w:pPr>
      <w:r w:rsidRPr="007B5C1C">
        <w:rPr>
          <w:rFonts w:cs="Times New Roman"/>
          <w:szCs w:val="24"/>
        </w:rPr>
        <w:t>examples of environmental and social assessment and risk management approaches (used by either public or private institutions) that are not reflected in the current safeguard policies, but should be considered in the course of the review;</w:t>
      </w:r>
    </w:p>
    <w:p w:rsidR="00B073C4" w:rsidRPr="007B5C1C" w:rsidRDefault="00B073C4" w:rsidP="00B073C4">
      <w:pPr>
        <w:pStyle w:val="ListParagraph"/>
        <w:rPr>
          <w:rFonts w:cs="Times New Roman"/>
          <w:szCs w:val="24"/>
        </w:rPr>
      </w:pPr>
    </w:p>
    <w:p w:rsidR="00B073C4" w:rsidRPr="007B5C1C" w:rsidRDefault="00B073C4" w:rsidP="00B073C4">
      <w:pPr>
        <w:pStyle w:val="ListParagraph"/>
        <w:numPr>
          <w:ilvl w:val="0"/>
          <w:numId w:val="39"/>
        </w:numPr>
        <w:spacing w:after="200" w:line="276" w:lineRule="auto"/>
        <w:ind w:left="1080" w:hanging="360"/>
        <w:rPr>
          <w:rFonts w:cs="Times New Roman"/>
          <w:szCs w:val="24"/>
        </w:rPr>
      </w:pPr>
      <w:r w:rsidRPr="007B5C1C">
        <w:rPr>
          <w:rFonts w:cs="Times New Roman"/>
          <w:szCs w:val="24"/>
        </w:rPr>
        <w:t xml:space="preserve">aspects of the 2010 IEG </w:t>
      </w:r>
      <w:r w:rsidR="002046EB">
        <w:rPr>
          <w:rFonts w:cs="Times New Roman"/>
          <w:szCs w:val="24"/>
        </w:rPr>
        <w:t>evaluation</w:t>
      </w:r>
      <w:r w:rsidRPr="007B5C1C">
        <w:rPr>
          <w:rFonts w:cs="Times New Roman"/>
          <w:szCs w:val="24"/>
        </w:rPr>
        <w:t xml:space="preserve"> on the safeguard policies and the accompanying recommendations that are particularly important for the review and update process;</w:t>
      </w:r>
    </w:p>
    <w:p w:rsidR="00B073C4" w:rsidRPr="007B5C1C" w:rsidRDefault="00B073C4" w:rsidP="00B073C4">
      <w:pPr>
        <w:pStyle w:val="ListParagraph"/>
        <w:rPr>
          <w:rFonts w:cs="Times New Roman"/>
          <w:szCs w:val="24"/>
        </w:rPr>
      </w:pPr>
    </w:p>
    <w:p w:rsidR="00B073C4" w:rsidRPr="007B5C1C" w:rsidRDefault="00B073C4" w:rsidP="00B073C4">
      <w:pPr>
        <w:pStyle w:val="ListParagraph"/>
        <w:numPr>
          <w:ilvl w:val="0"/>
          <w:numId w:val="39"/>
        </w:numPr>
        <w:spacing w:after="200" w:line="276" w:lineRule="auto"/>
        <w:ind w:left="1080" w:hanging="360"/>
        <w:rPr>
          <w:rFonts w:cs="Times New Roman"/>
          <w:szCs w:val="24"/>
        </w:rPr>
      </w:pPr>
      <w:r w:rsidRPr="007B5C1C">
        <w:rPr>
          <w:rFonts w:cs="Times New Roman"/>
          <w:szCs w:val="24"/>
        </w:rPr>
        <w:t>recommendations to help the Bank promote a renewed partnership with its borrowers that is based on a common commitment to environmental and social sustainability;</w:t>
      </w:r>
    </w:p>
    <w:p w:rsidR="00B073C4" w:rsidRPr="007B5C1C" w:rsidRDefault="00B073C4" w:rsidP="00B073C4">
      <w:pPr>
        <w:pStyle w:val="ListParagraph"/>
        <w:rPr>
          <w:rFonts w:cs="Times New Roman"/>
          <w:szCs w:val="24"/>
        </w:rPr>
      </w:pPr>
    </w:p>
    <w:p w:rsidR="00B073C4" w:rsidRPr="007B5C1C" w:rsidRDefault="00B073C4" w:rsidP="00B073C4">
      <w:pPr>
        <w:pStyle w:val="ListParagraph"/>
        <w:numPr>
          <w:ilvl w:val="0"/>
          <w:numId w:val="39"/>
        </w:numPr>
        <w:spacing w:after="200" w:line="276" w:lineRule="auto"/>
        <w:ind w:left="1080" w:hanging="360"/>
        <w:rPr>
          <w:rFonts w:cs="Times New Roman"/>
          <w:szCs w:val="24"/>
        </w:rPr>
      </w:pPr>
      <w:proofErr w:type="gramStart"/>
      <w:r w:rsidRPr="007B5C1C">
        <w:rPr>
          <w:rFonts w:cs="Times New Roman"/>
          <w:szCs w:val="24"/>
        </w:rPr>
        <w:t>how</w:t>
      </w:r>
      <w:proofErr w:type="gramEnd"/>
      <w:r w:rsidRPr="007B5C1C">
        <w:rPr>
          <w:rFonts w:cs="Times New Roman"/>
          <w:szCs w:val="24"/>
        </w:rPr>
        <w:t xml:space="preserve"> the Bank can better support borrowers in their efforts to strengthen their systems and institutions with respect to environmental and social safeguards practices to yield more sustainable results on the ground</w:t>
      </w:r>
      <w:r w:rsidR="0090159B" w:rsidRPr="007B5C1C">
        <w:rPr>
          <w:rFonts w:cs="Times New Roman"/>
          <w:szCs w:val="24"/>
        </w:rPr>
        <w:t>.</w:t>
      </w:r>
    </w:p>
    <w:p w:rsidR="00F45992" w:rsidRDefault="00F45992">
      <w:pPr>
        <w:pStyle w:val="ListParagraph"/>
        <w:widowControl/>
        <w:spacing w:before="0" w:after="200" w:line="276" w:lineRule="auto"/>
        <w:contextualSpacing w:val="0"/>
        <w:rPr>
          <w:rFonts w:cs="Times New Roman"/>
          <w:szCs w:val="24"/>
        </w:rPr>
      </w:pPr>
    </w:p>
    <w:sectPr w:rsidR="00F45992" w:rsidSect="003B754F">
      <w:headerReference w:type="default" r:id="rId16"/>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992" w:rsidRDefault="00F45992" w:rsidP="00C1064D">
      <w:r>
        <w:separator/>
      </w:r>
    </w:p>
  </w:endnote>
  <w:endnote w:type="continuationSeparator" w:id="0">
    <w:p w:rsidR="00F45992" w:rsidRDefault="00F45992" w:rsidP="00C10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Lucida Calligraphy">
    <w:altName w:val="Arabic Typeset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0C1" w:rsidRDefault="003910C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992" w:rsidRDefault="00F45992" w:rsidP="00C1064D">
      <w:r>
        <w:separator/>
      </w:r>
    </w:p>
  </w:footnote>
  <w:footnote w:type="continuationSeparator" w:id="0">
    <w:p w:rsidR="00F45992" w:rsidRDefault="00F45992" w:rsidP="00C1064D">
      <w:r>
        <w:continuationSeparator/>
      </w:r>
    </w:p>
  </w:footnote>
  <w:footnote w:id="1">
    <w:p w:rsidR="003910C1" w:rsidRPr="00551962" w:rsidRDefault="003910C1" w:rsidP="001D15F0">
      <w:pPr>
        <w:pStyle w:val="FootnoteText"/>
      </w:pPr>
      <w:r w:rsidRPr="00551962">
        <w:rPr>
          <w:rStyle w:val="FootnoteReference"/>
        </w:rPr>
        <w:footnoteRef/>
      </w:r>
      <w:r w:rsidRPr="00551962">
        <w:t xml:space="preserve"> Prior to the Bank’s reorganization in 1987, the operational policies were contained mainly in Operational Manual Statements (OMSs) and Operational Policy Notes (OPNs) which were both issued by the Office of the Senior Vice President, Operations, under the authority of the President.</w:t>
      </w:r>
    </w:p>
  </w:footnote>
  <w:footnote w:id="2">
    <w:p w:rsidR="003910C1" w:rsidRPr="00551962" w:rsidRDefault="003910C1" w:rsidP="001D15F0">
      <w:pPr>
        <w:pStyle w:val="FootnoteText"/>
        <w:jc w:val="both"/>
      </w:pPr>
      <w:r w:rsidRPr="00551962">
        <w:rPr>
          <w:rStyle w:val="FootnoteReference"/>
        </w:rPr>
        <w:footnoteRef/>
      </w:r>
      <w:r w:rsidRPr="00551962">
        <w:t xml:space="preserve"> </w:t>
      </w:r>
      <w:r w:rsidRPr="00E76B43">
        <w:t>Operational Directive 4.00, Annex A: Environmental Assessment</w:t>
      </w:r>
      <w:r>
        <w:t xml:space="preserve"> </w:t>
      </w:r>
      <w:r w:rsidRPr="00551962">
        <w:t>(1989)</w:t>
      </w:r>
      <w:r>
        <w:t>.</w:t>
      </w:r>
    </w:p>
  </w:footnote>
  <w:footnote w:id="3">
    <w:p w:rsidR="003910C1" w:rsidRPr="00551962" w:rsidRDefault="003910C1" w:rsidP="001D15F0">
      <w:pPr>
        <w:pStyle w:val="FootnoteText"/>
        <w:jc w:val="both"/>
      </w:pPr>
      <w:r w:rsidRPr="00551962">
        <w:rPr>
          <w:rStyle w:val="FootnoteReference"/>
        </w:rPr>
        <w:footnoteRef/>
      </w:r>
      <w:r w:rsidRPr="00551962">
        <w:t xml:space="preserve"> OP 4.01 Environmental Assessment; OP 4.04 Natural Habitats; OP 4.09 Pest Management; OP 4.10 Indigenous Peoples; OP 4.11 Physical Cultural Resources; OP 4.12 Involuntary Resettlement; OP 4.36 Forests; OP 4.37 Safety of Dams; OP 7.50 Projects on International Waterways; OP 7</w:t>
      </w:r>
      <w:r w:rsidRPr="00E76B43">
        <w:t>.60 Projects in Disputed Territories.</w:t>
      </w:r>
    </w:p>
  </w:footnote>
  <w:footnote w:id="4">
    <w:p w:rsidR="003910C1" w:rsidRPr="00551962" w:rsidRDefault="003910C1" w:rsidP="003B754F">
      <w:pPr>
        <w:pStyle w:val="FootnoteText"/>
      </w:pPr>
      <w:r w:rsidRPr="00551962">
        <w:rPr>
          <w:rStyle w:val="FootnoteReference"/>
        </w:rPr>
        <w:footnoteRef/>
      </w:r>
      <w:r w:rsidRPr="00551962">
        <w:t xml:space="preserve"> </w:t>
      </w:r>
      <w:proofErr w:type="gramStart"/>
      <w:r w:rsidRPr="00551962">
        <w:t xml:space="preserve">“Safeguards and Sustainability in a Changing World: An Independent Evaluation of World Bank Group Experience,” </w:t>
      </w:r>
      <w:hyperlink r:id="rId1" w:history="1">
        <w:r w:rsidRPr="00551962">
          <w:t>http://go.worldbank.org/ZA4YFV9OL0</w:t>
        </w:r>
      </w:hyperlink>
      <w:r w:rsidRPr="00551962">
        <w:t>.</w:t>
      </w:r>
      <w:proofErr w:type="gramEnd"/>
      <w:r>
        <w:t xml:space="preserve"> </w:t>
      </w:r>
    </w:p>
  </w:footnote>
  <w:footnote w:id="5">
    <w:p w:rsidR="003910C1" w:rsidRPr="00F40798" w:rsidRDefault="003910C1">
      <w:pPr>
        <w:pStyle w:val="FootnoteText"/>
        <w:rPr>
          <w:lang w:val="fr-CH"/>
        </w:rPr>
      </w:pPr>
      <w:r>
        <w:rPr>
          <w:rStyle w:val="FootnoteReference"/>
        </w:rPr>
        <w:footnoteRef/>
      </w:r>
      <w:r w:rsidRPr="002508ED">
        <w:rPr>
          <w:lang w:val="fr-CH"/>
        </w:rPr>
        <w:t xml:space="preserve"> Management </w:t>
      </w:r>
      <w:proofErr w:type="spellStart"/>
      <w:r w:rsidRPr="002508ED">
        <w:rPr>
          <w:lang w:val="fr-CH"/>
        </w:rPr>
        <w:t>Response</w:t>
      </w:r>
      <w:proofErr w:type="spellEnd"/>
      <w:r w:rsidRPr="002508ED">
        <w:rPr>
          <w:lang w:val="fr-CH"/>
        </w:rPr>
        <w:t xml:space="preserve"> /Management Action Record,</w:t>
      </w:r>
      <w:r>
        <w:rPr>
          <w:lang w:val="fr-CH"/>
        </w:rPr>
        <w:t xml:space="preserve"> </w:t>
      </w:r>
      <w:hyperlink r:id="rId2" w:history="1">
        <w:r w:rsidRPr="002508ED">
          <w:rPr>
            <w:rStyle w:val="Hyperlink"/>
            <w:lang w:val="fr-CH"/>
          </w:rPr>
          <w:t>http://go.worldbank.org/ZA4YFV9OL0</w:t>
        </w:r>
      </w:hyperlink>
      <w:r>
        <w:rPr>
          <w:lang w:val="fr-CH"/>
        </w:rPr>
        <w:t>.</w:t>
      </w:r>
      <w:r w:rsidRPr="002508ED">
        <w:rPr>
          <w:lang w:val="fr-CH"/>
        </w:rPr>
        <w:t xml:space="preserve"> </w:t>
      </w:r>
    </w:p>
  </w:footnote>
  <w:footnote w:id="6">
    <w:p w:rsidR="003910C1" w:rsidRPr="00551962" w:rsidRDefault="003910C1" w:rsidP="00E53177">
      <w:pPr>
        <w:pStyle w:val="FootnoteText"/>
      </w:pPr>
      <w:r w:rsidRPr="00551962">
        <w:rPr>
          <w:rStyle w:val="FootnoteReference"/>
        </w:rPr>
        <w:footnoteRef/>
      </w:r>
      <w:r w:rsidRPr="00551962">
        <w:t xml:space="preserve"> See the website on aid effectiveness </w:t>
      </w:r>
      <w:r w:rsidRPr="00C541D3">
        <w:t>http://ww</w:t>
      </w:r>
      <w:r>
        <w:t>w.oecd.org/dac/aideffectiveness/</w:t>
      </w:r>
      <w:r w:rsidRPr="00551962">
        <w:t xml:space="preserve">. </w:t>
      </w:r>
      <w:r w:rsidRPr="00551962">
        <w:rPr>
          <w:bCs/>
          <w:color w:val="333333"/>
        </w:rPr>
        <w:t>The Paris Declaration</w:t>
      </w:r>
      <w:r w:rsidRPr="00551962">
        <w:rPr>
          <w:color w:val="333333"/>
        </w:rPr>
        <w:t xml:space="preserve">, endorsed on March 2, 2005, is an international agreement to which over one hundred Ministers, Heads of Agencies and other Senior Officials adhered, and committed their countries and organizations to continue to increase efforts in harmonization, alignment and managing aid for results with a set of </w:t>
      </w:r>
      <w:proofErr w:type="spellStart"/>
      <w:r w:rsidRPr="00551962">
        <w:rPr>
          <w:color w:val="333333"/>
        </w:rPr>
        <w:t>monitorable</w:t>
      </w:r>
      <w:proofErr w:type="spellEnd"/>
      <w:r w:rsidRPr="00551962">
        <w:rPr>
          <w:color w:val="333333"/>
        </w:rPr>
        <w:t xml:space="preserve"> actions and indicators.</w:t>
      </w:r>
      <w:r>
        <w:rPr>
          <w:color w:val="333333"/>
        </w:rPr>
        <w:t xml:space="preserve"> </w:t>
      </w:r>
    </w:p>
  </w:footnote>
  <w:footnote w:id="7">
    <w:p w:rsidR="003910C1" w:rsidRDefault="003910C1">
      <w:pPr>
        <w:pStyle w:val="FootnoteText"/>
      </w:pPr>
      <w:r>
        <w:rPr>
          <w:rStyle w:val="FootnoteReference"/>
        </w:rPr>
        <w:footnoteRef/>
      </w:r>
      <w:r>
        <w:t xml:space="preserve"> </w:t>
      </w:r>
      <w:r w:rsidRPr="00C32A25">
        <w:rPr>
          <w:bCs/>
        </w:rPr>
        <w:t xml:space="preserve">The Accra Agenda for Action </w:t>
      </w:r>
      <w:r w:rsidRPr="00C32A25">
        <w:t xml:space="preserve">was drawn up in 2008 and builds on the commitments agreed in the Paris Declaration. </w:t>
      </w:r>
    </w:p>
  </w:footnote>
  <w:footnote w:id="8">
    <w:p w:rsidR="003910C1" w:rsidRDefault="003910C1">
      <w:pPr>
        <w:pStyle w:val="FootnoteText"/>
      </w:pPr>
      <w:r>
        <w:rPr>
          <w:rStyle w:val="FootnoteReference"/>
        </w:rPr>
        <w:footnoteRef/>
      </w:r>
      <w:r>
        <w:t xml:space="preserve"> </w:t>
      </w:r>
      <w:hyperlink r:id="rId3" w:history="1">
        <w:r>
          <w:rPr>
            <w:rStyle w:val="Hyperlink"/>
          </w:rPr>
          <w:t>http://www.aideffectiveness.org/busanhlf4/</w:t>
        </w:r>
      </w:hyperlink>
      <w:r>
        <w:t>.</w:t>
      </w:r>
    </w:p>
  </w:footnote>
  <w:footnote w:id="9">
    <w:p w:rsidR="003910C1" w:rsidRPr="00551962" w:rsidRDefault="003910C1" w:rsidP="008E6047">
      <w:pPr>
        <w:pStyle w:val="FootnoteText"/>
        <w:rPr>
          <w:rFonts w:cs="Times New Roman"/>
        </w:rPr>
      </w:pPr>
      <w:r w:rsidRPr="00551962">
        <w:rPr>
          <w:rStyle w:val="FootnoteReference"/>
          <w:rFonts w:cs="Times New Roman"/>
        </w:rPr>
        <w:footnoteRef/>
      </w:r>
      <w:r w:rsidRPr="00551962">
        <w:rPr>
          <w:rFonts w:cs="Times New Roman"/>
        </w:rPr>
        <w:t xml:space="preserve"> </w:t>
      </w:r>
      <w:r>
        <w:rPr>
          <w:rFonts w:cs="Times New Roman"/>
        </w:rPr>
        <w:t xml:space="preserve">See the </w:t>
      </w:r>
      <w:r w:rsidRPr="00551962">
        <w:rPr>
          <w:rFonts w:cs="Times New Roman"/>
        </w:rPr>
        <w:t xml:space="preserve">Bank website </w:t>
      </w:r>
      <w:r w:rsidRPr="00CF281B">
        <w:rPr>
          <w:rFonts w:cs="Times New Roman"/>
        </w:rPr>
        <w:t xml:space="preserve">for Use of Country Systems, </w:t>
      </w:r>
      <w:hyperlink r:id="rId4" w:history="1">
        <w:r w:rsidRPr="00D167DF">
          <w:rPr>
            <w:rFonts w:cs="Times New Roman"/>
            <w:color w:val="204E84"/>
            <w:u w:val="single"/>
          </w:rPr>
          <w:t>http://go.worldbank.org/RHRJVXDW60</w:t>
        </w:r>
      </w:hyperlink>
      <w:r w:rsidRPr="00551962">
        <w:rPr>
          <w:rFonts w:cs="Times New Roman"/>
        </w:rPr>
        <w:t>.</w:t>
      </w:r>
    </w:p>
  </w:footnote>
  <w:footnote w:id="10">
    <w:p w:rsidR="00F0561D" w:rsidRPr="00551962" w:rsidRDefault="00F0561D" w:rsidP="00F0561D">
      <w:pPr>
        <w:pStyle w:val="FootnoteText"/>
        <w:rPr>
          <w:rFonts w:cs="Times New Roman"/>
        </w:rPr>
      </w:pPr>
      <w:r w:rsidRPr="00551962">
        <w:rPr>
          <w:rStyle w:val="FootnoteReference"/>
          <w:rFonts w:cs="Times New Roman"/>
        </w:rPr>
        <w:footnoteRef/>
      </w:r>
      <w:r w:rsidRPr="00551962">
        <w:rPr>
          <w:rFonts w:cs="Times New Roman"/>
        </w:rPr>
        <w:t xml:space="preserve"> See the Investment Lending Reform website: </w:t>
      </w:r>
      <w:hyperlink r:id="rId5" w:history="1">
        <w:r w:rsidRPr="00551962">
          <w:rPr>
            <w:rStyle w:val="Hyperlink"/>
            <w:rFonts w:cs="Times New Roman"/>
            <w:color w:val="204E84"/>
          </w:rPr>
          <w:t>http://go.worldbank.org/QE64AT0D50</w:t>
        </w:r>
      </w:hyperlink>
      <w:r>
        <w:t>.</w:t>
      </w:r>
    </w:p>
  </w:footnote>
  <w:footnote w:id="11">
    <w:p w:rsidR="003910C1" w:rsidRPr="00551962" w:rsidRDefault="003910C1" w:rsidP="001C5DC9">
      <w:pPr>
        <w:pStyle w:val="FootnoteText"/>
        <w:rPr>
          <w:rFonts w:cs="Times New Roman"/>
        </w:rPr>
      </w:pPr>
      <w:r w:rsidRPr="00551962">
        <w:rPr>
          <w:rStyle w:val="FootnoteReference"/>
          <w:rFonts w:cs="Times New Roman"/>
        </w:rPr>
        <w:footnoteRef/>
      </w:r>
      <w:r>
        <w:rPr>
          <w:rFonts w:cs="Times New Roman"/>
        </w:rPr>
        <w:t xml:space="preserve"> </w:t>
      </w:r>
      <w:proofErr w:type="gramStart"/>
      <w:r w:rsidRPr="005B07A6">
        <w:rPr>
          <w:rFonts w:cs="Times New Roman"/>
          <w:i/>
        </w:rPr>
        <w:t>Proposed Adoption and Application of World Bank Performance Standards for Private Sector Projects Supported by IBRD/IDA</w:t>
      </w:r>
      <w:r>
        <w:rPr>
          <w:rFonts w:cs="Times New Roman"/>
        </w:rPr>
        <w:t xml:space="preserve"> (R2012-0130).</w:t>
      </w:r>
      <w:proofErr w:type="gramEnd"/>
    </w:p>
  </w:footnote>
  <w:footnote w:id="12">
    <w:p w:rsidR="003910C1" w:rsidRPr="00551962" w:rsidRDefault="003910C1">
      <w:pPr>
        <w:pStyle w:val="FootnoteText"/>
        <w:rPr>
          <w:rFonts w:cs="Times New Roman"/>
        </w:rPr>
      </w:pPr>
      <w:r w:rsidRPr="00551962">
        <w:rPr>
          <w:rStyle w:val="FootnoteReference"/>
          <w:rFonts w:cs="Times New Roman"/>
        </w:rPr>
        <w:footnoteRef/>
      </w:r>
      <w:r w:rsidRPr="00551962">
        <w:rPr>
          <w:rFonts w:cs="Times New Roman"/>
        </w:rPr>
        <w:t xml:space="preserve"> For a detailed comparison of the </w:t>
      </w:r>
      <w:r>
        <w:rPr>
          <w:rFonts w:cs="Times New Roman"/>
        </w:rPr>
        <w:t>safeguard polic</w:t>
      </w:r>
      <w:r w:rsidRPr="00551962">
        <w:rPr>
          <w:rFonts w:cs="Times New Roman"/>
        </w:rPr>
        <w:t>ies against the 2012 IFC Performance Standards, please visit www.ifc.org/sustainability.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0C1" w:rsidRDefault="003910C1" w:rsidP="002508ED">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423434"/>
      <w:docPartObj>
        <w:docPartGallery w:val="Page Numbers (Top of Page)"/>
        <w:docPartUnique/>
      </w:docPartObj>
    </w:sdtPr>
    <w:sdtContent>
      <w:p w:rsidR="003910C1" w:rsidRDefault="003910C1">
        <w:pPr>
          <w:pStyle w:val="Header"/>
        </w:pPr>
        <w:r>
          <w:tab/>
        </w:r>
        <w:fldSimple w:instr=" PAGE   \* MERGEFORMAT ">
          <w:r w:rsidR="00981C28">
            <w:rPr>
              <w:noProof/>
            </w:rPr>
            <w:t>16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2DCEAD2"/>
    <w:lvl w:ilvl="0">
      <w:start w:val="1"/>
      <w:numFmt w:val="decimal"/>
      <w:pStyle w:val="ListNumber"/>
      <w:lvlText w:val="%1."/>
      <w:lvlJc w:val="right"/>
      <w:pPr>
        <w:tabs>
          <w:tab w:val="num" w:pos="360"/>
        </w:tabs>
        <w:ind w:left="360" w:hanging="72"/>
      </w:pPr>
      <w:rPr>
        <w:rFonts w:hint="default"/>
      </w:rPr>
    </w:lvl>
  </w:abstractNum>
  <w:abstractNum w:abstractNumId="1">
    <w:nsid w:val="FFFFFF89"/>
    <w:multiLevelType w:val="singleLevel"/>
    <w:tmpl w:val="E514DDF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E"/>
    <w:multiLevelType w:val="singleLevel"/>
    <w:tmpl w:val="EA0EA730"/>
    <w:lvl w:ilvl="0">
      <w:numFmt w:val="bullet"/>
      <w:lvlText w:val="*"/>
      <w:lvlJc w:val="left"/>
    </w:lvl>
  </w:abstractNum>
  <w:abstractNum w:abstractNumId="3">
    <w:nsid w:val="00F14B9D"/>
    <w:multiLevelType w:val="hybridMultilevel"/>
    <w:tmpl w:val="85208576"/>
    <w:lvl w:ilvl="0" w:tplc="366093F8">
      <w:start w:val="3"/>
      <w:numFmt w:val="decimal"/>
      <w:lvlText w:val="%1."/>
      <w:lvlJc w:val="left"/>
      <w:pPr>
        <w:ind w:left="360" w:hanging="360"/>
      </w:pPr>
      <w:rPr>
        <w:rFonts w:cstheme="minorBidi"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410682"/>
    <w:multiLevelType w:val="hybridMultilevel"/>
    <w:tmpl w:val="D5E677BA"/>
    <w:lvl w:ilvl="0" w:tplc="BBBA718A">
      <w:start w:val="1"/>
      <w:numFmt w:val="bullet"/>
      <w:lvlText w:val=""/>
      <w:lvlJc w:val="left"/>
      <w:pPr>
        <w:tabs>
          <w:tab w:val="num" w:pos="720"/>
        </w:tabs>
        <w:ind w:left="720" w:hanging="360"/>
      </w:pPr>
      <w:rPr>
        <w:rFonts w:ascii="Wingdings 2" w:hAnsi="Wingdings 2" w:hint="default"/>
      </w:rPr>
    </w:lvl>
    <w:lvl w:ilvl="1" w:tplc="32707784" w:tentative="1">
      <w:start w:val="1"/>
      <w:numFmt w:val="bullet"/>
      <w:lvlText w:val=""/>
      <w:lvlJc w:val="left"/>
      <w:pPr>
        <w:tabs>
          <w:tab w:val="num" w:pos="1440"/>
        </w:tabs>
        <w:ind w:left="1440" w:hanging="360"/>
      </w:pPr>
      <w:rPr>
        <w:rFonts w:ascii="Wingdings 2" w:hAnsi="Wingdings 2" w:hint="default"/>
      </w:rPr>
    </w:lvl>
    <w:lvl w:ilvl="2" w:tplc="A7222BD6" w:tentative="1">
      <w:start w:val="1"/>
      <w:numFmt w:val="bullet"/>
      <w:lvlText w:val=""/>
      <w:lvlJc w:val="left"/>
      <w:pPr>
        <w:tabs>
          <w:tab w:val="num" w:pos="2160"/>
        </w:tabs>
        <w:ind w:left="2160" w:hanging="360"/>
      </w:pPr>
      <w:rPr>
        <w:rFonts w:ascii="Wingdings 2" w:hAnsi="Wingdings 2" w:hint="default"/>
      </w:rPr>
    </w:lvl>
    <w:lvl w:ilvl="3" w:tplc="1CF66BB4" w:tentative="1">
      <w:start w:val="1"/>
      <w:numFmt w:val="bullet"/>
      <w:lvlText w:val=""/>
      <w:lvlJc w:val="left"/>
      <w:pPr>
        <w:tabs>
          <w:tab w:val="num" w:pos="2880"/>
        </w:tabs>
        <w:ind w:left="2880" w:hanging="360"/>
      </w:pPr>
      <w:rPr>
        <w:rFonts w:ascii="Wingdings 2" w:hAnsi="Wingdings 2" w:hint="default"/>
      </w:rPr>
    </w:lvl>
    <w:lvl w:ilvl="4" w:tplc="5366C12C" w:tentative="1">
      <w:start w:val="1"/>
      <w:numFmt w:val="bullet"/>
      <w:lvlText w:val=""/>
      <w:lvlJc w:val="left"/>
      <w:pPr>
        <w:tabs>
          <w:tab w:val="num" w:pos="3600"/>
        </w:tabs>
        <w:ind w:left="3600" w:hanging="360"/>
      </w:pPr>
      <w:rPr>
        <w:rFonts w:ascii="Wingdings 2" w:hAnsi="Wingdings 2" w:hint="default"/>
      </w:rPr>
    </w:lvl>
    <w:lvl w:ilvl="5" w:tplc="6F86D89A" w:tentative="1">
      <w:start w:val="1"/>
      <w:numFmt w:val="bullet"/>
      <w:lvlText w:val=""/>
      <w:lvlJc w:val="left"/>
      <w:pPr>
        <w:tabs>
          <w:tab w:val="num" w:pos="4320"/>
        </w:tabs>
        <w:ind w:left="4320" w:hanging="360"/>
      </w:pPr>
      <w:rPr>
        <w:rFonts w:ascii="Wingdings 2" w:hAnsi="Wingdings 2" w:hint="default"/>
      </w:rPr>
    </w:lvl>
    <w:lvl w:ilvl="6" w:tplc="0C3CA6EC" w:tentative="1">
      <w:start w:val="1"/>
      <w:numFmt w:val="bullet"/>
      <w:lvlText w:val=""/>
      <w:lvlJc w:val="left"/>
      <w:pPr>
        <w:tabs>
          <w:tab w:val="num" w:pos="5040"/>
        </w:tabs>
        <w:ind w:left="5040" w:hanging="360"/>
      </w:pPr>
      <w:rPr>
        <w:rFonts w:ascii="Wingdings 2" w:hAnsi="Wingdings 2" w:hint="default"/>
      </w:rPr>
    </w:lvl>
    <w:lvl w:ilvl="7" w:tplc="584233E2" w:tentative="1">
      <w:start w:val="1"/>
      <w:numFmt w:val="bullet"/>
      <w:lvlText w:val=""/>
      <w:lvlJc w:val="left"/>
      <w:pPr>
        <w:tabs>
          <w:tab w:val="num" w:pos="5760"/>
        </w:tabs>
        <w:ind w:left="5760" w:hanging="360"/>
      </w:pPr>
      <w:rPr>
        <w:rFonts w:ascii="Wingdings 2" w:hAnsi="Wingdings 2" w:hint="default"/>
      </w:rPr>
    </w:lvl>
    <w:lvl w:ilvl="8" w:tplc="DBAAB44E" w:tentative="1">
      <w:start w:val="1"/>
      <w:numFmt w:val="bullet"/>
      <w:lvlText w:val=""/>
      <w:lvlJc w:val="left"/>
      <w:pPr>
        <w:tabs>
          <w:tab w:val="num" w:pos="6480"/>
        </w:tabs>
        <w:ind w:left="6480" w:hanging="360"/>
      </w:pPr>
      <w:rPr>
        <w:rFonts w:ascii="Wingdings 2" w:hAnsi="Wingdings 2" w:hint="default"/>
      </w:rPr>
    </w:lvl>
  </w:abstractNum>
  <w:abstractNum w:abstractNumId="5">
    <w:nsid w:val="08165A2D"/>
    <w:multiLevelType w:val="hybridMultilevel"/>
    <w:tmpl w:val="67685A64"/>
    <w:lvl w:ilvl="0" w:tplc="366093F8">
      <w:start w:val="3"/>
      <w:numFmt w:val="decimal"/>
      <w:lvlText w:val="%1."/>
      <w:lvlJc w:val="left"/>
      <w:pPr>
        <w:ind w:left="360" w:hanging="360"/>
      </w:pPr>
      <w:rPr>
        <w:rFonts w:cstheme="minorBidi"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767452"/>
    <w:multiLevelType w:val="hybridMultilevel"/>
    <w:tmpl w:val="85B0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804BA1"/>
    <w:multiLevelType w:val="hybridMultilevel"/>
    <w:tmpl w:val="33803BBE"/>
    <w:lvl w:ilvl="0" w:tplc="5650B184">
      <w:start w:val="1"/>
      <w:numFmt w:val="bullet"/>
      <w:lvlText w:val=""/>
      <w:lvlJc w:val="left"/>
      <w:pPr>
        <w:tabs>
          <w:tab w:val="num" w:pos="720"/>
        </w:tabs>
        <w:ind w:left="720" w:hanging="360"/>
      </w:pPr>
      <w:rPr>
        <w:rFonts w:ascii="Wingdings 2" w:hAnsi="Wingdings 2" w:hint="default"/>
      </w:rPr>
    </w:lvl>
    <w:lvl w:ilvl="1" w:tplc="A5B80A7C" w:tentative="1">
      <w:start w:val="1"/>
      <w:numFmt w:val="bullet"/>
      <w:lvlText w:val=""/>
      <w:lvlJc w:val="left"/>
      <w:pPr>
        <w:tabs>
          <w:tab w:val="num" w:pos="1440"/>
        </w:tabs>
        <w:ind w:left="1440" w:hanging="360"/>
      </w:pPr>
      <w:rPr>
        <w:rFonts w:ascii="Wingdings 2" w:hAnsi="Wingdings 2" w:hint="default"/>
      </w:rPr>
    </w:lvl>
    <w:lvl w:ilvl="2" w:tplc="A6B62C94" w:tentative="1">
      <w:start w:val="1"/>
      <w:numFmt w:val="bullet"/>
      <w:lvlText w:val=""/>
      <w:lvlJc w:val="left"/>
      <w:pPr>
        <w:tabs>
          <w:tab w:val="num" w:pos="2160"/>
        </w:tabs>
        <w:ind w:left="2160" w:hanging="360"/>
      </w:pPr>
      <w:rPr>
        <w:rFonts w:ascii="Wingdings 2" w:hAnsi="Wingdings 2" w:hint="default"/>
      </w:rPr>
    </w:lvl>
    <w:lvl w:ilvl="3" w:tplc="B7722EFA" w:tentative="1">
      <w:start w:val="1"/>
      <w:numFmt w:val="bullet"/>
      <w:lvlText w:val=""/>
      <w:lvlJc w:val="left"/>
      <w:pPr>
        <w:tabs>
          <w:tab w:val="num" w:pos="2880"/>
        </w:tabs>
        <w:ind w:left="2880" w:hanging="360"/>
      </w:pPr>
      <w:rPr>
        <w:rFonts w:ascii="Wingdings 2" w:hAnsi="Wingdings 2" w:hint="default"/>
      </w:rPr>
    </w:lvl>
    <w:lvl w:ilvl="4" w:tplc="87C64CF6" w:tentative="1">
      <w:start w:val="1"/>
      <w:numFmt w:val="bullet"/>
      <w:lvlText w:val=""/>
      <w:lvlJc w:val="left"/>
      <w:pPr>
        <w:tabs>
          <w:tab w:val="num" w:pos="3600"/>
        </w:tabs>
        <w:ind w:left="3600" w:hanging="360"/>
      </w:pPr>
      <w:rPr>
        <w:rFonts w:ascii="Wingdings 2" w:hAnsi="Wingdings 2" w:hint="default"/>
      </w:rPr>
    </w:lvl>
    <w:lvl w:ilvl="5" w:tplc="C73E1E98" w:tentative="1">
      <w:start w:val="1"/>
      <w:numFmt w:val="bullet"/>
      <w:lvlText w:val=""/>
      <w:lvlJc w:val="left"/>
      <w:pPr>
        <w:tabs>
          <w:tab w:val="num" w:pos="4320"/>
        </w:tabs>
        <w:ind w:left="4320" w:hanging="360"/>
      </w:pPr>
      <w:rPr>
        <w:rFonts w:ascii="Wingdings 2" w:hAnsi="Wingdings 2" w:hint="default"/>
      </w:rPr>
    </w:lvl>
    <w:lvl w:ilvl="6" w:tplc="168A135C" w:tentative="1">
      <w:start w:val="1"/>
      <w:numFmt w:val="bullet"/>
      <w:lvlText w:val=""/>
      <w:lvlJc w:val="left"/>
      <w:pPr>
        <w:tabs>
          <w:tab w:val="num" w:pos="5040"/>
        </w:tabs>
        <w:ind w:left="5040" w:hanging="360"/>
      </w:pPr>
      <w:rPr>
        <w:rFonts w:ascii="Wingdings 2" w:hAnsi="Wingdings 2" w:hint="default"/>
      </w:rPr>
    </w:lvl>
    <w:lvl w:ilvl="7" w:tplc="20A22FE8" w:tentative="1">
      <w:start w:val="1"/>
      <w:numFmt w:val="bullet"/>
      <w:lvlText w:val=""/>
      <w:lvlJc w:val="left"/>
      <w:pPr>
        <w:tabs>
          <w:tab w:val="num" w:pos="5760"/>
        </w:tabs>
        <w:ind w:left="5760" w:hanging="360"/>
      </w:pPr>
      <w:rPr>
        <w:rFonts w:ascii="Wingdings 2" w:hAnsi="Wingdings 2" w:hint="default"/>
      </w:rPr>
    </w:lvl>
    <w:lvl w:ilvl="8" w:tplc="4F3AC980" w:tentative="1">
      <w:start w:val="1"/>
      <w:numFmt w:val="bullet"/>
      <w:lvlText w:val=""/>
      <w:lvlJc w:val="left"/>
      <w:pPr>
        <w:tabs>
          <w:tab w:val="num" w:pos="6480"/>
        </w:tabs>
        <w:ind w:left="6480" w:hanging="360"/>
      </w:pPr>
      <w:rPr>
        <w:rFonts w:ascii="Wingdings 2" w:hAnsi="Wingdings 2" w:hint="default"/>
      </w:rPr>
    </w:lvl>
  </w:abstractNum>
  <w:abstractNum w:abstractNumId="8">
    <w:nsid w:val="35732AA7"/>
    <w:multiLevelType w:val="hybridMultilevel"/>
    <w:tmpl w:val="D1E6238E"/>
    <w:lvl w:ilvl="0" w:tplc="552030C2">
      <w:start w:val="1"/>
      <w:numFmt w:val="decimal"/>
      <w:pStyle w:val="ippara2"/>
      <w:lvlText w:val="%1."/>
      <w:lvlJc w:val="left"/>
      <w:pPr>
        <w:ind w:left="54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663229"/>
    <w:multiLevelType w:val="hybridMultilevel"/>
    <w:tmpl w:val="B2FAB9BA"/>
    <w:lvl w:ilvl="0" w:tplc="9FCCFE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165C7A"/>
    <w:multiLevelType w:val="hybridMultilevel"/>
    <w:tmpl w:val="0950A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2AB2285"/>
    <w:multiLevelType w:val="hybridMultilevel"/>
    <w:tmpl w:val="2FB6E1C8"/>
    <w:lvl w:ilvl="0" w:tplc="38B4C8D6">
      <w:start w:val="2"/>
      <w:numFmt w:val="low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241B0C"/>
    <w:multiLevelType w:val="hybridMultilevel"/>
    <w:tmpl w:val="A09A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31437C"/>
    <w:multiLevelType w:val="hybridMultilevel"/>
    <w:tmpl w:val="637ACE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A705E86"/>
    <w:multiLevelType w:val="hybridMultilevel"/>
    <w:tmpl w:val="AB623BC6"/>
    <w:lvl w:ilvl="0" w:tplc="04090001">
      <w:start w:val="1"/>
      <w:numFmt w:val="bullet"/>
      <w:lvlText w:val=""/>
      <w:lvlJc w:val="left"/>
      <w:pPr>
        <w:ind w:left="45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997AFD"/>
    <w:multiLevelType w:val="hybridMultilevel"/>
    <w:tmpl w:val="0CC6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1817DC"/>
    <w:multiLevelType w:val="hybridMultilevel"/>
    <w:tmpl w:val="EC1A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15"/>
  </w:num>
  <w:num w:numId="5">
    <w:abstractNumId w:val="6"/>
  </w:num>
  <w:num w:numId="6">
    <w:abstractNumId w:val="1"/>
  </w:num>
  <w:num w:numId="7">
    <w:abstractNumId w:val="0"/>
  </w:num>
  <w:num w:numId="8">
    <w:abstractNumId w:val="10"/>
  </w:num>
  <w:num w:numId="9">
    <w:abstractNumId w:val="13"/>
  </w:num>
  <w:num w:numId="10">
    <w:abstractNumId w:val="14"/>
  </w:num>
  <w:num w:numId="11">
    <w:abstractNumId w:val="11"/>
  </w:num>
  <w:num w:numId="12">
    <w:abstractNumId w:val="3"/>
  </w:num>
  <w:num w:numId="13">
    <w:abstractNumId w:val="5"/>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16"/>
  </w:num>
  <w:num w:numId="38">
    <w:abstractNumId w:val="9"/>
  </w:num>
  <w:num w:numId="39">
    <w:abstractNumId w:val="2"/>
    <w:lvlOverride w:ilvl="0">
      <w:lvl w:ilvl="0">
        <w:numFmt w:val="bullet"/>
        <w:lvlText w:val=""/>
        <w:legacy w:legacy="1" w:legacySpace="0" w:legacyIndent="0"/>
        <w:lvlJc w:val="left"/>
        <w:rPr>
          <w:rFonts w:ascii="Symbol" w:hAnsi="Symbol" w:hint="default"/>
          <w:sz w:val="22"/>
        </w:rPr>
      </w:lvl>
    </w:lvlOverride>
  </w:num>
  <w:num w:numId="40">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stylePaneFormatFilter w:val="1004"/>
  <w:doNotTrackMoves/>
  <w:defaultTabStop w:val="720"/>
  <w:drawingGridHorizontalSpacing w:val="120"/>
  <w:displayHorizontalDrawingGridEvery w:val="2"/>
  <w:characterSpacingControl w:val="doNotCompress"/>
  <w:hdrShapeDefaults>
    <o:shapedefaults v:ext="edit" spidmax="103425"/>
  </w:hdrShapeDefaults>
  <w:footnotePr>
    <w:footnote w:id="-1"/>
    <w:footnote w:id="0"/>
  </w:footnotePr>
  <w:endnotePr>
    <w:endnote w:id="-1"/>
    <w:endnote w:id="0"/>
  </w:endnotePr>
  <w:compat/>
  <w:rsids>
    <w:rsidRoot w:val="00603C93"/>
    <w:rsid w:val="00000255"/>
    <w:rsid w:val="00000B9B"/>
    <w:rsid w:val="00001D00"/>
    <w:rsid w:val="00006BF0"/>
    <w:rsid w:val="000078D3"/>
    <w:rsid w:val="00011A20"/>
    <w:rsid w:val="00011D52"/>
    <w:rsid w:val="00012A61"/>
    <w:rsid w:val="00013A04"/>
    <w:rsid w:val="00016A7C"/>
    <w:rsid w:val="00016DBC"/>
    <w:rsid w:val="000172FD"/>
    <w:rsid w:val="00020059"/>
    <w:rsid w:val="0002080B"/>
    <w:rsid w:val="00021AEA"/>
    <w:rsid w:val="00023170"/>
    <w:rsid w:val="00024E84"/>
    <w:rsid w:val="00025AE0"/>
    <w:rsid w:val="00025EE8"/>
    <w:rsid w:val="000263CE"/>
    <w:rsid w:val="00026CF7"/>
    <w:rsid w:val="00027A17"/>
    <w:rsid w:val="00027AA5"/>
    <w:rsid w:val="000304B8"/>
    <w:rsid w:val="00031C2B"/>
    <w:rsid w:val="00032883"/>
    <w:rsid w:val="00034174"/>
    <w:rsid w:val="0004148B"/>
    <w:rsid w:val="00042CA4"/>
    <w:rsid w:val="000441DA"/>
    <w:rsid w:val="00045572"/>
    <w:rsid w:val="00045E43"/>
    <w:rsid w:val="000475A3"/>
    <w:rsid w:val="000501E9"/>
    <w:rsid w:val="0005062E"/>
    <w:rsid w:val="000507A7"/>
    <w:rsid w:val="00050DB9"/>
    <w:rsid w:val="00052F03"/>
    <w:rsid w:val="00052F42"/>
    <w:rsid w:val="00054480"/>
    <w:rsid w:val="000544E7"/>
    <w:rsid w:val="00055555"/>
    <w:rsid w:val="0005570E"/>
    <w:rsid w:val="000557AC"/>
    <w:rsid w:val="00057466"/>
    <w:rsid w:val="00060541"/>
    <w:rsid w:val="0006221B"/>
    <w:rsid w:val="000636EE"/>
    <w:rsid w:val="0006453F"/>
    <w:rsid w:val="000667C2"/>
    <w:rsid w:val="000670F2"/>
    <w:rsid w:val="00067390"/>
    <w:rsid w:val="0007109E"/>
    <w:rsid w:val="000725D5"/>
    <w:rsid w:val="00080BA3"/>
    <w:rsid w:val="00082B1E"/>
    <w:rsid w:val="0008401C"/>
    <w:rsid w:val="00084407"/>
    <w:rsid w:val="0008462F"/>
    <w:rsid w:val="000848D6"/>
    <w:rsid w:val="000850D2"/>
    <w:rsid w:val="00085377"/>
    <w:rsid w:val="00091817"/>
    <w:rsid w:val="00091FE7"/>
    <w:rsid w:val="00093CAD"/>
    <w:rsid w:val="000954E3"/>
    <w:rsid w:val="00097021"/>
    <w:rsid w:val="000A05E5"/>
    <w:rsid w:val="000A3536"/>
    <w:rsid w:val="000A4C84"/>
    <w:rsid w:val="000A5C6F"/>
    <w:rsid w:val="000A6191"/>
    <w:rsid w:val="000A62D0"/>
    <w:rsid w:val="000A6646"/>
    <w:rsid w:val="000A7DAB"/>
    <w:rsid w:val="000B0E3C"/>
    <w:rsid w:val="000B1C16"/>
    <w:rsid w:val="000B24B8"/>
    <w:rsid w:val="000B3960"/>
    <w:rsid w:val="000B518E"/>
    <w:rsid w:val="000B57AC"/>
    <w:rsid w:val="000B5A5C"/>
    <w:rsid w:val="000B62E6"/>
    <w:rsid w:val="000C0C23"/>
    <w:rsid w:val="000C1ABC"/>
    <w:rsid w:val="000C1B27"/>
    <w:rsid w:val="000C2775"/>
    <w:rsid w:val="000C354B"/>
    <w:rsid w:val="000C376F"/>
    <w:rsid w:val="000C617E"/>
    <w:rsid w:val="000C657E"/>
    <w:rsid w:val="000C761A"/>
    <w:rsid w:val="000C7994"/>
    <w:rsid w:val="000C7EB8"/>
    <w:rsid w:val="000D0E64"/>
    <w:rsid w:val="000D10B9"/>
    <w:rsid w:val="000D1ACB"/>
    <w:rsid w:val="000D1F63"/>
    <w:rsid w:val="000D4520"/>
    <w:rsid w:val="000D67DB"/>
    <w:rsid w:val="000E0E30"/>
    <w:rsid w:val="000E18EB"/>
    <w:rsid w:val="000E28F8"/>
    <w:rsid w:val="000E30EC"/>
    <w:rsid w:val="000E32D4"/>
    <w:rsid w:val="000E40B1"/>
    <w:rsid w:val="000E461C"/>
    <w:rsid w:val="000E5840"/>
    <w:rsid w:val="000E790B"/>
    <w:rsid w:val="000F0878"/>
    <w:rsid w:val="000F0FA0"/>
    <w:rsid w:val="000F125E"/>
    <w:rsid w:val="000F262B"/>
    <w:rsid w:val="000F3CE7"/>
    <w:rsid w:val="000F4707"/>
    <w:rsid w:val="000F6A05"/>
    <w:rsid w:val="000F6A2C"/>
    <w:rsid w:val="000F781F"/>
    <w:rsid w:val="00100CD3"/>
    <w:rsid w:val="00100E37"/>
    <w:rsid w:val="0010142B"/>
    <w:rsid w:val="00102044"/>
    <w:rsid w:val="00102817"/>
    <w:rsid w:val="0010495E"/>
    <w:rsid w:val="00104C95"/>
    <w:rsid w:val="001052B4"/>
    <w:rsid w:val="0011017E"/>
    <w:rsid w:val="001104D2"/>
    <w:rsid w:val="001126E9"/>
    <w:rsid w:val="00112C63"/>
    <w:rsid w:val="00113410"/>
    <w:rsid w:val="00113B10"/>
    <w:rsid w:val="00114B8A"/>
    <w:rsid w:val="00115A27"/>
    <w:rsid w:val="0011682A"/>
    <w:rsid w:val="00116E2F"/>
    <w:rsid w:val="001174B7"/>
    <w:rsid w:val="00120D84"/>
    <w:rsid w:val="00121FAF"/>
    <w:rsid w:val="00122357"/>
    <w:rsid w:val="00123E14"/>
    <w:rsid w:val="00124319"/>
    <w:rsid w:val="00125816"/>
    <w:rsid w:val="00125A02"/>
    <w:rsid w:val="00125BC2"/>
    <w:rsid w:val="00125C2C"/>
    <w:rsid w:val="0012663D"/>
    <w:rsid w:val="00126879"/>
    <w:rsid w:val="001272E9"/>
    <w:rsid w:val="0012748C"/>
    <w:rsid w:val="00130EE6"/>
    <w:rsid w:val="00131B6C"/>
    <w:rsid w:val="00131C76"/>
    <w:rsid w:val="001348C0"/>
    <w:rsid w:val="00134D90"/>
    <w:rsid w:val="00137C8F"/>
    <w:rsid w:val="00140010"/>
    <w:rsid w:val="001401C2"/>
    <w:rsid w:val="00140B8A"/>
    <w:rsid w:val="001410C8"/>
    <w:rsid w:val="001416C4"/>
    <w:rsid w:val="00143089"/>
    <w:rsid w:val="00143443"/>
    <w:rsid w:val="00143BAD"/>
    <w:rsid w:val="00146472"/>
    <w:rsid w:val="001472C1"/>
    <w:rsid w:val="0015090A"/>
    <w:rsid w:val="00151FC6"/>
    <w:rsid w:val="00152F82"/>
    <w:rsid w:val="00154C43"/>
    <w:rsid w:val="001555C7"/>
    <w:rsid w:val="00155799"/>
    <w:rsid w:val="001578A9"/>
    <w:rsid w:val="001578DA"/>
    <w:rsid w:val="001604D5"/>
    <w:rsid w:val="00160C3F"/>
    <w:rsid w:val="00162B0B"/>
    <w:rsid w:val="001638CD"/>
    <w:rsid w:val="00163CD4"/>
    <w:rsid w:val="00163EB4"/>
    <w:rsid w:val="00163EDB"/>
    <w:rsid w:val="00164914"/>
    <w:rsid w:val="00165C2D"/>
    <w:rsid w:val="00173B7A"/>
    <w:rsid w:val="00175B9C"/>
    <w:rsid w:val="001760DA"/>
    <w:rsid w:val="001809C9"/>
    <w:rsid w:val="00181485"/>
    <w:rsid w:val="0018162F"/>
    <w:rsid w:val="00182397"/>
    <w:rsid w:val="0018282E"/>
    <w:rsid w:val="00182E81"/>
    <w:rsid w:val="0018485F"/>
    <w:rsid w:val="00184866"/>
    <w:rsid w:val="00184D2E"/>
    <w:rsid w:val="0018530D"/>
    <w:rsid w:val="0018648E"/>
    <w:rsid w:val="00192018"/>
    <w:rsid w:val="00196440"/>
    <w:rsid w:val="001965D2"/>
    <w:rsid w:val="001A042A"/>
    <w:rsid w:val="001A1162"/>
    <w:rsid w:val="001A15B2"/>
    <w:rsid w:val="001A2637"/>
    <w:rsid w:val="001A47D4"/>
    <w:rsid w:val="001A4B55"/>
    <w:rsid w:val="001A4D95"/>
    <w:rsid w:val="001A5C74"/>
    <w:rsid w:val="001A5F38"/>
    <w:rsid w:val="001A6857"/>
    <w:rsid w:val="001A6AEF"/>
    <w:rsid w:val="001A7412"/>
    <w:rsid w:val="001A7DC9"/>
    <w:rsid w:val="001B1A74"/>
    <w:rsid w:val="001B1DE6"/>
    <w:rsid w:val="001B2969"/>
    <w:rsid w:val="001B2F82"/>
    <w:rsid w:val="001B593C"/>
    <w:rsid w:val="001B5DDA"/>
    <w:rsid w:val="001B637C"/>
    <w:rsid w:val="001B6A15"/>
    <w:rsid w:val="001B6C5E"/>
    <w:rsid w:val="001B6CF3"/>
    <w:rsid w:val="001C01C4"/>
    <w:rsid w:val="001C08B5"/>
    <w:rsid w:val="001C49F2"/>
    <w:rsid w:val="001C5DC9"/>
    <w:rsid w:val="001C7DCD"/>
    <w:rsid w:val="001D15F0"/>
    <w:rsid w:val="001D162E"/>
    <w:rsid w:val="001D3176"/>
    <w:rsid w:val="001D3736"/>
    <w:rsid w:val="001D4863"/>
    <w:rsid w:val="001D5B3B"/>
    <w:rsid w:val="001D63B7"/>
    <w:rsid w:val="001D7446"/>
    <w:rsid w:val="001D772D"/>
    <w:rsid w:val="001E00A5"/>
    <w:rsid w:val="001E023E"/>
    <w:rsid w:val="001E22E5"/>
    <w:rsid w:val="001E3F34"/>
    <w:rsid w:val="001E4CF8"/>
    <w:rsid w:val="001E4FCB"/>
    <w:rsid w:val="001E5F96"/>
    <w:rsid w:val="001E613F"/>
    <w:rsid w:val="001E65F2"/>
    <w:rsid w:val="001E7D66"/>
    <w:rsid w:val="001F016B"/>
    <w:rsid w:val="001F6C03"/>
    <w:rsid w:val="001F773F"/>
    <w:rsid w:val="001F77AA"/>
    <w:rsid w:val="001F7BFD"/>
    <w:rsid w:val="00200322"/>
    <w:rsid w:val="0020458F"/>
    <w:rsid w:val="002046EB"/>
    <w:rsid w:val="00211797"/>
    <w:rsid w:val="002120A2"/>
    <w:rsid w:val="0021330E"/>
    <w:rsid w:val="00213396"/>
    <w:rsid w:val="00214008"/>
    <w:rsid w:val="002147F4"/>
    <w:rsid w:val="002150D7"/>
    <w:rsid w:val="00215D56"/>
    <w:rsid w:val="00215FDD"/>
    <w:rsid w:val="00217629"/>
    <w:rsid w:val="00220A49"/>
    <w:rsid w:val="0022228D"/>
    <w:rsid w:val="002222DE"/>
    <w:rsid w:val="002224FE"/>
    <w:rsid w:val="00222A5A"/>
    <w:rsid w:val="00222DD1"/>
    <w:rsid w:val="00223C02"/>
    <w:rsid w:val="00224564"/>
    <w:rsid w:val="0022536B"/>
    <w:rsid w:val="0022735A"/>
    <w:rsid w:val="002313C2"/>
    <w:rsid w:val="00234B4E"/>
    <w:rsid w:val="00235311"/>
    <w:rsid w:val="002353CB"/>
    <w:rsid w:val="00236447"/>
    <w:rsid w:val="00236914"/>
    <w:rsid w:val="002369A8"/>
    <w:rsid w:val="00236C43"/>
    <w:rsid w:val="0024098F"/>
    <w:rsid w:val="00242E06"/>
    <w:rsid w:val="002437B4"/>
    <w:rsid w:val="00244B2E"/>
    <w:rsid w:val="00247B6C"/>
    <w:rsid w:val="002504C2"/>
    <w:rsid w:val="00250622"/>
    <w:rsid w:val="002508ED"/>
    <w:rsid w:val="00251162"/>
    <w:rsid w:val="00251719"/>
    <w:rsid w:val="002521F8"/>
    <w:rsid w:val="00253F37"/>
    <w:rsid w:val="002541CA"/>
    <w:rsid w:val="00254D8A"/>
    <w:rsid w:val="0025584B"/>
    <w:rsid w:val="00255951"/>
    <w:rsid w:val="00257FF9"/>
    <w:rsid w:val="0026002B"/>
    <w:rsid w:val="00261D2A"/>
    <w:rsid w:val="002621BB"/>
    <w:rsid w:val="002629F0"/>
    <w:rsid w:val="00262B86"/>
    <w:rsid w:val="0026332D"/>
    <w:rsid w:val="00263BBA"/>
    <w:rsid w:val="00266F97"/>
    <w:rsid w:val="0026766F"/>
    <w:rsid w:val="002707BF"/>
    <w:rsid w:val="00270825"/>
    <w:rsid w:val="00270EC8"/>
    <w:rsid w:val="00272E22"/>
    <w:rsid w:val="00274984"/>
    <w:rsid w:val="00275241"/>
    <w:rsid w:val="002760C0"/>
    <w:rsid w:val="00277321"/>
    <w:rsid w:val="0028196B"/>
    <w:rsid w:val="00281AD2"/>
    <w:rsid w:val="0028300E"/>
    <w:rsid w:val="002840EA"/>
    <w:rsid w:val="00284A90"/>
    <w:rsid w:val="00284DE7"/>
    <w:rsid w:val="00286E4B"/>
    <w:rsid w:val="00290323"/>
    <w:rsid w:val="00292549"/>
    <w:rsid w:val="00292D97"/>
    <w:rsid w:val="002939B5"/>
    <w:rsid w:val="00294C06"/>
    <w:rsid w:val="002963A4"/>
    <w:rsid w:val="00297D08"/>
    <w:rsid w:val="002A0422"/>
    <w:rsid w:val="002A0F90"/>
    <w:rsid w:val="002A15AF"/>
    <w:rsid w:val="002A4CE0"/>
    <w:rsid w:val="002A7756"/>
    <w:rsid w:val="002B0B60"/>
    <w:rsid w:val="002B12E7"/>
    <w:rsid w:val="002B1A18"/>
    <w:rsid w:val="002B1B01"/>
    <w:rsid w:val="002B2295"/>
    <w:rsid w:val="002B24C8"/>
    <w:rsid w:val="002B47E4"/>
    <w:rsid w:val="002B5FD3"/>
    <w:rsid w:val="002B73A4"/>
    <w:rsid w:val="002B7656"/>
    <w:rsid w:val="002B7A1F"/>
    <w:rsid w:val="002C0053"/>
    <w:rsid w:val="002C0432"/>
    <w:rsid w:val="002C0893"/>
    <w:rsid w:val="002C09AB"/>
    <w:rsid w:val="002C0AD6"/>
    <w:rsid w:val="002C208D"/>
    <w:rsid w:val="002C28B6"/>
    <w:rsid w:val="002C4AEE"/>
    <w:rsid w:val="002C4B41"/>
    <w:rsid w:val="002C4D98"/>
    <w:rsid w:val="002C54B1"/>
    <w:rsid w:val="002C5B86"/>
    <w:rsid w:val="002D04BD"/>
    <w:rsid w:val="002D2B37"/>
    <w:rsid w:val="002D3BB3"/>
    <w:rsid w:val="002D4405"/>
    <w:rsid w:val="002E1690"/>
    <w:rsid w:val="002E18E1"/>
    <w:rsid w:val="002E4078"/>
    <w:rsid w:val="002E5FA1"/>
    <w:rsid w:val="002E76B5"/>
    <w:rsid w:val="002F08C9"/>
    <w:rsid w:val="002F1AEC"/>
    <w:rsid w:val="002F1B28"/>
    <w:rsid w:val="002F3A41"/>
    <w:rsid w:val="002F7AEB"/>
    <w:rsid w:val="002F7C10"/>
    <w:rsid w:val="002F7F87"/>
    <w:rsid w:val="003002BB"/>
    <w:rsid w:val="00301932"/>
    <w:rsid w:val="00301CEE"/>
    <w:rsid w:val="003025BC"/>
    <w:rsid w:val="00305336"/>
    <w:rsid w:val="003116BA"/>
    <w:rsid w:val="00312032"/>
    <w:rsid w:val="00314622"/>
    <w:rsid w:val="003146EA"/>
    <w:rsid w:val="00316422"/>
    <w:rsid w:val="00316A98"/>
    <w:rsid w:val="00316F8B"/>
    <w:rsid w:val="00321B98"/>
    <w:rsid w:val="00321ED5"/>
    <w:rsid w:val="0032202A"/>
    <w:rsid w:val="003232F1"/>
    <w:rsid w:val="00323867"/>
    <w:rsid w:val="00324B84"/>
    <w:rsid w:val="003258F0"/>
    <w:rsid w:val="00325A78"/>
    <w:rsid w:val="00326837"/>
    <w:rsid w:val="00326F4B"/>
    <w:rsid w:val="00331FCE"/>
    <w:rsid w:val="00332509"/>
    <w:rsid w:val="0033290D"/>
    <w:rsid w:val="00334301"/>
    <w:rsid w:val="0033469D"/>
    <w:rsid w:val="003349C8"/>
    <w:rsid w:val="003354F3"/>
    <w:rsid w:val="00335CF3"/>
    <w:rsid w:val="003363FD"/>
    <w:rsid w:val="00340055"/>
    <w:rsid w:val="003419C4"/>
    <w:rsid w:val="00344A2D"/>
    <w:rsid w:val="00344EB3"/>
    <w:rsid w:val="00344F8F"/>
    <w:rsid w:val="00345496"/>
    <w:rsid w:val="003464DB"/>
    <w:rsid w:val="00347678"/>
    <w:rsid w:val="00347987"/>
    <w:rsid w:val="00347A47"/>
    <w:rsid w:val="003514CC"/>
    <w:rsid w:val="0035447E"/>
    <w:rsid w:val="003545A3"/>
    <w:rsid w:val="003545C0"/>
    <w:rsid w:val="00356552"/>
    <w:rsid w:val="0035730A"/>
    <w:rsid w:val="00362405"/>
    <w:rsid w:val="00363A89"/>
    <w:rsid w:val="00364818"/>
    <w:rsid w:val="003665D0"/>
    <w:rsid w:val="0036685E"/>
    <w:rsid w:val="00366CDB"/>
    <w:rsid w:val="00366DF0"/>
    <w:rsid w:val="003677C8"/>
    <w:rsid w:val="00371707"/>
    <w:rsid w:val="00371879"/>
    <w:rsid w:val="00371A03"/>
    <w:rsid w:val="003722E2"/>
    <w:rsid w:val="00372ABE"/>
    <w:rsid w:val="00372D12"/>
    <w:rsid w:val="00374278"/>
    <w:rsid w:val="00374396"/>
    <w:rsid w:val="00374649"/>
    <w:rsid w:val="00374C40"/>
    <w:rsid w:val="003751DB"/>
    <w:rsid w:val="00377050"/>
    <w:rsid w:val="003779EB"/>
    <w:rsid w:val="003779F8"/>
    <w:rsid w:val="00377B59"/>
    <w:rsid w:val="0038004C"/>
    <w:rsid w:val="00380FDB"/>
    <w:rsid w:val="00386FA0"/>
    <w:rsid w:val="00390AE3"/>
    <w:rsid w:val="003910C1"/>
    <w:rsid w:val="003923EA"/>
    <w:rsid w:val="0039361D"/>
    <w:rsid w:val="00394801"/>
    <w:rsid w:val="0039539D"/>
    <w:rsid w:val="003956E3"/>
    <w:rsid w:val="00395B3C"/>
    <w:rsid w:val="003975A4"/>
    <w:rsid w:val="00397872"/>
    <w:rsid w:val="00397E24"/>
    <w:rsid w:val="003A09EF"/>
    <w:rsid w:val="003A0CFD"/>
    <w:rsid w:val="003A1785"/>
    <w:rsid w:val="003A283A"/>
    <w:rsid w:val="003A3250"/>
    <w:rsid w:val="003A336B"/>
    <w:rsid w:val="003A4095"/>
    <w:rsid w:val="003A6BC3"/>
    <w:rsid w:val="003B4444"/>
    <w:rsid w:val="003B5390"/>
    <w:rsid w:val="003B5726"/>
    <w:rsid w:val="003B588A"/>
    <w:rsid w:val="003B7088"/>
    <w:rsid w:val="003B754F"/>
    <w:rsid w:val="003B7724"/>
    <w:rsid w:val="003C06A1"/>
    <w:rsid w:val="003C0D07"/>
    <w:rsid w:val="003C0F5D"/>
    <w:rsid w:val="003C2EF0"/>
    <w:rsid w:val="003C62B8"/>
    <w:rsid w:val="003C6AD6"/>
    <w:rsid w:val="003C7480"/>
    <w:rsid w:val="003C7865"/>
    <w:rsid w:val="003D11BA"/>
    <w:rsid w:val="003D33D9"/>
    <w:rsid w:val="003D6008"/>
    <w:rsid w:val="003D771B"/>
    <w:rsid w:val="003E0A03"/>
    <w:rsid w:val="003E0B02"/>
    <w:rsid w:val="003E0B6C"/>
    <w:rsid w:val="003E1336"/>
    <w:rsid w:val="003E1504"/>
    <w:rsid w:val="003E3251"/>
    <w:rsid w:val="003E52E6"/>
    <w:rsid w:val="003F001E"/>
    <w:rsid w:val="003F13F0"/>
    <w:rsid w:val="003F2149"/>
    <w:rsid w:val="003F2BBB"/>
    <w:rsid w:val="003F3C87"/>
    <w:rsid w:val="003F5FCB"/>
    <w:rsid w:val="003F6160"/>
    <w:rsid w:val="003F69C3"/>
    <w:rsid w:val="003F78B0"/>
    <w:rsid w:val="0040107C"/>
    <w:rsid w:val="0040254F"/>
    <w:rsid w:val="004040F9"/>
    <w:rsid w:val="0041078A"/>
    <w:rsid w:val="00411B60"/>
    <w:rsid w:val="00413B6F"/>
    <w:rsid w:val="00413FA0"/>
    <w:rsid w:val="00414580"/>
    <w:rsid w:val="004148C8"/>
    <w:rsid w:val="004153EC"/>
    <w:rsid w:val="0041557C"/>
    <w:rsid w:val="0041623C"/>
    <w:rsid w:val="004162F2"/>
    <w:rsid w:val="00416468"/>
    <w:rsid w:val="00420CD6"/>
    <w:rsid w:val="00423836"/>
    <w:rsid w:val="00423A6B"/>
    <w:rsid w:val="00423E62"/>
    <w:rsid w:val="0042458B"/>
    <w:rsid w:val="00424A67"/>
    <w:rsid w:val="00425975"/>
    <w:rsid w:val="00425ADF"/>
    <w:rsid w:val="00427EF5"/>
    <w:rsid w:val="00430407"/>
    <w:rsid w:val="00430FA6"/>
    <w:rsid w:val="00431B6E"/>
    <w:rsid w:val="00431EC9"/>
    <w:rsid w:val="00433ABD"/>
    <w:rsid w:val="00434950"/>
    <w:rsid w:val="00435E1A"/>
    <w:rsid w:val="00437B66"/>
    <w:rsid w:val="004410D1"/>
    <w:rsid w:val="00443111"/>
    <w:rsid w:val="004432B3"/>
    <w:rsid w:val="00443903"/>
    <w:rsid w:val="00445105"/>
    <w:rsid w:val="00445F3E"/>
    <w:rsid w:val="00446A6D"/>
    <w:rsid w:val="00446EE1"/>
    <w:rsid w:val="0044746E"/>
    <w:rsid w:val="00447981"/>
    <w:rsid w:val="0045101C"/>
    <w:rsid w:val="00451373"/>
    <w:rsid w:val="00453FE9"/>
    <w:rsid w:val="004540BF"/>
    <w:rsid w:val="00454412"/>
    <w:rsid w:val="00456009"/>
    <w:rsid w:val="00460014"/>
    <w:rsid w:val="004607B8"/>
    <w:rsid w:val="004633D6"/>
    <w:rsid w:val="00463616"/>
    <w:rsid w:val="004642A4"/>
    <w:rsid w:val="00464AD9"/>
    <w:rsid w:val="00464AE5"/>
    <w:rsid w:val="00465760"/>
    <w:rsid w:val="00467DFC"/>
    <w:rsid w:val="00470C16"/>
    <w:rsid w:val="00470F3A"/>
    <w:rsid w:val="004716FB"/>
    <w:rsid w:val="00472D24"/>
    <w:rsid w:val="00474CCA"/>
    <w:rsid w:val="00476964"/>
    <w:rsid w:val="00477FA2"/>
    <w:rsid w:val="00480E25"/>
    <w:rsid w:val="00480F57"/>
    <w:rsid w:val="00481433"/>
    <w:rsid w:val="00484EF2"/>
    <w:rsid w:val="00484F64"/>
    <w:rsid w:val="00485A7A"/>
    <w:rsid w:val="00486852"/>
    <w:rsid w:val="00487551"/>
    <w:rsid w:val="00492797"/>
    <w:rsid w:val="00493005"/>
    <w:rsid w:val="00494183"/>
    <w:rsid w:val="00494627"/>
    <w:rsid w:val="00494A36"/>
    <w:rsid w:val="0049504A"/>
    <w:rsid w:val="0049505C"/>
    <w:rsid w:val="004A15D1"/>
    <w:rsid w:val="004A30E0"/>
    <w:rsid w:val="004A31B7"/>
    <w:rsid w:val="004A4793"/>
    <w:rsid w:val="004A47B8"/>
    <w:rsid w:val="004A487A"/>
    <w:rsid w:val="004A5E4A"/>
    <w:rsid w:val="004A7E49"/>
    <w:rsid w:val="004B19A1"/>
    <w:rsid w:val="004B2221"/>
    <w:rsid w:val="004B35B5"/>
    <w:rsid w:val="004B43F9"/>
    <w:rsid w:val="004B43FC"/>
    <w:rsid w:val="004B5EE8"/>
    <w:rsid w:val="004B6509"/>
    <w:rsid w:val="004B69CC"/>
    <w:rsid w:val="004C0144"/>
    <w:rsid w:val="004C405A"/>
    <w:rsid w:val="004C535E"/>
    <w:rsid w:val="004C53AF"/>
    <w:rsid w:val="004C6D7F"/>
    <w:rsid w:val="004C778F"/>
    <w:rsid w:val="004D0207"/>
    <w:rsid w:val="004D1ED6"/>
    <w:rsid w:val="004D41EE"/>
    <w:rsid w:val="004D43F7"/>
    <w:rsid w:val="004D4D4A"/>
    <w:rsid w:val="004D4F0C"/>
    <w:rsid w:val="004D7708"/>
    <w:rsid w:val="004E034F"/>
    <w:rsid w:val="004E0638"/>
    <w:rsid w:val="004E27DC"/>
    <w:rsid w:val="004E31D9"/>
    <w:rsid w:val="004E4024"/>
    <w:rsid w:val="004E70FC"/>
    <w:rsid w:val="004E7A77"/>
    <w:rsid w:val="004F02AB"/>
    <w:rsid w:val="004F061A"/>
    <w:rsid w:val="004F0DF1"/>
    <w:rsid w:val="004F530F"/>
    <w:rsid w:val="004F5886"/>
    <w:rsid w:val="004F6AC8"/>
    <w:rsid w:val="004F6BEE"/>
    <w:rsid w:val="004F7E0C"/>
    <w:rsid w:val="00501E9D"/>
    <w:rsid w:val="0050224F"/>
    <w:rsid w:val="0050264C"/>
    <w:rsid w:val="00502E87"/>
    <w:rsid w:val="00503364"/>
    <w:rsid w:val="005115D8"/>
    <w:rsid w:val="00512867"/>
    <w:rsid w:val="0051367A"/>
    <w:rsid w:val="0051505D"/>
    <w:rsid w:val="005152AE"/>
    <w:rsid w:val="0051564B"/>
    <w:rsid w:val="005156AB"/>
    <w:rsid w:val="00517524"/>
    <w:rsid w:val="00520181"/>
    <w:rsid w:val="00520661"/>
    <w:rsid w:val="00522003"/>
    <w:rsid w:val="00522B61"/>
    <w:rsid w:val="00522C9E"/>
    <w:rsid w:val="005263A9"/>
    <w:rsid w:val="0052756C"/>
    <w:rsid w:val="005349A5"/>
    <w:rsid w:val="005352E7"/>
    <w:rsid w:val="00536A84"/>
    <w:rsid w:val="00537950"/>
    <w:rsid w:val="00537FB0"/>
    <w:rsid w:val="00540285"/>
    <w:rsid w:val="005438AE"/>
    <w:rsid w:val="00545B3A"/>
    <w:rsid w:val="00546835"/>
    <w:rsid w:val="00546B63"/>
    <w:rsid w:val="0055049F"/>
    <w:rsid w:val="00551962"/>
    <w:rsid w:val="005528F0"/>
    <w:rsid w:val="00553C1A"/>
    <w:rsid w:val="00553E5C"/>
    <w:rsid w:val="005540EA"/>
    <w:rsid w:val="005547FA"/>
    <w:rsid w:val="00563E75"/>
    <w:rsid w:val="0056498C"/>
    <w:rsid w:val="00570628"/>
    <w:rsid w:val="00572525"/>
    <w:rsid w:val="005725ED"/>
    <w:rsid w:val="0057290B"/>
    <w:rsid w:val="005758BD"/>
    <w:rsid w:val="005803CB"/>
    <w:rsid w:val="005813D7"/>
    <w:rsid w:val="00582436"/>
    <w:rsid w:val="00583E53"/>
    <w:rsid w:val="00583F54"/>
    <w:rsid w:val="00585478"/>
    <w:rsid w:val="00585F6B"/>
    <w:rsid w:val="0058753B"/>
    <w:rsid w:val="0059087F"/>
    <w:rsid w:val="00590DE5"/>
    <w:rsid w:val="005919E4"/>
    <w:rsid w:val="00594566"/>
    <w:rsid w:val="005958BA"/>
    <w:rsid w:val="0059615D"/>
    <w:rsid w:val="005A10B2"/>
    <w:rsid w:val="005A1878"/>
    <w:rsid w:val="005A2A1E"/>
    <w:rsid w:val="005A2BFA"/>
    <w:rsid w:val="005A2DC8"/>
    <w:rsid w:val="005A57B8"/>
    <w:rsid w:val="005A6063"/>
    <w:rsid w:val="005A68CD"/>
    <w:rsid w:val="005B0645"/>
    <w:rsid w:val="005B07A6"/>
    <w:rsid w:val="005B0AD5"/>
    <w:rsid w:val="005B1C8E"/>
    <w:rsid w:val="005B3B28"/>
    <w:rsid w:val="005B409D"/>
    <w:rsid w:val="005B48A3"/>
    <w:rsid w:val="005B4BFF"/>
    <w:rsid w:val="005B4D03"/>
    <w:rsid w:val="005B662B"/>
    <w:rsid w:val="005B6B9D"/>
    <w:rsid w:val="005B7F8D"/>
    <w:rsid w:val="005C0003"/>
    <w:rsid w:val="005C2BF4"/>
    <w:rsid w:val="005C2E5C"/>
    <w:rsid w:val="005C4013"/>
    <w:rsid w:val="005C577B"/>
    <w:rsid w:val="005C5B56"/>
    <w:rsid w:val="005C75B0"/>
    <w:rsid w:val="005C7A25"/>
    <w:rsid w:val="005D37C3"/>
    <w:rsid w:val="005D48D2"/>
    <w:rsid w:val="005D5023"/>
    <w:rsid w:val="005D5612"/>
    <w:rsid w:val="005D5671"/>
    <w:rsid w:val="005E1135"/>
    <w:rsid w:val="005E1749"/>
    <w:rsid w:val="005E2743"/>
    <w:rsid w:val="005E2E9B"/>
    <w:rsid w:val="005E42B3"/>
    <w:rsid w:val="005E4540"/>
    <w:rsid w:val="005E5817"/>
    <w:rsid w:val="005E6166"/>
    <w:rsid w:val="005E7098"/>
    <w:rsid w:val="005E7404"/>
    <w:rsid w:val="005F20BD"/>
    <w:rsid w:val="005F2A7F"/>
    <w:rsid w:val="005F5718"/>
    <w:rsid w:val="005F6C8A"/>
    <w:rsid w:val="00600FE1"/>
    <w:rsid w:val="00601AA9"/>
    <w:rsid w:val="006024D5"/>
    <w:rsid w:val="006030E8"/>
    <w:rsid w:val="00603C91"/>
    <w:rsid w:val="00603C93"/>
    <w:rsid w:val="0060471E"/>
    <w:rsid w:val="0060582A"/>
    <w:rsid w:val="006071E6"/>
    <w:rsid w:val="006106E4"/>
    <w:rsid w:val="00610E34"/>
    <w:rsid w:val="00613113"/>
    <w:rsid w:val="006135D3"/>
    <w:rsid w:val="006142A2"/>
    <w:rsid w:val="006148C9"/>
    <w:rsid w:val="006159E6"/>
    <w:rsid w:val="006173E8"/>
    <w:rsid w:val="0061762D"/>
    <w:rsid w:val="00620449"/>
    <w:rsid w:val="00621064"/>
    <w:rsid w:val="00621F44"/>
    <w:rsid w:val="00622052"/>
    <w:rsid w:val="0062214F"/>
    <w:rsid w:val="0062255D"/>
    <w:rsid w:val="00622C63"/>
    <w:rsid w:val="006231ED"/>
    <w:rsid w:val="00623685"/>
    <w:rsid w:val="00623EBC"/>
    <w:rsid w:val="00624470"/>
    <w:rsid w:val="00624A97"/>
    <w:rsid w:val="00624D9B"/>
    <w:rsid w:val="00625A0A"/>
    <w:rsid w:val="0063159A"/>
    <w:rsid w:val="00631B63"/>
    <w:rsid w:val="00631E33"/>
    <w:rsid w:val="006334EA"/>
    <w:rsid w:val="006345A8"/>
    <w:rsid w:val="00634714"/>
    <w:rsid w:val="006356B0"/>
    <w:rsid w:val="0064108B"/>
    <w:rsid w:val="00642E51"/>
    <w:rsid w:val="00644D49"/>
    <w:rsid w:val="00645150"/>
    <w:rsid w:val="006456DA"/>
    <w:rsid w:val="006465B6"/>
    <w:rsid w:val="0064711E"/>
    <w:rsid w:val="00647DBE"/>
    <w:rsid w:val="00650979"/>
    <w:rsid w:val="00650EC9"/>
    <w:rsid w:val="00651365"/>
    <w:rsid w:val="0065207E"/>
    <w:rsid w:val="0065502A"/>
    <w:rsid w:val="00655868"/>
    <w:rsid w:val="00657CB9"/>
    <w:rsid w:val="006606E8"/>
    <w:rsid w:val="0066140D"/>
    <w:rsid w:val="00662E3C"/>
    <w:rsid w:val="006641B3"/>
    <w:rsid w:val="006644AC"/>
    <w:rsid w:val="00664EF2"/>
    <w:rsid w:val="00666297"/>
    <w:rsid w:val="00667480"/>
    <w:rsid w:val="0067043B"/>
    <w:rsid w:val="00670C76"/>
    <w:rsid w:val="00671672"/>
    <w:rsid w:val="00673C5D"/>
    <w:rsid w:val="00674FAD"/>
    <w:rsid w:val="0067636F"/>
    <w:rsid w:val="0067677C"/>
    <w:rsid w:val="0068099B"/>
    <w:rsid w:val="006814DE"/>
    <w:rsid w:val="00682F25"/>
    <w:rsid w:val="006836B6"/>
    <w:rsid w:val="00684D68"/>
    <w:rsid w:val="006852E7"/>
    <w:rsid w:val="00685F17"/>
    <w:rsid w:val="006867EB"/>
    <w:rsid w:val="00686AC4"/>
    <w:rsid w:val="00691621"/>
    <w:rsid w:val="006933A6"/>
    <w:rsid w:val="006939F6"/>
    <w:rsid w:val="006975DB"/>
    <w:rsid w:val="006A1EE0"/>
    <w:rsid w:val="006A2E82"/>
    <w:rsid w:val="006A3B08"/>
    <w:rsid w:val="006A48A2"/>
    <w:rsid w:val="006A66A5"/>
    <w:rsid w:val="006A6F91"/>
    <w:rsid w:val="006B0274"/>
    <w:rsid w:val="006B0AA6"/>
    <w:rsid w:val="006B0E71"/>
    <w:rsid w:val="006B48E0"/>
    <w:rsid w:val="006B510C"/>
    <w:rsid w:val="006B54D2"/>
    <w:rsid w:val="006B59C7"/>
    <w:rsid w:val="006C13F9"/>
    <w:rsid w:val="006C2E53"/>
    <w:rsid w:val="006C333C"/>
    <w:rsid w:val="006C3FCD"/>
    <w:rsid w:val="006C45EF"/>
    <w:rsid w:val="006C492E"/>
    <w:rsid w:val="006C5C9B"/>
    <w:rsid w:val="006C60C3"/>
    <w:rsid w:val="006C6B95"/>
    <w:rsid w:val="006D2021"/>
    <w:rsid w:val="006D2598"/>
    <w:rsid w:val="006D2EC8"/>
    <w:rsid w:val="006D2FC7"/>
    <w:rsid w:val="006D3175"/>
    <w:rsid w:val="006D39C7"/>
    <w:rsid w:val="006D57C9"/>
    <w:rsid w:val="006D60F6"/>
    <w:rsid w:val="006D741A"/>
    <w:rsid w:val="006D7875"/>
    <w:rsid w:val="006E1AB6"/>
    <w:rsid w:val="006E34F3"/>
    <w:rsid w:val="006E4160"/>
    <w:rsid w:val="006E608A"/>
    <w:rsid w:val="006E69B7"/>
    <w:rsid w:val="006F2173"/>
    <w:rsid w:val="006F2F11"/>
    <w:rsid w:val="006F3497"/>
    <w:rsid w:val="006F35DD"/>
    <w:rsid w:val="006F3672"/>
    <w:rsid w:val="006F4B88"/>
    <w:rsid w:val="007018F7"/>
    <w:rsid w:val="007022B5"/>
    <w:rsid w:val="0070453C"/>
    <w:rsid w:val="00704B7B"/>
    <w:rsid w:val="00704FF3"/>
    <w:rsid w:val="00710D3B"/>
    <w:rsid w:val="007118AC"/>
    <w:rsid w:val="007129DB"/>
    <w:rsid w:val="00712B15"/>
    <w:rsid w:val="007135EB"/>
    <w:rsid w:val="00714FCA"/>
    <w:rsid w:val="00715E70"/>
    <w:rsid w:val="007179DC"/>
    <w:rsid w:val="00721B0C"/>
    <w:rsid w:val="00722B08"/>
    <w:rsid w:val="00723067"/>
    <w:rsid w:val="00724397"/>
    <w:rsid w:val="00725047"/>
    <w:rsid w:val="00725FB0"/>
    <w:rsid w:val="0073150C"/>
    <w:rsid w:val="00734B67"/>
    <w:rsid w:val="00734BA7"/>
    <w:rsid w:val="00736631"/>
    <w:rsid w:val="00736B9B"/>
    <w:rsid w:val="00737B0D"/>
    <w:rsid w:val="00741811"/>
    <w:rsid w:val="00742C12"/>
    <w:rsid w:val="00742FDC"/>
    <w:rsid w:val="0074511E"/>
    <w:rsid w:val="00747CA2"/>
    <w:rsid w:val="007518D4"/>
    <w:rsid w:val="007524D6"/>
    <w:rsid w:val="00752F53"/>
    <w:rsid w:val="00753831"/>
    <w:rsid w:val="00753E60"/>
    <w:rsid w:val="00754119"/>
    <w:rsid w:val="00754351"/>
    <w:rsid w:val="0075472D"/>
    <w:rsid w:val="00756BC6"/>
    <w:rsid w:val="007572BC"/>
    <w:rsid w:val="00760BC4"/>
    <w:rsid w:val="007620BA"/>
    <w:rsid w:val="007623E6"/>
    <w:rsid w:val="007629EE"/>
    <w:rsid w:val="00763BF0"/>
    <w:rsid w:val="00765820"/>
    <w:rsid w:val="00765B57"/>
    <w:rsid w:val="0076621A"/>
    <w:rsid w:val="00767C20"/>
    <w:rsid w:val="00767F27"/>
    <w:rsid w:val="0077024B"/>
    <w:rsid w:val="00772077"/>
    <w:rsid w:val="0077219E"/>
    <w:rsid w:val="00774F7B"/>
    <w:rsid w:val="00775AB7"/>
    <w:rsid w:val="00775FBF"/>
    <w:rsid w:val="00777FDB"/>
    <w:rsid w:val="00780406"/>
    <w:rsid w:val="00781D66"/>
    <w:rsid w:val="00782B30"/>
    <w:rsid w:val="00784E23"/>
    <w:rsid w:val="00785262"/>
    <w:rsid w:val="00785DCD"/>
    <w:rsid w:val="00786EAB"/>
    <w:rsid w:val="00786ED8"/>
    <w:rsid w:val="007876AB"/>
    <w:rsid w:val="00790AFD"/>
    <w:rsid w:val="0079180E"/>
    <w:rsid w:val="007918F8"/>
    <w:rsid w:val="00791D75"/>
    <w:rsid w:val="00792100"/>
    <w:rsid w:val="0079285F"/>
    <w:rsid w:val="00792B88"/>
    <w:rsid w:val="00793928"/>
    <w:rsid w:val="007942C0"/>
    <w:rsid w:val="00795DE7"/>
    <w:rsid w:val="0079697D"/>
    <w:rsid w:val="00797853"/>
    <w:rsid w:val="007978E3"/>
    <w:rsid w:val="00797E67"/>
    <w:rsid w:val="007A33CB"/>
    <w:rsid w:val="007A464B"/>
    <w:rsid w:val="007A4AB5"/>
    <w:rsid w:val="007A5A6C"/>
    <w:rsid w:val="007A73E1"/>
    <w:rsid w:val="007B0CD0"/>
    <w:rsid w:val="007B1224"/>
    <w:rsid w:val="007B1304"/>
    <w:rsid w:val="007B3B25"/>
    <w:rsid w:val="007B44E8"/>
    <w:rsid w:val="007B4619"/>
    <w:rsid w:val="007B4C47"/>
    <w:rsid w:val="007B5C07"/>
    <w:rsid w:val="007B5C1C"/>
    <w:rsid w:val="007B625B"/>
    <w:rsid w:val="007B7707"/>
    <w:rsid w:val="007B7E9B"/>
    <w:rsid w:val="007C0468"/>
    <w:rsid w:val="007C234A"/>
    <w:rsid w:val="007C2710"/>
    <w:rsid w:val="007C3722"/>
    <w:rsid w:val="007C435F"/>
    <w:rsid w:val="007C4C88"/>
    <w:rsid w:val="007C75FB"/>
    <w:rsid w:val="007D07B6"/>
    <w:rsid w:val="007D198A"/>
    <w:rsid w:val="007D43B7"/>
    <w:rsid w:val="007D45DD"/>
    <w:rsid w:val="007D4887"/>
    <w:rsid w:val="007D50A4"/>
    <w:rsid w:val="007D530A"/>
    <w:rsid w:val="007D5BF5"/>
    <w:rsid w:val="007D7623"/>
    <w:rsid w:val="007D7FDF"/>
    <w:rsid w:val="007E01F0"/>
    <w:rsid w:val="007E079A"/>
    <w:rsid w:val="007E1736"/>
    <w:rsid w:val="007E26BF"/>
    <w:rsid w:val="007E69FA"/>
    <w:rsid w:val="007E7461"/>
    <w:rsid w:val="007F081C"/>
    <w:rsid w:val="007F0A63"/>
    <w:rsid w:val="007F106C"/>
    <w:rsid w:val="007F1954"/>
    <w:rsid w:val="007F2C36"/>
    <w:rsid w:val="007F3FC3"/>
    <w:rsid w:val="007F5119"/>
    <w:rsid w:val="007F5218"/>
    <w:rsid w:val="007F694D"/>
    <w:rsid w:val="007F6A0C"/>
    <w:rsid w:val="00800963"/>
    <w:rsid w:val="0080208D"/>
    <w:rsid w:val="00804CF5"/>
    <w:rsid w:val="00806B26"/>
    <w:rsid w:val="00806C3B"/>
    <w:rsid w:val="0080743E"/>
    <w:rsid w:val="00810906"/>
    <w:rsid w:val="00811C1C"/>
    <w:rsid w:val="00812CC3"/>
    <w:rsid w:val="00813995"/>
    <w:rsid w:val="00814A21"/>
    <w:rsid w:val="00814AB9"/>
    <w:rsid w:val="00817181"/>
    <w:rsid w:val="00820EEE"/>
    <w:rsid w:val="00821E0F"/>
    <w:rsid w:val="00823EF7"/>
    <w:rsid w:val="00824F86"/>
    <w:rsid w:val="00825347"/>
    <w:rsid w:val="00826C76"/>
    <w:rsid w:val="00827BDC"/>
    <w:rsid w:val="00827D9F"/>
    <w:rsid w:val="00832204"/>
    <w:rsid w:val="00833662"/>
    <w:rsid w:val="00833CFF"/>
    <w:rsid w:val="00834F4B"/>
    <w:rsid w:val="0083500A"/>
    <w:rsid w:val="00837A34"/>
    <w:rsid w:val="0084024A"/>
    <w:rsid w:val="0084088E"/>
    <w:rsid w:val="008419B4"/>
    <w:rsid w:val="00841D08"/>
    <w:rsid w:val="00844E3D"/>
    <w:rsid w:val="00845441"/>
    <w:rsid w:val="00845E5B"/>
    <w:rsid w:val="00847AE1"/>
    <w:rsid w:val="0085044D"/>
    <w:rsid w:val="00850CBB"/>
    <w:rsid w:val="00850FBF"/>
    <w:rsid w:val="00851089"/>
    <w:rsid w:val="00851932"/>
    <w:rsid w:val="00853598"/>
    <w:rsid w:val="00853626"/>
    <w:rsid w:val="008547C7"/>
    <w:rsid w:val="00856AD7"/>
    <w:rsid w:val="00857679"/>
    <w:rsid w:val="008578AA"/>
    <w:rsid w:val="00857E0A"/>
    <w:rsid w:val="00860D5B"/>
    <w:rsid w:val="0086181C"/>
    <w:rsid w:val="00861C1F"/>
    <w:rsid w:val="0086265B"/>
    <w:rsid w:val="00862B80"/>
    <w:rsid w:val="00862C5D"/>
    <w:rsid w:val="008639A7"/>
    <w:rsid w:val="00863E90"/>
    <w:rsid w:val="00864AC6"/>
    <w:rsid w:val="00865302"/>
    <w:rsid w:val="00867572"/>
    <w:rsid w:val="00867821"/>
    <w:rsid w:val="00870475"/>
    <w:rsid w:val="00870A26"/>
    <w:rsid w:val="0087126F"/>
    <w:rsid w:val="008735A8"/>
    <w:rsid w:val="00873819"/>
    <w:rsid w:val="00874CBE"/>
    <w:rsid w:val="008756CD"/>
    <w:rsid w:val="00876CA0"/>
    <w:rsid w:val="00880E86"/>
    <w:rsid w:val="00882518"/>
    <w:rsid w:val="00885B12"/>
    <w:rsid w:val="00885B56"/>
    <w:rsid w:val="00886712"/>
    <w:rsid w:val="00890601"/>
    <w:rsid w:val="008915AC"/>
    <w:rsid w:val="0089298B"/>
    <w:rsid w:val="00893D57"/>
    <w:rsid w:val="00894BBD"/>
    <w:rsid w:val="00895853"/>
    <w:rsid w:val="00897715"/>
    <w:rsid w:val="008A2DA7"/>
    <w:rsid w:val="008A369D"/>
    <w:rsid w:val="008A4135"/>
    <w:rsid w:val="008A4697"/>
    <w:rsid w:val="008A4C1C"/>
    <w:rsid w:val="008A514F"/>
    <w:rsid w:val="008B0E94"/>
    <w:rsid w:val="008B161E"/>
    <w:rsid w:val="008B1A49"/>
    <w:rsid w:val="008B3A04"/>
    <w:rsid w:val="008B7E6F"/>
    <w:rsid w:val="008C22C3"/>
    <w:rsid w:val="008C24AA"/>
    <w:rsid w:val="008C2BC4"/>
    <w:rsid w:val="008C4074"/>
    <w:rsid w:val="008C5986"/>
    <w:rsid w:val="008C7932"/>
    <w:rsid w:val="008D0B70"/>
    <w:rsid w:val="008D1DAB"/>
    <w:rsid w:val="008D3303"/>
    <w:rsid w:val="008D3761"/>
    <w:rsid w:val="008D460A"/>
    <w:rsid w:val="008D472B"/>
    <w:rsid w:val="008D5395"/>
    <w:rsid w:val="008D6488"/>
    <w:rsid w:val="008D7E67"/>
    <w:rsid w:val="008D7ECF"/>
    <w:rsid w:val="008E0843"/>
    <w:rsid w:val="008E28BE"/>
    <w:rsid w:val="008E6047"/>
    <w:rsid w:val="008F25F2"/>
    <w:rsid w:val="008F28C5"/>
    <w:rsid w:val="008F3992"/>
    <w:rsid w:val="008F4879"/>
    <w:rsid w:val="008F52E2"/>
    <w:rsid w:val="008F5E17"/>
    <w:rsid w:val="008F7073"/>
    <w:rsid w:val="00900D3A"/>
    <w:rsid w:val="0090159B"/>
    <w:rsid w:val="00901A76"/>
    <w:rsid w:val="009021E2"/>
    <w:rsid w:val="00903D64"/>
    <w:rsid w:val="0090488C"/>
    <w:rsid w:val="00906E70"/>
    <w:rsid w:val="00910320"/>
    <w:rsid w:val="00910793"/>
    <w:rsid w:val="009109DD"/>
    <w:rsid w:val="00910C1A"/>
    <w:rsid w:val="009111BD"/>
    <w:rsid w:val="00913268"/>
    <w:rsid w:val="00913DD1"/>
    <w:rsid w:val="009157D1"/>
    <w:rsid w:val="009164A3"/>
    <w:rsid w:val="009171E1"/>
    <w:rsid w:val="009220AC"/>
    <w:rsid w:val="009233F0"/>
    <w:rsid w:val="009234F2"/>
    <w:rsid w:val="00923FCB"/>
    <w:rsid w:val="0092582E"/>
    <w:rsid w:val="009265BA"/>
    <w:rsid w:val="00934D55"/>
    <w:rsid w:val="0093703C"/>
    <w:rsid w:val="00937522"/>
    <w:rsid w:val="0093773B"/>
    <w:rsid w:val="00940961"/>
    <w:rsid w:val="00941054"/>
    <w:rsid w:val="00942B79"/>
    <w:rsid w:val="00942EF6"/>
    <w:rsid w:val="009431BA"/>
    <w:rsid w:val="00943B63"/>
    <w:rsid w:val="00945064"/>
    <w:rsid w:val="009461C3"/>
    <w:rsid w:val="00947600"/>
    <w:rsid w:val="0095163E"/>
    <w:rsid w:val="0095276A"/>
    <w:rsid w:val="0095363D"/>
    <w:rsid w:val="00953928"/>
    <w:rsid w:val="00955221"/>
    <w:rsid w:val="00956C29"/>
    <w:rsid w:val="009621E0"/>
    <w:rsid w:val="00962DFB"/>
    <w:rsid w:val="00963927"/>
    <w:rsid w:val="00963EBC"/>
    <w:rsid w:val="0096572A"/>
    <w:rsid w:val="00965882"/>
    <w:rsid w:val="0096624D"/>
    <w:rsid w:val="009663D8"/>
    <w:rsid w:val="009664F0"/>
    <w:rsid w:val="009667F9"/>
    <w:rsid w:val="0096717A"/>
    <w:rsid w:val="00967F66"/>
    <w:rsid w:val="00970F0A"/>
    <w:rsid w:val="009719CB"/>
    <w:rsid w:val="009721FC"/>
    <w:rsid w:val="009734FE"/>
    <w:rsid w:val="00974C08"/>
    <w:rsid w:val="00980075"/>
    <w:rsid w:val="00981905"/>
    <w:rsid w:val="00981C28"/>
    <w:rsid w:val="00981E07"/>
    <w:rsid w:val="00981FCC"/>
    <w:rsid w:val="0098287D"/>
    <w:rsid w:val="00982F48"/>
    <w:rsid w:val="0098374A"/>
    <w:rsid w:val="00985643"/>
    <w:rsid w:val="00985A9D"/>
    <w:rsid w:val="00986829"/>
    <w:rsid w:val="00987020"/>
    <w:rsid w:val="00990626"/>
    <w:rsid w:val="00992911"/>
    <w:rsid w:val="009932C2"/>
    <w:rsid w:val="00995251"/>
    <w:rsid w:val="00996359"/>
    <w:rsid w:val="00996B1D"/>
    <w:rsid w:val="009A047E"/>
    <w:rsid w:val="009A12FD"/>
    <w:rsid w:val="009A1544"/>
    <w:rsid w:val="009A15EE"/>
    <w:rsid w:val="009A1719"/>
    <w:rsid w:val="009A2C26"/>
    <w:rsid w:val="009A55AC"/>
    <w:rsid w:val="009A55BC"/>
    <w:rsid w:val="009A5948"/>
    <w:rsid w:val="009A7A2F"/>
    <w:rsid w:val="009B00AA"/>
    <w:rsid w:val="009B0377"/>
    <w:rsid w:val="009B2EB7"/>
    <w:rsid w:val="009B3B9B"/>
    <w:rsid w:val="009B48E3"/>
    <w:rsid w:val="009B49FB"/>
    <w:rsid w:val="009B6011"/>
    <w:rsid w:val="009B7FD9"/>
    <w:rsid w:val="009C06D8"/>
    <w:rsid w:val="009C27AE"/>
    <w:rsid w:val="009C3A68"/>
    <w:rsid w:val="009C3E2C"/>
    <w:rsid w:val="009C623F"/>
    <w:rsid w:val="009C67E3"/>
    <w:rsid w:val="009C6BFF"/>
    <w:rsid w:val="009D0D5C"/>
    <w:rsid w:val="009D1232"/>
    <w:rsid w:val="009D293E"/>
    <w:rsid w:val="009D2C59"/>
    <w:rsid w:val="009D31D9"/>
    <w:rsid w:val="009D37F3"/>
    <w:rsid w:val="009D4038"/>
    <w:rsid w:val="009D578D"/>
    <w:rsid w:val="009D684E"/>
    <w:rsid w:val="009E200E"/>
    <w:rsid w:val="009E244B"/>
    <w:rsid w:val="009E3FF8"/>
    <w:rsid w:val="009E46CF"/>
    <w:rsid w:val="009E48CD"/>
    <w:rsid w:val="009E5785"/>
    <w:rsid w:val="009E5BBC"/>
    <w:rsid w:val="009E5C91"/>
    <w:rsid w:val="009E62EA"/>
    <w:rsid w:val="009E6903"/>
    <w:rsid w:val="009F0437"/>
    <w:rsid w:val="009F12BA"/>
    <w:rsid w:val="009F2B8A"/>
    <w:rsid w:val="009F2E86"/>
    <w:rsid w:val="009F2F94"/>
    <w:rsid w:val="009F32AC"/>
    <w:rsid w:val="009F374A"/>
    <w:rsid w:val="009F6AA1"/>
    <w:rsid w:val="009F7909"/>
    <w:rsid w:val="009F7C52"/>
    <w:rsid w:val="00A00232"/>
    <w:rsid w:val="00A009C8"/>
    <w:rsid w:val="00A00B5E"/>
    <w:rsid w:val="00A036A1"/>
    <w:rsid w:val="00A04537"/>
    <w:rsid w:val="00A05ABE"/>
    <w:rsid w:val="00A11C62"/>
    <w:rsid w:val="00A12E78"/>
    <w:rsid w:val="00A13BCB"/>
    <w:rsid w:val="00A13DD1"/>
    <w:rsid w:val="00A16A39"/>
    <w:rsid w:val="00A178CE"/>
    <w:rsid w:val="00A241F9"/>
    <w:rsid w:val="00A24A6D"/>
    <w:rsid w:val="00A24FB2"/>
    <w:rsid w:val="00A26251"/>
    <w:rsid w:val="00A27AC8"/>
    <w:rsid w:val="00A316CA"/>
    <w:rsid w:val="00A3298A"/>
    <w:rsid w:val="00A35011"/>
    <w:rsid w:val="00A35784"/>
    <w:rsid w:val="00A35C8C"/>
    <w:rsid w:val="00A35CA9"/>
    <w:rsid w:val="00A40B5D"/>
    <w:rsid w:val="00A40D51"/>
    <w:rsid w:val="00A41860"/>
    <w:rsid w:val="00A426FA"/>
    <w:rsid w:val="00A42B39"/>
    <w:rsid w:val="00A46BE0"/>
    <w:rsid w:val="00A47E17"/>
    <w:rsid w:val="00A47ED7"/>
    <w:rsid w:val="00A51DB7"/>
    <w:rsid w:val="00A533C2"/>
    <w:rsid w:val="00A5510A"/>
    <w:rsid w:val="00A56D1D"/>
    <w:rsid w:val="00A57BF8"/>
    <w:rsid w:val="00A57E83"/>
    <w:rsid w:val="00A57F41"/>
    <w:rsid w:val="00A61D9A"/>
    <w:rsid w:val="00A63779"/>
    <w:rsid w:val="00A67461"/>
    <w:rsid w:val="00A71A68"/>
    <w:rsid w:val="00A71EFD"/>
    <w:rsid w:val="00A732B2"/>
    <w:rsid w:val="00A7474D"/>
    <w:rsid w:val="00A80358"/>
    <w:rsid w:val="00A80795"/>
    <w:rsid w:val="00A8130C"/>
    <w:rsid w:val="00A85443"/>
    <w:rsid w:val="00A85D2B"/>
    <w:rsid w:val="00A86202"/>
    <w:rsid w:val="00A91794"/>
    <w:rsid w:val="00A92A9F"/>
    <w:rsid w:val="00A92BD0"/>
    <w:rsid w:val="00A93B78"/>
    <w:rsid w:val="00A94510"/>
    <w:rsid w:val="00A94EE1"/>
    <w:rsid w:val="00A953F0"/>
    <w:rsid w:val="00A962DE"/>
    <w:rsid w:val="00A96674"/>
    <w:rsid w:val="00AA21C5"/>
    <w:rsid w:val="00AA3ADB"/>
    <w:rsid w:val="00AA3BE0"/>
    <w:rsid w:val="00AA3E7A"/>
    <w:rsid w:val="00AA50E7"/>
    <w:rsid w:val="00AB2ADB"/>
    <w:rsid w:val="00AB5004"/>
    <w:rsid w:val="00AB5D0E"/>
    <w:rsid w:val="00AB689D"/>
    <w:rsid w:val="00AB74CD"/>
    <w:rsid w:val="00AB7BFD"/>
    <w:rsid w:val="00AC018B"/>
    <w:rsid w:val="00AC01F1"/>
    <w:rsid w:val="00AC2761"/>
    <w:rsid w:val="00AC389B"/>
    <w:rsid w:val="00AC66D5"/>
    <w:rsid w:val="00AC7F4C"/>
    <w:rsid w:val="00AD034F"/>
    <w:rsid w:val="00AD0AAF"/>
    <w:rsid w:val="00AD1EAE"/>
    <w:rsid w:val="00AD23D6"/>
    <w:rsid w:val="00AD2C27"/>
    <w:rsid w:val="00AD3CE8"/>
    <w:rsid w:val="00AD50EB"/>
    <w:rsid w:val="00AD5861"/>
    <w:rsid w:val="00AD5C00"/>
    <w:rsid w:val="00AD5EE1"/>
    <w:rsid w:val="00AD6BB1"/>
    <w:rsid w:val="00AE0B55"/>
    <w:rsid w:val="00AE21AF"/>
    <w:rsid w:val="00AE2290"/>
    <w:rsid w:val="00AE4E6F"/>
    <w:rsid w:val="00AE4EB0"/>
    <w:rsid w:val="00AE64BB"/>
    <w:rsid w:val="00AF1355"/>
    <w:rsid w:val="00AF1EED"/>
    <w:rsid w:val="00AF33E6"/>
    <w:rsid w:val="00AF3E46"/>
    <w:rsid w:val="00AF4A3A"/>
    <w:rsid w:val="00AF4EFE"/>
    <w:rsid w:val="00AF5636"/>
    <w:rsid w:val="00B02165"/>
    <w:rsid w:val="00B031A6"/>
    <w:rsid w:val="00B03213"/>
    <w:rsid w:val="00B06F53"/>
    <w:rsid w:val="00B073C4"/>
    <w:rsid w:val="00B10074"/>
    <w:rsid w:val="00B12BA7"/>
    <w:rsid w:val="00B13734"/>
    <w:rsid w:val="00B169F2"/>
    <w:rsid w:val="00B1719D"/>
    <w:rsid w:val="00B228CD"/>
    <w:rsid w:val="00B251EA"/>
    <w:rsid w:val="00B31DBE"/>
    <w:rsid w:val="00B35CD6"/>
    <w:rsid w:val="00B36540"/>
    <w:rsid w:val="00B37315"/>
    <w:rsid w:val="00B377D0"/>
    <w:rsid w:val="00B40F78"/>
    <w:rsid w:val="00B410E7"/>
    <w:rsid w:val="00B42478"/>
    <w:rsid w:val="00B425B1"/>
    <w:rsid w:val="00B43FCE"/>
    <w:rsid w:val="00B455A1"/>
    <w:rsid w:val="00B4677F"/>
    <w:rsid w:val="00B50546"/>
    <w:rsid w:val="00B531C8"/>
    <w:rsid w:val="00B539C7"/>
    <w:rsid w:val="00B60CF6"/>
    <w:rsid w:val="00B61345"/>
    <w:rsid w:val="00B626BA"/>
    <w:rsid w:val="00B63E74"/>
    <w:rsid w:val="00B6588D"/>
    <w:rsid w:val="00B66563"/>
    <w:rsid w:val="00B67215"/>
    <w:rsid w:val="00B67B0C"/>
    <w:rsid w:val="00B70E55"/>
    <w:rsid w:val="00B71BA5"/>
    <w:rsid w:val="00B72EBC"/>
    <w:rsid w:val="00B741AD"/>
    <w:rsid w:val="00B762F6"/>
    <w:rsid w:val="00B8061D"/>
    <w:rsid w:val="00B82C2D"/>
    <w:rsid w:val="00B83915"/>
    <w:rsid w:val="00B867B2"/>
    <w:rsid w:val="00B90449"/>
    <w:rsid w:val="00B95380"/>
    <w:rsid w:val="00B95625"/>
    <w:rsid w:val="00B96D9B"/>
    <w:rsid w:val="00B97B2E"/>
    <w:rsid w:val="00BA0A23"/>
    <w:rsid w:val="00BA0B18"/>
    <w:rsid w:val="00BA29D1"/>
    <w:rsid w:val="00BA3467"/>
    <w:rsid w:val="00BA56DD"/>
    <w:rsid w:val="00BB0005"/>
    <w:rsid w:val="00BB4903"/>
    <w:rsid w:val="00BB5549"/>
    <w:rsid w:val="00BB56EE"/>
    <w:rsid w:val="00BB5CD3"/>
    <w:rsid w:val="00BB6F28"/>
    <w:rsid w:val="00BB7DB9"/>
    <w:rsid w:val="00BC189F"/>
    <w:rsid w:val="00BC19FD"/>
    <w:rsid w:val="00BC1E99"/>
    <w:rsid w:val="00BC2187"/>
    <w:rsid w:val="00BC367D"/>
    <w:rsid w:val="00BC59A0"/>
    <w:rsid w:val="00BC7ECA"/>
    <w:rsid w:val="00BD039E"/>
    <w:rsid w:val="00BD0573"/>
    <w:rsid w:val="00BD0A7A"/>
    <w:rsid w:val="00BD1398"/>
    <w:rsid w:val="00BD2899"/>
    <w:rsid w:val="00BD5006"/>
    <w:rsid w:val="00BD7033"/>
    <w:rsid w:val="00BD70C7"/>
    <w:rsid w:val="00BE0218"/>
    <w:rsid w:val="00BE0AA6"/>
    <w:rsid w:val="00BE146B"/>
    <w:rsid w:val="00BE495A"/>
    <w:rsid w:val="00BE4DA7"/>
    <w:rsid w:val="00BE68D0"/>
    <w:rsid w:val="00BE7043"/>
    <w:rsid w:val="00BE7DFA"/>
    <w:rsid w:val="00BF0A7D"/>
    <w:rsid w:val="00BF2FB0"/>
    <w:rsid w:val="00BF3F75"/>
    <w:rsid w:val="00BF66A4"/>
    <w:rsid w:val="00BF6E78"/>
    <w:rsid w:val="00BF78DD"/>
    <w:rsid w:val="00C000DD"/>
    <w:rsid w:val="00C004E6"/>
    <w:rsid w:val="00C02605"/>
    <w:rsid w:val="00C03C0D"/>
    <w:rsid w:val="00C0419C"/>
    <w:rsid w:val="00C06B26"/>
    <w:rsid w:val="00C06DB4"/>
    <w:rsid w:val="00C1064D"/>
    <w:rsid w:val="00C1092A"/>
    <w:rsid w:val="00C11508"/>
    <w:rsid w:val="00C1157F"/>
    <w:rsid w:val="00C11886"/>
    <w:rsid w:val="00C1489A"/>
    <w:rsid w:val="00C14ADF"/>
    <w:rsid w:val="00C16D7A"/>
    <w:rsid w:val="00C16D80"/>
    <w:rsid w:val="00C17C83"/>
    <w:rsid w:val="00C204B5"/>
    <w:rsid w:val="00C243EE"/>
    <w:rsid w:val="00C269C5"/>
    <w:rsid w:val="00C269ED"/>
    <w:rsid w:val="00C27BB9"/>
    <w:rsid w:val="00C30134"/>
    <w:rsid w:val="00C306B0"/>
    <w:rsid w:val="00C32A25"/>
    <w:rsid w:val="00C32FD7"/>
    <w:rsid w:val="00C33E10"/>
    <w:rsid w:val="00C34054"/>
    <w:rsid w:val="00C340CB"/>
    <w:rsid w:val="00C345C5"/>
    <w:rsid w:val="00C34C50"/>
    <w:rsid w:val="00C35F1A"/>
    <w:rsid w:val="00C36BAA"/>
    <w:rsid w:val="00C36E99"/>
    <w:rsid w:val="00C37F27"/>
    <w:rsid w:val="00C40AAB"/>
    <w:rsid w:val="00C42466"/>
    <w:rsid w:val="00C43B3D"/>
    <w:rsid w:val="00C471AB"/>
    <w:rsid w:val="00C4744E"/>
    <w:rsid w:val="00C519F6"/>
    <w:rsid w:val="00C51E99"/>
    <w:rsid w:val="00C53113"/>
    <w:rsid w:val="00C54C81"/>
    <w:rsid w:val="00C54D52"/>
    <w:rsid w:val="00C61589"/>
    <w:rsid w:val="00C61FE0"/>
    <w:rsid w:val="00C62A11"/>
    <w:rsid w:val="00C62A59"/>
    <w:rsid w:val="00C62E91"/>
    <w:rsid w:val="00C64830"/>
    <w:rsid w:val="00C658F8"/>
    <w:rsid w:val="00C668F3"/>
    <w:rsid w:val="00C66D3B"/>
    <w:rsid w:val="00C70816"/>
    <w:rsid w:val="00C70ABB"/>
    <w:rsid w:val="00C72E8B"/>
    <w:rsid w:val="00C72EA7"/>
    <w:rsid w:val="00C73DA8"/>
    <w:rsid w:val="00C74F93"/>
    <w:rsid w:val="00C759C3"/>
    <w:rsid w:val="00C7675F"/>
    <w:rsid w:val="00C8143F"/>
    <w:rsid w:val="00C81998"/>
    <w:rsid w:val="00C82820"/>
    <w:rsid w:val="00C83F12"/>
    <w:rsid w:val="00C84396"/>
    <w:rsid w:val="00C848A4"/>
    <w:rsid w:val="00C85565"/>
    <w:rsid w:val="00C879C3"/>
    <w:rsid w:val="00C87D6B"/>
    <w:rsid w:val="00C90D02"/>
    <w:rsid w:val="00C91269"/>
    <w:rsid w:val="00C92E65"/>
    <w:rsid w:val="00C95E54"/>
    <w:rsid w:val="00C95FD3"/>
    <w:rsid w:val="00C97CF6"/>
    <w:rsid w:val="00CA161A"/>
    <w:rsid w:val="00CA17B0"/>
    <w:rsid w:val="00CA3252"/>
    <w:rsid w:val="00CA3C13"/>
    <w:rsid w:val="00CA76C9"/>
    <w:rsid w:val="00CA7ED4"/>
    <w:rsid w:val="00CB2351"/>
    <w:rsid w:val="00CB7513"/>
    <w:rsid w:val="00CB7F04"/>
    <w:rsid w:val="00CC14B7"/>
    <w:rsid w:val="00CC3478"/>
    <w:rsid w:val="00CC51D1"/>
    <w:rsid w:val="00CC55B6"/>
    <w:rsid w:val="00CC623A"/>
    <w:rsid w:val="00CC7A98"/>
    <w:rsid w:val="00CD1531"/>
    <w:rsid w:val="00CD17FA"/>
    <w:rsid w:val="00CD1A4C"/>
    <w:rsid w:val="00CD3369"/>
    <w:rsid w:val="00CD373E"/>
    <w:rsid w:val="00CD37C9"/>
    <w:rsid w:val="00CD45DF"/>
    <w:rsid w:val="00CD5B5B"/>
    <w:rsid w:val="00CD60DA"/>
    <w:rsid w:val="00CD72BE"/>
    <w:rsid w:val="00CD72E2"/>
    <w:rsid w:val="00CD7EA6"/>
    <w:rsid w:val="00CE08A7"/>
    <w:rsid w:val="00CE09C7"/>
    <w:rsid w:val="00CE20EF"/>
    <w:rsid w:val="00CE283F"/>
    <w:rsid w:val="00CE291A"/>
    <w:rsid w:val="00CE2999"/>
    <w:rsid w:val="00CE42D6"/>
    <w:rsid w:val="00CE6FD2"/>
    <w:rsid w:val="00CE7277"/>
    <w:rsid w:val="00CF281B"/>
    <w:rsid w:val="00D00604"/>
    <w:rsid w:val="00D01644"/>
    <w:rsid w:val="00D01921"/>
    <w:rsid w:val="00D01CD4"/>
    <w:rsid w:val="00D022DB"/>
    <w:rsid w:val="00D02506"/>
    <w:rsid w:val="00D02F6B"/>
    <w:rsid w:val="00D05465"/>
    <w:rsid w:val="00D0650C"/>
    <w:rsid w:val="00D07EFB"/>
    <w:rsid w:val="00D13D77"/>
    <w:rsid w:val="00D163BE"/>
    <w:rsid w:val="00D167DF"/>
    <w:rsid w:val="00D16913"/>
    <w:rsid w:val="00D17266"/>
    <w:rsid w:val="00D20A30"/>
    <w:rsid w:val="00D20DAE"/>
    <w:rsid w:val="00D22945"/>
    <w:rsid w:val="00D2386E"/>
    <w:rsid w:val="00D35025"/>
    <w:rsid w:val="00D3676F"/>
    <w:rsid w:val="00D3718B"/>
    <w:rsid w:val="00D3778C"/>
    <w:rsid w:val="00D40CCF"/>
    <w:rsid w:val="00D42431"/>
    <w:rsid w:val="00D42D4C"/>
    <w:rsid w:val="00D4558F"/>
    <w:rsid w:val="00D5110A"/>
    <w:rsid w:val="00D51551"/>
    <w:rsid w:val="00D5155D"/>
    <w:rsid w:val="00D52363"/>
    <w:rsid w:val="00D53334"/>
    <w:rsid w:val="00D54112"/>
    <w:rsid w:val="00D556DB"/>
    <w:rsid w:val="00D6397F"/>
    <w:rsid w:val="00D65399"/>
    <w:rsid w:val="00D660FC"/>
    <w:rsid w:val="00D664D0"/>
    <w:rsid w:val="00D67104"/>
    <w:rsid w:val="00D6781E"/>
    <w:rsid w:val="00D67863"/>
    <w:rsid w:val="00D71C97"/>
    <w:rsid w:val="00D72AD8"/>
    <w:rsid w:val="00D73106"/>
    <w:rsid w:val="00D74316"/>
    <w:rsid w:val="00D74EC2"/>
    <w:rsid w:val="00D756D8"/>
    <w:rsid w:val="00D75DD5"/>
    <w:rsid w:val="00D771EF"/>
    <w:rsid w:val="00D77789"/>
    <w:rsid w:val="00D77F75"/>
    <w:rsid w:val="00D826E6"/>
    <w:rsid w:val="00D8568B"/>
    <w:rsid w:val="00D9117B"/>
    <w:rsid w:val="00D936F8"/>
    <w:rsid w:val="00D951F2"/>
    <w:rsid w:val="00D9548A"/>
    <w:rsid w:val="00D958DD"/>
    <w:rsid w:val="00D970B6"/>
    <w:rsid w:val="00D97CA5"/>
    <w:rsid w:val="00DA02B4"/>
    <w:rsid w:val="00DA1C74"/>
    <w:rsid w:val="00DA2247"/>
    <w:rsid w:val="00DA3F6B"/>
    <w:rsid w:val="00DA6102"/>
    <w:rsid w:val="00DB0AF1"/>
    <w:rsid w:val="00DB17F7"/>
    <w:rsid w:val="00DB2B34"/>
    <w:rsid w:val="00DB386D"/>
    <w:rsid w:val="00DB4421"/>
    <w:rsid w:val="00DB6EEE"/>
    <w:rsid w:val="00DC45E1"/>
    <w:rsid w:val="00DC4E78"/>
    <w:rsid w:val="00DC57EF"/>
    <w:rsid w:val="00DD3DE7"/>
    <w:rsid w:val="00DD466A"/>
    <w:rsid w:val="00DD5655"/>
    <w:rsid w:val="00DD6842"/>
    <w:rsid w:val="00DD753E"/>
    <w:rsid w:val="00DE1F76"/>
    <w:rsid w:val="00DE2FE7"/>
    <w:rsid w:val="00DE36D5"/>
    <w:rsid w:val="00DE5955"/>
    <w:rsid w:val="00DE5C1A"/>
    <w:rsid w:val="00DE6DD1"/>
    <w:rsid w:val="00DF18A6"/>
    <w:rsid w:val="00DF1BE4"/>
    <w:rsid w:val="00DF2F93"/>
    <w:rsid w:val="00DF3922"/>
    <w:rsid w:val="00E011EC"/>
    <w:rsid w:val="00E01AE6"/>
    <w:rsid w:val="00E02169"/>
    <w:rsid w:val="00E021B5"/>
    <w:rsid w:val="00E03ED2"/>
    <w:rsid w:val="00E048C2"/>
    <w:rsid w:val="00E0536F"/>
    <w:rsid w:val="00E05FD8"/>
    <w:rsid w:val="00E07D5B"/>
    <w:rsid w:val="00E102DC"/>
    <w:rsid w:val="00E12654"/>
    <w:rsid w:val="00E12F0E"/>
    <w:rsid w:val="00E131D3"/>
    <w:rsid w:val="00E13858"/>
    <w:rsid w:val="00E1488F"/>
    <w:rsid w:val="00E16FC6"/>
    <w:rsid w:val="00E17520"/>
    <w:rsid w:val="00E20158"/>
    <w:rsid w:val="00E2079F"/>
    <w:rsid w:val="00E22D6E"/>
    <w:rsid w:val="00E25520"/>
    <w:rsid w:val="00E259B8"/>
    <w:rsid w:val="00E3241A"/>
    <w:rsid w:val="00E33DD9"/>
    <w:rsid w:val="00E364ED"/>
    <w:rsid w:val="00E37137"/>
    <w:rsid w:val="00E374F7"/>
    <w:rsid w:val="00E41FE6"/>
    <w:rsid w:val="00E42300"/>
    <w:rsid w:val="00E42D6F"/>
    <w:rsid w:val="00E43347"/>
    <w:rsid w:val="00E4347B"/>
    <w:rsid w:val="00E44081"/>
    <w:rsid w:val="00E46632"/>
    <w:rsid w:val="00E4764A"/>
    <w:rsid w:val="00E51141"/>
    <w:rsid w:val="00E516A1"/>
    <w:rsid w:val="00E517F8"/>
    <w:rsid w:val="00E51ABD"/>
    <w:rsid w:val="00E51B6D"/>
    <w:rsid w:val="00E53177"/>
    <w:rsid w:val="00E53940"/>
    <w:rsid w:val="00E543E2"/>
    <w:rsid w:val="00E54805"/>
    <w:rsid w:val="00E54AA6"/>
    <w:rsid w:val="00E55017"/>
    <w:rsid w:val="00E5571D"/>
    <w:rsid w:val="00E56268"/>
    <w:rsid w:val="00E569EF"/>
    <w:rsid w:val="00E5793D"/>
    <w:rsid w:val="00E6030F"/>
    <w:rsid w:val="00E60D67"/>
    <w:rsid w:val="00E62846"/>
    <w:rsid w:val="00E62FB2"/>
    <w:rsid w:val="00E637C4"/>
    <w:rsid w:val="00E673E9"/>
    <w:rsid w:val="00E675CA"/>
    <w:rsid w:val="00E67A0D"/>
    <w:rsid w:val="00E72B68"/>
    <w:rsid w:val="00E742F3"/>
    <w:rsid w:val="00E74A9F"/>
    <w:rsid w:val="00E75540"/>
    <w:rsid w:val="00E765CD"/>
    <w:rsid w:val="00E76B43"/>
    <w:rsid w:val="00E77E13"/>
    <w:rsid w:val="00E80A2D"/>
    <w:rsid w:val="00E81874"/>
    <w:rsid w:val="00E820F2"/>
    <w:rsid w:val="00E8251D"/>
    <w:rsid w:val="00E82CD3"/>
    <w:rsid w:val="00E83559"/>
    <w:rsid w:val="00E84544"/>
    <w:rsid w:val="00E84C16"/>
    <w:rsid w:val="00E8529E"/>
    <w:rsid w:val="00E903FD"/>
    <w:rsid w:val="00E959C2"/>
    <w:rsid w:val="00E96732"/>
    <w:rsid w:val="00EA040D"/>
    <w:rsid w:val="00EA1F93"/>
    <w:rsid w:val="00EA20A0"/>
    <w:rsid w:val="00EA550F"/>
    <w:rsid w:val="00EA5AB0"/>
    <w:rsid w:val="00EA63E0"/>
    <w:rsid w:val="00EA6CF9"/>
    <w:rsid w:val="00EB0423"/>
    <w:rsid w:val="00EB2B8B"/>
    <w:rsid w:val="00EB4127"/>
    <w:rsid w:val="00EB64E8"/>
    <w:rsid w:val="00EB68A7"/>
    <w:rsid w:val="00EB7C34"/>
    <w:rsid w:val="00EB7F24"/>
    <w:rsid w:val="00EC04CE"/>
    <w:rsid w:val="00EC12CC"/>
    <w:rsid w:val="00EC3155"/>
    <w:rsid w:val="00EC3804"/>
    <w:rsid w:val="00EC3F67"/>
    <w:rsid w:val="00EC40D8"/>
    <w:rsid w:val="00EC5A7D"/>
    <w:rsid w:val="00EC69B3"/>
    <w:rsid w:val="00EC6C31"/>
    <w:rsid w:val="00EC6DF2"/>
    <w:rsid w:val="00ED1648"/>
    <w:rsid w:val="00ED1897"/>
    <w:rsid w:val="00ED3E26"/>
    <w:rsid w:val="00ED6FEC"/>
    <w:rsid w:val="00ED7007"/>
    <w:rsid w:val="00ED7E5C"/>
    <w:rsid w:val="00ED7F90"/>
    <w:rsid w:val="00EE15A6"/>
    <w:rsid w:val="00EE21AA"/>
    <w:rsid w:val="00EE26B3"/>
    <w:rsid w:val="00EE45BF"/>
    <w:rsid w:val="00EE4719"/>
    <w:rsid w:val="00EE54FD"/>
    <w:rsid w:val="00EE5750"/>
    <w:rsid w:val="00EE797A"/>
    <w:rsid w:val="00EF0BBA"/>
    <w:rsid w:val="00EF118F"/>
    <w:rsid w:val="00EF1522"/>
    <w:rsid w:val="00EF183A"/>
    <w:rsid w:val="00EF1F99"/>
    <w:rsid w:val="00EF3431"/>
    <w:rsid w:val="00EF3737"/>
    <w:rsid w:val="00EF4FAA"/>
    <w:rsid w:val="00EF70B6"/>
    <w:rsid w:val="00EF7712"/>
    <w:rsid w:val="00EF7F09"/>
    <w:rsid w:val="00EF7F15"/>
    <w:rsid w:val="00F0561D"/>
    <w:rsid w:val="00F05892"/>
    <w:rsid w:val="00F06459"/>
    <w:rsid w:val="00F076C1"/>
    <w:rsid w:val="00F10281"/>
    <w:rsid w:val="00F11F2A"/>
    <w:rsid w:val="00F128D7"/>
    <w:rsid w:val="00F137F1"/>
    <w:rsid w:val="00F14800"/>
    <w:rsid w:val="00F16147"/>
    <w:rsid w:val="00F16A6D"/>
    <w:rsid w:val="00F20C8C"/>
    <w:rsid w:val="00F24833"/>
    <w:rsid w:val="00F251DF"/>
    <w:rsid w:val="00F264BD"/>
    <w:rsid w:val="00F26C68"/>
    <w:rsid w:val="00F2789D"/>
    <w:rsid w:val="00F33445"/>
    <w:rsid w:val="00F33D62"/>
    <w:rsid w:val="00F3497F"/>
    <w:rsid w:val="00F35239"/>
    <w:rsid w:val="00F40798"/>
    <w:rsid w:val="00F40DBD"/>
    <w:rsid w:val="00F41AE0"/>
    <w:rsid w:val="00F42E37"/>
    <w:rsid w:val="00F443D6"/>
    <w:rsid w:val="00F44DD8"/>
    <w:rsid w:val="00F44F4C"/>
    <w:rsid w:val="00F456AC"/>
    <w:rsid w:val="00F45992"/>
    <w:rsid w:val="00F513FA"/>
    <w:rsid w:val="00F51B00"/>
    <w:rsid w:val="00F52AEB"/>
    <w:rsid w:val="00F53F5A"/>
    <w:rsid w:val="00F543D3"/>
    <w:rsid w:val="00F54DCF"/>
    <w:rsid w:val="00F55B27"/>
    <w:rsid w:val="00F62EC7"/>
    <w:rsid w:val="00F643FF"/>
    <w:rsid w:val="00F65EF9"/>
    <w:rsid w:val="00F6625F"/>
    <w:rsid w:val="00F664F0"/>
    <w:rsid w:val="00F668DA"/>
    <w:rsid w:val="00F66ABB"/>
    <w:rsid w:val="00F67C48"/>
    <w:rsid w:val="00F70D47"/>
    <w:rsid w:val="00F71518"/>
    <w:rsid w:val="00F71B72"/>
    <w:rsid w:val="00F754D8"/>
    <w:rsid w:val="00F75EAC"/>
    <w:rsid w:val="00F76B66"/>
    <w:rsid w:val="00F77BAA"/>
    <w:rsid w:val="00F80034"/>
    <w:rsid w:val="00F8068F"/>
    <w:rsid w:val="00F81A51"/>
    <w:rsid w:val="00F824A0"/>
    <w:rsid w:val="00F824AB"/>
    <w:rsid w:val="00F848EE"/>
    <w:rsid w:val="00F85E0F"/>
    <w:rsid w:val="00F86441"/>
    <w:rsid w:val="00F86F40"/>
    <w:rsid w:val="00F87B2A"/>
    <w:rsid w:val="00F87FE9"/>
    <w:rsid w:val="00F90148"/>
    <w:rsid w:val="00F912C1"/>
    <w:rsid w:val="00F935E9"/>
    <w:rsid w:val="00F947C0"/>
    <w:rsid w:val="00F9486A"/>
    <w:rsid w:val="00F96136"/>
    <w:rsid w:val="00F9652A"/>
    <w:rsid w:val="00F9673B"/>
    <w:rsid w:val="00F974CB"/>
    <w:rsid w:val="00F97DD9"/>
    <w:rsid w:val="00FA0326"/>
    <w:rsid w:val="00FA06F4"/>
    <w:rsid w:val="00FA20EA"/>
    <w:rsid w:val="00FA225D"/>
    <w:rsid w:val="00FA69C1"/>
    <w:rsid w:val="00FA7F06"/>
    <w:rsid w:val="00FB0BEC"/>
    <w:rsid w:val="00FB4694"/>
    <w:rsid w:val="00FB4C4B"/>
    <w:rsid w:val="00FB67B8"/>
    <w:rsid w:val="00FB7253"/>
    <w:rsid w:val="00FC4FB1"/>
    <w:rsid w:val="00FC57C6"/>
    <w:rsid w:val="00FC5B56"/>
    <w:rsid w:val="00FC6FD9"/>
    <w:rsid w:val="00FC7A86"/>
    <w:rsid w:val="00FC7AFB"/>
    <w:rsid w:val="00FD0492"/>
    <w:rsid w:val="00FD3446"/>
    <w:rsid w:val="00FD4271"/>
    <w:rsid w:val="00FD4309"/>
    <w:rsid w:val="00FD497C"/>
    <w:rsid w:val="00FD5586"/>
    <w:rsid w:val="00FD570A"/>
    <w:rsid w:val="00FD7879"/>
    <w:rsid w:val="00FE015B"/>
    <w:rsid w:val="00FE46DA"/>
    <w:rsid w:val="00FE4B45"/>
    <w:rsid w:val="00FE6261"/>
    <w:rsid w:val="00FE6477"/>
    <w:rsid w:val="00FF1B78"/>
    <w:rsid w:val="00FF37AD"/>
    <w:rsid w:val="00FF5A81"/>
    <w:rsid w:val="00FF5F61"/>
    <w:rsid w:val="00FF7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8F"/>
    <w:pPr>
      <w:widowControl w:val="0"/>
      <w:spacing w:after="0" w:line="240" w:lineRule="auto"/>
    </w:pPr>
    <w:rPr>
      <w:rFonts w:ascii="Times New Roman" w:hAnsi="Times New Roman"/>
      <w:sz w:val="24"/>
    </w:rPr>
  </w:style>
  <w:style w:type="paragraph" w:styleId="Heading1">
    <w:name w:val="heading 1"/>
    <w:basedOn w:val="Heading2"/>
    <w:next w:val="Normal"/>
    <w:link w:val="Heading1Char"/>
    <w:uiPriority w:val="9"/>
    <w:qFormat/>
    <w:rsid w:val="00F66ABB"/>
    <w:pPr>
      <w:spacing w:before="120" w:after="0"/>
      <w:outlineLvl w:val="0"/>
    </w:pPr>
    <w:rPr>
      <w:sz w:val="28"/>
    </w:rPr>
  </w:style>
  <w:style w:type="paragraph" w:styleId="Heading2">
    <w:name w:val="heading 2"/>
    <w:basedOn w:val="Normal"/>
    <w:next w:val="Normal"/>
    <w:link w:val="Heading2Char1"/>
    <w:uiPriority w:val="9"/>
    <w:unhideWhenUsed/>
    <w:qFormat/>
    <w:rsid w:val="00F66ABB"/>
    <w:pPr>
      <w:spacing w:before="600" w:after="240"/>
      <w:jc w:val="center"/>
      <w:outlineLvl w:val="1"/>
    </w:pPr>
    <w:rPr>
      <w:rFonts w:ascii="Times New Roman Bold" w:eastAsiaTheme="majorEastAsia" w:hAnsi="Times New Roman Bold" w:cs="Times New Roman"/>
      <w:b/>
      <w:bCs/>
      <w:smallCaps/>
      <w:szCs w:val="26"/>
    </w:rPr>
  </w:style>
  <w:style w:type="paragraph" w:styleId="Heading3">
    <w:name w:val="heading 3"/>
    <w:basedOn w:val="Normal"/>
    <w:next w:val="Normal"/>
    <w:link w:val="Heading3Char1"/>
    <w:uiPriority w:val="9"/>
    <w:unhideWhenUsed/>
    <w:qFormat/>
    <w:rsid w:val="004D1ED6"/>
    <w:pPr>
      <w:spacing w:before="360" w:after="120"/>
      <w:jc w:val="center"/>
      <w:outlineLvl w:val="2"/>
    </w:pPr>
    <w:rPr>
      <w:rFonts w:ascii="Times New Roman Bold" w:hAnsi="Times New Roman Bold"/>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88C"/>
    <w:pPr>
      <w:spacing w:before="120" w:after="120"/>
      <w:ind w:left="720"/>
      <w:contextualSpacing/>
    </w:pPr>
  </w:style>
  <w:style w:type="paragraph" w:styleId="NormalWeb">
    <w:name w:val="Normal (Web)"/>
    <w:basedOn w:val="Normal"/>
    <w:uiPriority w:val="99"/>
    <w:unhideWhenUsed/>
    <w:rsid w:val="00CD5B5B"/>
    <w:pPr>
      <w:spacing w:before="100" w:beforeAutospacing="1" w:after="100" w:afterAutospacing="1"/>
    </w:pPr>
    <w:rPr>
      <w:rFonts w:eastAsia="Times New Roman" w:cs="Times New Roman"/>
      <w:szCs w:val="24"/>
    </w:rPr>
  </w:style>
  <w:style w:type="table" w:styleId="TableGrid">
    <w:name w:val="Table Grid"/>
    <w:basedOn w:val="TableNormal"/>
    <w:uiPriority w:val="59"/>
    <w:rsid w:val="008C2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032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1064D"/>
    <w:pPr>
      <w:tabs>
        <w:tab w:val="center" w:pos="4680"/>
        <w:tab w:val="right" w:pos="9360"/>
      </w:tabs>
    </w:pPr>
  </w:style>
  <w:style w:type="character" w:customStyle="1" w:styleId="HeaderChar">
    <w:name w:val="Header Char"/>
    <w:basedOn w:val="DefaultParagraphFont"/>
    <w:link w:val="Header"/>
    <w:uiPriority w:val="99"/>
    <w:rsid w:val="00C1064D"/>
  </w:style>
  <w:style w:type="paragraph" w:styleId="Footer">
    <w:name w:val="footer"/>
    <w:basedOn w:val="Normal"/>
    <w:link w:val="FooterChar"/>
    <w:uiPriority w:val="99"/>
    <w:unhideWhenUsed/>
    <w:rsid w:val="00C1064D"/>
    <w:pPr>
      <w:tabs>
        <w:tab w:val="center" w:pos="4680"/>
        <w:tab w:val="right" w:pos="9360"/>
      </w:tabs>
    </w:pPr>
  </w:style>
  <w:style w:type="character" w:customStyle="1" w:styleId="FooterChar">
    <w:name w:val="Footer Char"/>
    <w:basedOn w:val="DefaultParagraphFont"/>
    <w:link w:val="Footer"/>
    <w:uiPriority w:val="99"/>
    <w:rsid w:val="00C1064D"/>
  </w:style>
  <w:style w:type="character" w:styleId="Hyperlink">
    <w:name w:val="Hyperlink"/>
    <w:basedOn w:val="DefaultParagraphFont"/>
    <w:uiPriority w:val="99"/>
    <w:unhideWhenUsed/>
    <w:rsid w:val="002C4AEE"/>
    <w:rPr>
      <w:color w:val="0000FF" w:themeColor="hyperlink"/>
      <w:u w:val="single"/>
    </w:rPr>
  </w:style>
  <w:style w:type="paragraph" w:styleId="BalloonText">
    <w:name w:val="Balloon Text"/>
    <w:basedOn w:val="Normal"/>
    <w:link w:val="BalloonTextChar"/>
    <w:uiPriority w:val="99"/>
    <w:semiHidden/>
    <w:unhideWhenUsed/>
    <w:rsid w:val="00115A27"/>
    <w:rPr>
      <w:rFonts w:ascii="Tahoma" w:hAnsi="Tahoma" w:cs="Tahoma"/>
      <w:sz w:val="16"/>
      <w:szCs w:val="16"/>
    </w:rPr>
  </w:style>
  <w:style w:type="character" w:customStyle="1" w:styleId="BalloonTextChar">
    <w:name w:val="Balloon Text Char"/>
    <w:basedOn w:val="DefaultParagraphFont"/>
    <w:link w:val="BalloonText"/>
    <w:uiPriority w:val="99"/>
    <w:semiHidden/>
    <w:rsid w:val="00115A27"/>
    <w:rPr>
      <w:rFonts w:ascii="Tahoma" w:hAnsi="Tahoma" w:cs="Tahoma"/>
      <w:sz w:val="16"/>
      <w:szCs w:val="16"/>
    </w:rPr>
  </w:style>
  <w:style w:type="character" w:styleId="CommentReference">
    <w:name w:val="annotation reference"/>
    <w:basedOn w:val="DefaultParagraphFont"/>
    <w:uiPriority w:val="99"/>
    <w:semiHidden/>
    <w:unhideWhenUsed/>
    <w:rsid w:val="00115A27"/>
    <w:rPr>
      <w:sz w:val="16"/>
      <w:szCs w:val="16"/>
    </w:rPr>
  </w:style>
  <w:style w:type="paragraph" w:styleId="CommentText">
    <w:name w:val="annotation text"/>
    <w:basedOn w:val="Normal"/>
    <w:link w:val="CommentTextChar"/>
    <w:uiPriority w:val="99"/>
    <w:semiHidden/>
    <w:unhideWhenUsed/>
    <w:rsid w:val="00115A27"/>
    <w:rPr>
      <w:sz w:val="20"/>
      <w:szCs w:val="20"/>
    </w:rPr>
  </w:style>
  <w:style w:type="character" w:customStyle="1" w:styleId="CommentTextChar">
    <w:name w:val="Comment Text Char"/>
    <w:basedOn w:val="DefaultParagraphFont"/>
    <w:link w:val="CommentText"/>
    <w:uiPriority w:val="99"/>
    <w:semiHidden/>
    <w:rsid w:val="00115A27"/>
    <w:rPr>
      <w:sz w:val="20"/>
      <w:szCs w:val="20"/>
    </w:rPr>
  </w:style>
  <w:style w:type="paragraph" w:styleId="CommentSubject">
    <w:name w:val="annotation subject"/>
    <w:basedOn w:val="CommentText"/>
    <w:next w:val="CommentText"/>
    <w:link w:val="CommentSubjectChar"/>
    <w:uiPriority w:val="99"/>
    <w:semiHidden/>
    <w:unhideWhenUsed/>
    <w:rsid w:val="00115A27"/>
    <w:rPr>
      <w:b/>
      <w:bCs/>
    </w:rPr>
  </w:style>
  <w:style w:type="character" w:customStyle="1" w:styleId="CommentSubjectChar">
    <w:name w:val="Comment Subject Char"/>
    <w:basedOn w:val="CommentTextChar"/>
    <w:link w:val="CommentSubject"/>
    <w:uiPriority w:val="99"/>
    <w:semiHidden/>
    <w:rsid w:val="00115A27"/>
    <w:rPr>
      <w:b/>
      <w:bCs/>
      <w:sz w:val="20"/>
      <w:szCs w:val="20"/>
    </w:rPr>
  </w:style>
  <w:style w:type="paragraph" w:styleId="Revision">
    <w:name w:val="Revision"/>
    <w:hidden/>
    <w:uiPriority w:val="99"/>
    <w:semiHidden/>
    <w:rsid w:val="00115A27"/>
    <w:pPr>
      <w:spacing w:after="0" w:line="240" w:lineRule="auto"/>
    </w:pPr>
  </w:style>
  <w:style w:type="paragraph" w:styleId="FootnoteText">
    <w:name w:val="footnote text"/>
    <w:basedOn w:val="Normal"/>
    <w:link w:val="FootnoteTextChar"/>
    <w:uiPriority w:val="99"/>
    <w:unhideWhenUsed/>
    <w:rsid w:val="00034174"/>
    <w:rPr>
      <w:sz w:val="20"/>
      <w:szCs w:val="20"/>
    </w:rPr>
  </w:style>
  <w:style w:type="character" w:customStyle="1" w:styleId="FootnoteTextChar">
    <w:name w:val="Footnote Text Char"/>
    <w:basedOn w:val="DefaultParagraphFont"/>
    <w:link w:val="FootnoteText"/>
    <w:uiPriority w:val="99"/>
    <w:rsid w:val="00034174"/>
    <w:rPr>
      <w:sz w:val="20"/>
      <w:szCs w:val="20"/>
    </w:rPr>
  </w:style>
  <w:style w:type="character" w:styleId="FootnoteReference">
    <w:name w:val="footnote reference"/>
    <w:basedOn w:val="DefaultParagraphFont"/>
    <w:uiPriority w:val="99"/>
    <w:semiHidden/>
    <w:unhideWhenUsed/>
    <w:rsid w:val="00034174"/>
    <w:rPr>
      <w:vertAlign w:val="superscript"/>
    </w:rPr>
  </w:style>
  <w:style w:type="character" w:styleId="Strong">
    <w:name w:val="Strong"/>
    <w:basedOn w:val="DefaultParagraphFont"/>
    <w:uiPriority w:val="22"/>
    <w:qFormat/>
    <w:rsid w:val="007D530A"/>
    <w:rPr>
      <w:b/>
      <w:bCs/>
    </w:rPr>
  </w:style>
  <w:style w:type="character" w:customStyle="1" w:styleId="Heading3Char">
    <w:name w:val="Heading 3 Char"/>
    <w:basedOn w:val="DefaultParagraphFont"/>
    <w:link w:val="Heading3"/>
    <w:uiPriority w:val="9"/>
    <w:rsid w:val="0020458F"/>
    <w:rPr>
      <w:rFonts w:ascii="Times New Roman" w:eastAsia="Times New Roman" w:hAnsi="Times New Roman" w:cs="Times New Roman"/>
      <w:b/>
      <w:color w:val="000000"/>
      <w:sz w:val="24"/>
      <w:szCs w:val="24"/>
    </w:rPr>
  </w:style>
  <w:style w:type="paragraph" w:styleId="BodyText">
    <w:name w:val="Body Text"/>
    <w:basedOn w:val="Normal"/>
    <w:link w:val="BodyTextChar"/>
    <w:uiPriority w:val="99"/>
    <w:unhideWhenUsed/>
    <w:rsid w:val="00F66ABB"/>
    <w:pPr>
      <w:spacing w:before="120" w:after="120"/>
      <w:jc w:val="both"/>
    </w:pPr>
  </w:style>
  <w:style w:type="character" w:customStyle="1" w:styleId="BodyTextChar">
    <w:name w:val="Body Text Char"/>
    <w:basedOn w:val="DefaultParagraphFont"/>
    <w:link w:val="BodyText"/>
    <w:uiPriority w:val="99"/>
    <w:rsid w:val="00F66ABB"/>
    <w:rPr>
      <w:rFonts w:ascii="Times New Roman" w:hAnsi="Times New Roman"/>
      <w:sz w:val="24"/>
    </w:rPr>
  </w:style>
  <w:style w:type="paragraph" w:styleId="ListBullet">
    <w:name w:val="List Bullet"/>
    <w:basedOn w:val="Normal"/>
    <w:uiPriority w:val="99"/>
    <w:unhideWhenUsed/>
    <w:rsid w:val="0090488C"/>
    <w:pPr>
      <w:numPr>
        <w:numId w:val="6"/>
      </w:numPr>
      <w:ind w:left="568" w:hanging="284"/>
      <w:contextualSpacing/>
    </w:pPr>
  </w:style>
  <w:style w:type="paragraph" w:customStyle="1" w:styleId="Style1">
    <w:name w:val="Style1"/>
    <w:basedOn w:val="NormalWeb"/>
    <w:qFormat/>
    <w:rsid w:val="007B4619"/>
    <w:pPr>
      <w:spacing w:after="240" w:afterAutospacing="0"/>
      <w:jc w:val="center"/>
    </w:pPr>
    <w:rPr>
      <w:rFonts w:ascii="Times New Roman Bold" w:hAnsi="Times New Roman Bold"/>
      <w:b/>
      <w:color w:val="000000"/>
    </w:rPr>
  </w:style>
  <w:style w:type="character" w:styleId="SubtleReference">
    <w:name w:val="Subtle Reference"/>
    <w:basedOn w:val="DefaultParagraphFont"/>
    <w:uiPriority w:val="31"/>
    <w:qFormat/>
    <w:rsid w:val="001348C0"/>
    <w:rPr>
      <w:smallCaps/>
      <w:color w:val="C0504D" w:themeColor="accent2"/>
      <w:u w:val="single"/>
    </w:rPr>
  </w:style>
  <w:style w:type="character" w:styleId="IntenseReference">
    <w:name w:val="Intense Reference"/>
    <w:basedOn w:val="DefaultParagraphFont"/>
    <w:uiPriority w:val="32"/>
    <w:qFormat/>
    <w:rsid w:val="001348C0"/>
    <w:rPr>
      <w:b/>
      <w:bCs/>
      <w:smallCaps/>
      <w:color w:val="C0504D" w:themeColor="accent2"/>
      <w:spacing w:val="5"/>
      <w:u w:val="single"/>
    </w:rPr>
  </w:style>
  <w:style w:type="character" w:styleId="BookTitle">
    <w:name w:val="Book Title"/>
    <w:basedOn w:val="DefaultParagraphFont"/>
    <w:uiPriority w:val="33"/>
    <w:qFormat/>
    <w:rsid w:val="001348C0"/>
    <w:rPr>
      <w:b/>
      <w:bCs/>
      <w:smallCaps/>
      <w:spacing w:val="5"/>
    </w:rPr>
  </w:style>
  <w:style w:type="paragraph" w:styleId="ListNumber">
    <w:name w:val="List Number"/>
    <w:basedOn w:val="Normal"/>
    <w:link w:val="ListNumberChar"/>
    <w:uiPriority w:val="99"/>
    <w:unhideWhenUsed/>
    <w:rsid w:val="0090488C"/>
    <w:pPr>
      <w:numPr>
        <w:numId w:val="7"/>
      </w:numPr>
      <w:contextualSpacing/>
    </w:pPr>
  </w:style>
  <w:style w:type="character" w:customStyle="1" w:styleId="ListNumberChar">
    <w:name w:val="List Number Char"/>
    <w:basedOn w:val="DefaultParagraphFont"/>
    <w:link w:val="ListNumber"/>
    <w:uiPriority w:val="99"/>
    <w:rsid w:val="00512867"/>
    <w:rPr>
      <w:rFonts w:ascii="Times New Roman" w:hAnsi="Times New Roman"/>
      <w:sz w:val="24"/>
    </w:rPr>
  </w:style>
  <w:style w:type="character" w:customStyle="1" w:styleId="Heading2Char">
    <w:name w:val="Heading 2 Char"/>
    <w:basedOn w:val="DefaultParagraphFont"/>
    <w:link w:val="Heading2"/>
    <w:uiPriority w:val="9"/>
    <w:rsid w:val="0020458F"/>
    <w:rPr>
      <w:rFonts w:ascii="Times New Roman Bold" w:hAnsi="Times New Roman Bold" w:cs="Times New Roman"/>
      <w:b/>
      <w:smallCaps/>
      <w:sz w:val="24"/>
      <w:szCs w:val="24"/>
    </w:rPr>
  </w:style>
  <w:style w:type="paragraph" w:styleId="EndnoteText">
    <w:name w:val="endnote text"/>
    <w:basedOn w:val="Normal"/>
    <w:link w:val="EndnoteTextChar"/>
    <w:uiPriority w:val="99"/>
    <w:semiHidden/>
    <w:unhideWhenUsed/>
    <w:rsid w:val="00464AE5"/>
    <w:rPr>
      <w:sz w:val="20"/>
      <w:szCs w:val="20"/>
    </w:rPr>
  </w:style>
  <w:style w:type="character" w:customStyle="1" w:styleId="EndnoteTextChar">
    <w:name w:val="Endnote Text Char"/>
    <w:basedOn w:val="DefaultParagraphFont"/>
    <w:link w:val="EndnoteText"/>
    <w:uiPriority w:val="99"/>
    <w:semiHidden/>
    <w:rsid w:val="00464AE5"/>
    <w:rPr>
      <w:rFonts w:ascii="Times New Roman" w:hAnsi="Times New Roman"/>
      <w:sz w:val="20"/>
      <w:szCs w:val="20"/>
    </w:rPr>
  </w:style>
  <w:style w:type="character" w:styleId="EndnoteReference">
    <w:name w:val="endnote reference"/>
    <w:basedOn w:val="DefaultParagraphFont"/>
    <w:uiPriority w:val="99"/>
    <w:semiHidden/>
    <w:unhideWhenUsed/>
    <w:rsid w:val="00464AE5"/>
    <w:rPr>
      <w:vertAlign w:val="superscript"/>
    </w:rPr>
  </w:style>
  <w:style w:type="paragraph" w:styleId="Subtitle">
    <w:name w:val="Subtitle"/>
    <w:basedOn w:val="Normal"/>
    <w:link w:val="SubtitleChar"/>
    <w:qFormat/>
    <w:rsid w:val="009A1544"/>
    <w:pPr>
      <w:widowControl/>
      <w:jc w:val="center"/>
    </w:pPr>
    <w:rPr>
      <w:rFonts w:ascii="Tahoma" w:eastAsia="Times New Roman" w:hAnsi="Tahoma" w:cs="Courier New"/>
      <w:b/>
      <w:sz w:val="28"/>
      <w:szCs w:val="20"/>
    </w:rPr>
  </w:style>
  <w:style w:type="character" w:customStyle="1" w:styleId="SubtitleChar">
    <w:name w:val="Subtitle Char"/>
    <w:basedOn w:val="DefaultParagraphFont"/>
    <w:link w:val="Subtitle"/>
    <w:rsid w:val="009A1544"/>
    <w:rPr>
      <w:rFonts w:ascii="Tahoma" w:eastAsia="Times New Roman" w:hAnsi="Tahoma" w:cs="Courier New"/>
      <w:b/>
      <w:sz w:val="28"/>
      <w:szCs w:val="20"/>
    </w:rPr>
  </w:style>
  <w:style w:type="character" w:customStyle="1" w:styleId="Heading2Char1">
    <w:name w:val="Heading 2 Char1"/>
    <w:basedOn w:val="DefaultParagraphFont"/>
    <w:link w:val="Heading2"/>
    <w:uiPriority w:val="9"/>
    <w:rsid w:val="00F66ABB"/>
    <w:rPr>
      <w:rFonts w:ascii="Times New Roman Bold" w:eastAsiaTheme="majorEastAsia" w:hAnsi="Times New Roman Bold" w:cs="Times New Roman"/>
      <w:b/>
      <w:bCs/>
      <w:smallCaps/>
      <w:sz w:val="24"/>
      <w:szCs w:val="26"/>
    </w:rPr>
  </w:style>
  <w:style w:type="character" w:customStyle="1" w:styleId="Heading3Char1">
    <w:name w:val="Heading 3 Char1"/>
    <w:basedOn w:val="DefaultParagraphFont"/>
    <w:link w:val="Heading3"/>
    <w:uiPriority w:val="9"/>
    <w:rsid w:val="004D1ED6"/>
    <w:rPr>
      <w:rFonts w:ascii="Times New Roman Bold" w:hAnsi="Times New Roman Bold"/>
      <w:b/>
      <w:smallCaps/>
      <w:sz w:val="24"/>
    </w:rPr>
  </w:style>
  <w:style w:type="character" w:customStyle="1" w:styleId="Heading1Char">
    <w:name w:val="Heading 1 Char"/>
    <w:basedOn w:val="DefaultParagraphFont"/>
    <w:link w:val="Heading1"/>
    <w:uiPriority w:val="9"/>
    <w:rsid w:val="00F66ABB"/>
    <w:rPr>
      <w:rFonts w:ascii="Times New Roman Bold" w:eastAsiaTheme="majorEastAsia" w:hAnsi="Times New Roman Bold" w:cs="Times New Roman"/>
      <w:b/>
      <w:bCs/>
      <w:smallCaps/>
      <w:sz w:val="28"/>
      <w:szCs w:val="26"/>
    </w:rPr>
  </w:style>
  <w:style w:type="paragraph" w:customStyle="1" w:styleId="ippara2">
    <w:name w:val="ippara2"/>
    <w:basedOn w:val="Normal"/>
    <w:rsid w:val="00F668DA"/>
    <w:pPr>
      <w:widowControl/>
      <w:numPr>
        <w:numId w:val="14"/>
      </w:numPr>
      <w:spacing w:after="200" w:line="276" w:lineRule="auto"/>
      <w:ind w:left="0" w:firstLine="0"/>
      <w:jc w:val="both"/>
    </w:pPr>
    <w:rPr>
      <w:color w:val="000000"/>
    </w:rPr>
  </w:style>
  <w:style w:type="paragraph" w:customStyle="1" w:styleId="Heading2notoc">
    <w:name w:val="Heading 2 no toc"/>
    <w:basedOn w:val="Heading2"/>
    <w:uiPriority w:val="99"/>
    <w:rsid w:val="003B754F"/>
    <w:pPr>
      <w:keepNext/>
      <w:keepLines/>
      <w:widowControl/>
      <w:spacing w:before="120"/>
      <w:ind w:left="720" w:hanging="360"/>
    </w:pPr>
    <w:rPr>
      <w:rFonts w:ascii="Lucida Calligraphy" w:eastAsiaTheme="minorEastAsia" w:hAnsi="Lucida Calligraphy" w:cs="Lucida Calligraphy"/>
      <w:smallCaps w:val="0"/>
      <w:szCs w:val="24"/>
    </w:rPr>
  </w:style>
  <w:style w:type="paragraph" w:styleId="TOC1">
    <w:name w:val="toc 1"/>
    <w:basedOn w:val="Normal"/>
    <w:next w:val="Normal"/>
    <w:autoRedefine/>
    <w:uiPriority w:val="39"/>
    <w:unhideWhenUsed/>
    <w:rsid w:val="00A57E83"/>
    <w:pPr>
      <w:tabs>
        <w:tab w:val="left" w:pos="720"/>
        <w:tab w:val="right" w:leader="dot" w:pos="9350"/>
      </w:tabs>
      <w:spacing w:after="100"/>
      <w:ind w:left="720" w:hanging="720"/>
    </w:pPr>
  </w:style>
  <w:style w:type="character" w:customStyle="1" w:styleId="apple-converted-space">
    <w:name w:val="apple-converted-space"/>
    <w:basedOn w:val="DefaultParagraphFont"/>
    <w:rsid w:val="00D556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8F"/>
    <w:pPr>
      <w:widowControl w:val="0"/>
      <w:spacing w:after="0" w:line="240" w:lineRule="auto"/>
    </w:pPr>
    <w:rPr>
      <w:rFonts w:ascii="Times New Roman" w:hAnsi="Times New Roman"/>
      <w:sz w:val="24"/>
    </w:rPr>
  </w:style>
  <w:style w:type="paragraph" w:styleId="Heading1">
    <w:name w:val="heading 1"/>
    <w:basedOn w:val="Heading2"/>
    <w:next w:val="Normal"/>
    <w:link w:val="Heading1Char"/>
    <w:uiPriority w:val="9"/>
    <w:qFormat/>
    <w:rsid w:val="00F66ABB"/>
    <w:pPr>
      <w:spacing w:before="120" w:after="0"/>
      <w:outlineLvl w:val="0"/>
      <w:pPrChange w:id="4" w:author="Yves Andre Prevost" w:date="2012-06-29T16:20:00Z">
        <w:pPr>
          <w:widowControl w:val="0"/>
          <w:spacing w:before="600" w:after="240"/>
          <w:jc w:val="center"/>
          <w:outlineLvl w:val="0"/>
        </w:pPr>
      </w:pPrChange>
    </w:pPr>
    <w:rPr>
      <w:sz w:val="28"/>
      <w:rPrChange w:id="4" w:author="Yves Andre Prevost" w:date="2012-06-29T16:20:00Z">
        <w:rPr>
          <w:rFonts w:ascii="Times New Roman Bold" w:eastAsiaTheme="majorEastAsia" w:hAnsi="Times New Roman Bold"/>
          <w:b/>
          <w:bCs/>
          <w:smallCaps/>
          <w:sz w:val="28"/>
          <w:szCs w:val="26"/>
          <w:lang w:val="en-US" w:eastAsia="en-US" w:bidi="ar-SA"/>
        </w:rPr>
      </w:rPrChange>
    </w:rPr>
  </w:style>
  <w:style w:type="paragraph" w:styleId="Heading2">
    <w:name w:val="heading 2"/>
    <w:basedOn w:val="Normal"/>
    <w:next w:val="Normal"/>
    <w:link w:val="Heading2Char1"/>
    <w:uiPriority w:val="9"/>
    <w:unhideWhenUsed/>
    <w:qFormat/>
    <w:rsid w:val="00F66ABB"/>
    <w:pPr>
      <w:spacing w:before="600" w:after="240"/>
      <w:jc w:val="center"/>
      <w:outlineLvl w:val="1"/>
      <w:pPrChange w:id="5" w:author="Yves Andre Prevost" w:date="2012-06-29T16:17:00Z">
        <w:pPr>
          <w:widowControl w:val="0"/>
          <w:spacing w:before="600" w:after="240"/>
          <w:jc w:val="center"/>
          <w:outlineLvl w:val="1"/>
        </w:pPr>
      </w:pPrChange>
    </w:pPr>
    <w:rPr>
      <w:rFonts w:ascii="Times New Roman Bold" w:eastAsiaTheme="majorEastAsia" w:hAnsi="Times New Roman Bold" w:cs="Times New Roman"/>
      <w:b/>
      <w:bCs/>
      <w:smallCaps/>
      <w:szCs w:val="26"/>
      <w:rPrChange w:id="5" w:author="Yves Andre Prevost" w:date="2012-06-29T16:17:00Z">
        <w:rPr>
          <w:rFonts w:ascii="Times New Roman Bold" w:eastAsiaTheme="majorEastAsia" w:hAnsi="Times New Roman Bold"/>
          <w:b/>
          <w:bCs/>
          <w:sz w:val="24"/>
          <w:szCs w:val="26"/>
          <w:lang w:val="en-US" w:eastAsia="en-US" w:bidi="ar-SA"/>
        </w:rPr>
      </w:rPrChange>
    </w:rPr>
  </w:style>
  <w:style w:type="paragraph" w:styleId="Heading3">
    <w:name w:val="heading 3"/>
    <w:basedOn w:val="Normal"/>
    <w:next w:val="Normal"/>
    <w:link w:val="Heading3Char1"/>
    <w:uiPriority w:val="9"/>
    <w:unhideWhenUsed/>
    <w:qFormat/>
    <w:rsid w:val="00F66ABB"/>
    <w:pPr>
      <w:spacing w:before="360" w:after="120"/>
      <w:jc w:val="center"/>
      <w:outlineLvl w:val="2"/>
      <w:pPrChange w:id="6" w:author="Yves Andre Prevost" w:date="2012-06-29T16:21:00Z">
        <w:pPr>
          <w:widowControl w:val="0"/>
          <w:spacing w:before="360" w:after="120"/>
          <w:jc w:val="center"/>
          <w:outlineLvl w:val="2"/>
        </w:pPr>
      </w:pPrChange>
    </w:pPr>
    <w:rPr>
      <w:b/>
      <w:rPrChange w:id="6" w:author="Yves Andre Prevost" w:date="2012-06-29T16:21:00Z">
        <w:rPr>
          <w:rFonts w:eastAsiaTheme="minorHAnsi" w:cstheme="minorBidi"/>
          <w:sz w:val="24"/>
          <w:szCs w:val="22"/>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88C"/>
    <w:pPr>
      <w:spacing w:before="120" w:after="120"/>
      <w:ind w:left="720"/>
      <w:contextualSpacing/>
    </w:pPr>
  </w:style>
  <w:style w:type="paragraph" w:styleId="NormalWeb">
    <w:name w:val="Normal (Web)"/>
    <w:basedOn w:val="Normal"/>
    <w:uiPriority w:val="99"/>
    <w:unhideWhenUsed/>
    <w:rsid w:val="00CD5B5B"/>
    <w:pPr>
      <w:spacing w:before="100" w:beforeAutospacing="1" w:after="100" w:afterAutospacing="1"/>
    </w:pPr>
    <w:rPr>
      <w:rFonts w:eastAsia="Times New Roman" w:cs="Times New Roman"/>
      <w:szCs w:val="24"/>
    </w:rPr>
  </w:style>
  <w:style w:type="table" w:styleId="TableGrid">
    <w:name w:val="Table Grid"/>
    <w:basedOn w:val="TableNormal"/>
    <w:uiPriority w:val="59"/>
    <w:rsid w:val="008C2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032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1064D"/>
    <w:pPr>
      <w:tabs>
        <w:tab w:val="center" w:pos="4680"/>
        <w:tab w:val="right" w:pos="9360"/>
      </w:tabs>
    </w:pPr>
  </w:style>
  <w:style w:type="character" w:customStyle="1" w:styleId="HeaderChar">
    <w:name w:val="Header Char"/>
    <w:basedOn w:val="DefaultParagraphFont"/>
    <w:link w:val="Header"/>
    <w:uiPriority w:val="99"/>
    <w:rsid w:val="00C1064D"/>
  </w:style>
  <w:style w:type="paragraph" w:styleId="Footer">
    <w:name w:val="footer"/>
    <w:basedOn w:val="Normal"/>
    <w:link w:val="FooterChar"/>
    <w:uiPriority w:val="99"/>
    <w:unhideWhenUsed/>
    <w:rsid w:val="00C1064D"/>
    <w:pPr>
      <w:tabs>
        <w:tab w:val="center" w:pos="4680"/>
        <w:tab w:val="right" w:pos="9360"/>
      </w:tabs>
    </w:pPr>
  </w:style>
  <w:style w:type="character" w:customStyle="1" w:styleId="FooterChar">
    <w:name w:val="Footer Char"/>
    <w:basedOn w:val="DefaultParagraphFont"/>
    <w:link w:val="Footer"/>
    <w:uiPriority w:val="99"/>
    <w:rsid w:val="00C1064D"/>
  </w:style>
  <w:style w:type="character" w:styleId="Hyperlink">
    <w:name w:val="Hyperlink"/>
    <w:basedOn w:val="DefaultParagraphFont"/>
    <w:uiPriority w:val="99"/>
    <w:unhideWhenUsed/>
    <w:rsid w:val="002C4AEE"/>
    <w:rPr>
      <w:color w:val="0000FF" w:themeColor="hyperlink"/>
      <w:u w:val="single"/>
    </w:rPr>
  </w:style>
  <w:style w:type="paragraph" w:styleId="BalloonText">
    <w:name w:val="Balloon Text"/>
    <w:basedOn w:val="Normal"/>
    <w:link w:val="BalloonTextChar"/>
    <w:uiPriority w:val="99"/>
    <w:semiHidden/>
    <w:unhideWhenUsed/>
    <w:rsid w:val="00115A27"/>
    <w:rPr>
      <w:rFonts w:ascii="Tahoma" w:hAnsi="Tahoma" w:cs="Tahoma"/>
      <w:sz w:val="16"/>
      <w:szCs w:val="16"/>
    </w:rPr>
  </w:style>
  <w:style w:type="character" w:customStyle="1" w:styleId="BalloonTextChar">
    <w:name w:val="Balloon Text Char"/>
    <w:basedOn w:val="DefaultParagraphFont"/>
    <w:link w:val="BalloonText"/>
    <w:uiPriority w:val="99"/>
    <w:semiHidden/>
    <w:rsid w:val="00115A27"/>
    <w:rPr>
      <w:rFonts w:ascii="Tahoma" w:hAnsi="Tahoma" w:cs="Tahoma"/>
      <w:sz w:val="16"/>
      <w:szCs w:val="16"/>
    </w:rPr>
  </w:style>
  <w:style w:type="character" w:styleId="CommentReference">
    <w:name w:val="annotation reference"/>
    <w:basedOn w:val="DefaultParagraphFont"/>
    <w:uiPriority w:val="99"/>
    <w:semiHidden/>
    <w:unhideWhenUsed/>
    <w:rsid w:val="00115A27"/>
    <w:rPr>
      <w:sz w:val="16"/>
      <w:szCs w:val="16"/>
    </w:rPr>
  </w:style>
  <w:style w:type="paragraph" w:styleId="CommentText">
    <w:name w:val="annotation text"/>
    <w:basedOn w:val="Normal"/>
    <w:link w:val="CommentTextChar"/>
    <w:uiPriority w:val="99"/>
    <w:semiHidden/>
    <w:unhideWhenUsed/>
    <w:rsid w:val="00115A27"/>
    <w:rPr>
      <w:sz w:val="20"/>
      <w:szCs w:val="20"/>
    </w:rPr>
  </w:style>
  <w:style w:type="character" w:customStyle="1" w:styleId="CommentTextChar">
    <w:name w:val="Comment Text Char"/>
    <w:basedOn w:val="DefaultParagraphFont"/>
    <w:link w:val="CommentText"/>
    <w:uiPriority w:val="99"/>
    <w:semiHidden/>
    <w:rsid w:val="00115A27"/>
    <w:rPr>
      <w:sz w:val="20"/>
      <w:szCs w:val="20"/>
    </w:rPr>
  </w:style>
  <w:style w:type="paragraph" w:styleId="CommentSubject">
    <w:name w:val="annotation subject"/>
    <w:basedOn w:val="CommentText"/>
    <w:next w:val="CommentText"/>
    <w:link w:val="CommentSubjectChar"/>
    <w:uiPriority w:val="99"/>
    <w:semiHidden/>
    <w:unhideWhenUsed/>
    <w:rsid w:val="00115A27"/>
    <w:rPr>
      <w:b/>
      <w:bCs/>
    </w:rPr>
  </w:style>
  <w:style w:type="character" w:customStyle="1" w:styleId="CommentSubjectChar">
    <w:name w:val="Comment Subject Char"/>
    <w:basedOn w:val="CommentTextChar"/>
    <w:link w:val="CommentSubject"/>
    <w:uiPriority w:val="99"/>
    <w:semiHidden/>
    <w:rsid w:val="00115A27"/>
    <w:rPr>
      <w:b/>
      <w:bCs/>
      <w:sz w:val="20"/>
      <w:szCs w:val="20"/>
    </w:rPr>
  </w:style>
  <w:style w:type="paragraph" w:styleId="Revision">
    <w:name w:val="Revision"/>
    <w:hidden/>
    <w:uiPriority w:val="99"/>
    <w:semiHidden/>
    <w:rsid w:val="00115A27"/>
    <w:pPr>
      <w:spacing w:after="0" w:line="240" w:lineRule="auto"/>
    </w:pPr>
  </w:style>
  <w:style w:type="paragraph" w:styleId="FootnoteText">
    <w:name w:val="footnote text"/>
    <w:basedOn w:val="Normal"/>
    <w:link w:val="FootnoteTextChar"/>
    <w:uiPriority w:val="99"/>
    <w:unhideWhenUsed/>
    <w:rsid w:val="00034174"/>
    <w:rPr>
      <w:sz w:val="20"/>
      <w:szCs w:val="20"/>
    </w:rPr>
  </w:style>
  <w:style w:type="character" w:customStyle="1" w:styleId="FootnoteTextChar">
    <w:name w:val="Footnote Text Char"/>
    <w:basedOn w:val="DefaultParagraphFont"/>
    <w:link w:val="FootnoteText"/>
    <w:uiPriority w:val="99"/>
    <w:rsid w:val="00034174"/>
    <w:rPr>
      <w:sz w:val="20"/>
      <w:szCs w:val="20"/>
    </w:rPr>
  </w:style>
  <w:style w:type="character" w:styleId="FootnoteReference">
    <w:name w:val="footnote reference"/>
    <w:basedOn w:val="DefaultParagraphFont"/>
    <w:uiPriority w:val="99"/>
    <w:semiHidden/>
    <w:unhideWhenUsed/>
    <w:rsid w:val="00034174"/>
    <w:rPr>
      <w:vertAlign w:val="superscript"/>
    </w:rPr>
  </w:style>
  <w:style w:type="character" w:styleId="Strong">
    <w:name w:val="Strong"/>
    <w:basedOn w:val="DefaultParagraphFont"/>
    <w:uiPriority w:val="22"/>
    <w:qFormat/>
    <w:rsid w:val="007D530A"/>
    <w:rPr>
      <w:b/>
      <w:bCs/>
    </w:rPr>
  </w:style>
  <w:style w:type="character" w:customStyle="1" w:styleId="Heading3Char">
    <w:name w:val="Heading 3 Char"/>
    <w:basedOn w:val="DefaultParagraphFont"/>
    <w:link w:val="Heading3"/>
    <w:uiPriority w:val="9"/>
    <w:rsid w:val="0020458F"/>
    <w:rPr>
      <w:rFonts w:ascii="Times New Roman" w:eastAsia="Times New Roman" w:hAnsi="Times New Roman" w:cs="Times New Roman"/>
      <w:b/>
      <w:color w:val="000000"/>
      <w:sz w:val="24"/>
      <w:szCs w:val="24"/>
    </w:rPr>
  </w:style>
  <w:style w:type="paragraph" w:styleId="BodyText">
    <w:name w:val="Body Text"/>
    <w:basedOn w:val="Normal"/>
    <w:link w:val="BodyTextChar"/>
    <w:uiPriority w:val="99"/>
    <w:unhideWhenUsed/>
    <w:rsid w:val="00F66ABB"/>
    <w:pPr>
      <w:spacing w:before="120" w:after="120"/>
      <w:jc w:val="both"/>
      <w:pPrChange w:id="7" w:author="Yves Andre Prevost" w:date="2012-06-29T16:19:00Z">
        <w:pPr>
          <w:widowControl w:val="0"/>
          <w:spacing w:before="180" w:after="180"/>
          <w:jc w:val="both"/>
        </w:pPr>
      </w:pPrChange>
    </w:pPr>
    <w:rPr>
      <w:rPrChange w:id="7" w:author="Yves Andre Prevost" w:date="2012-06-29T16:19:00Z">
        <w:rPr>
          <w:rFonts w:eastAsiaTheme="minorHAnsi" w:cstheme="minorBidi"/>
          <w:sz w:val="24"/>
          <w:szCs w:val="22"/>
          <w:lang w:val="en-US" w:eastAsia="en-US" w:bidi="ar-SA"/>
        </w:rPr>
      </w:rPrChange>
    </w:rPr>
  </w:style>
  <w:style w:type="character" w:customStyle="1" w:styleId="BodyTextChar">
    <w:name w:val="Body Text Char"/>
    <w:basedOn w:val="DefaultParagraphFont"/>
    <w:link w:val="BodyText"/>
    <w:uiPriority w:val="99"/>
    <w:rsid w:val="00F66ABB"/>
    <w:rPr>
      <w:rFonts w:ascii="Times New Roman" w:hAnsi="Times New Roman"/>
      <w:sz w:val="24"/>
    </w:rPr>
  </w:style>
  <w:style w:type="paragraph" w:styleId="ListBullet">
    <w:name w:val="List Bullet"/>
    <w:basedOn w:val="Normal"/>
    <w:uiPriority w:val="99"/>
    <w:unhideWhenUsed/>
    <w:rsid w:val="0090488C"/>
    <w:pPr>
      <w:numPr>
        <w:numId w:val="35"/>
      </w:numPr>
      <w:ind w:left="568" w:hanging="284"/>
      <w:contextualSpacing/>
    </w:pPr>
  </w:style>
  <w:style w:type="paragraph" w:customStyle="1" w:styleId="Style1">
    <w:name w:val="Style1"/>
    <w:basedOn w:val="NormalWeb"/>
    <w:qFormat/>
    <w:rsid w:val="007B4619"/>
    <w:pPr>
      <w:spacing w:after="240" w:afterAutospacing="0"/>
      <w:jc w:val="center"/>
    </w:pPr>
    <w:rPr>
      <w:rFonts w:ascii="Times New Roman Bold" w:hAnsi="Times New Roman Bold"/>
      <w:b/>
      <w:color w:val="000000"/>
    </w:rPr>
  </w:style>
  <w:style w:type="character" w:styleId="SubtleReference">
    <w:name w:val="Subtle Reference"/>
    <w:basedOn w:val="DefaultParagraphFont"/>
    <w:uiPriority w:val="31"/>
    <w:qFormat/>
    <w:rsid w:val="001348C0"/>
    <w:rPr>
      <w:smallCaps/>
      <w:color w:val="C0504D" w:themeColor="accent2"/>
      <w:u w:val="single"/>
    </w:rPr>
  </w:style>
  <w:style w:type="character" w:styleId="IntenseReference">
    <w:name w:val="Intense Reference"/>
    <w:basedOn w:val="DefaultParagraphFont"/>
    <w:uiPriority w:val="32"/>
    <w:qFormat/>
    <w:rsid w:val="001348C0"/>
    <w:rPr>
      <w:b/>
      <w:bCs/>
      <w:smallCaps/>
      <w:color w:val="C0504D" w:themeColor="accent2"/>
      <w:spacing w:val="5"/>
      <w:u w:val="single"/>
    </w:rPr>
  </w:style>
  <w:style w:type="character" w:styleId="BookTitle">
    <w:name w:val="Book Title"/>
    <w:basedOn w:val="DefaultParagraphFont"/>
    <w:uiPriority w:val="33"/>
    <w:qFormat/>
    <w:rsid w:val="001348C0"/>
    <w:rPr>
      <w:b/>
      <w:bCs/>
      <w:smallCaps/>
      <w:spacing w:val="5"/>
    </w:rPr>
  </w:style>
  <w:style w:type="paragraph" w:styleId="ListNumber">
    <w:name w:val="List Number"/>
    <w:basedOn w:val="Normal"/>
    <w:link w:val="ListNumberChar"/>
    <w:uiPriority w:val="99"/>
    <w:unhideWhenUsed/>
    <w:rsid w:val="0090488C"/>
    <w:pPr>
      <w:numPr>
        <w:numId w:val="40"/>
      </w:numPr>
      <w:contextualSpacing/>
    </w:pPr>
  </w:style>
  <w:style w:type="character" w:customStyle="1" w:styleId="ListNumberChar">
    <w:name w:val="List Number Char"/>
    <w:basedOn w:val="DefaultParagraphFont"/>
    <w:link w:val="ListNumber"/>
    <w:uiPriority w:val="99"/>
    <w:rsid w:val="00512867"/>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20458F"/>
    <w:rPr>
      <w:rFonts w:ascii="Times New Roman Bold" w:hAnsi="Times New Roman Bold" w:cs="Times New Roman"/>
      <w:b/>
      <w:smallCaps/>
      <w:sz w:val="24"/>
      <w:szCs w:val="24"/>
    </w:rPr>
  </w:style>
  <w:style w:type="paragraph" w:styleId="EndnoteText">
    <w:name w:val="endnote text"/>
    <w:basedOn w:val="Normal"/>
    <w:link w:val="EndnoteTextChar"/>
    <w:uiPriority w:val="99"/>
    <w:semiHidden/>
    <w:unhideWhenUsed/>
    <w:rsid w:val="00464AE5"/>
    <w:rPr>
      <w:sz w:val="20"/>
      <w:szCs w:val="20"/>
    </w:rPr>
  </w:style>
  <w:style w:type="character" w:customStyle="1" w:styleId="EndnoteTextChar">
    <w:name w:val="Endnote Text Char"/>
    <w:basedOn w:val="DefaultParagraphFont"/>
    <w:link w:val="EndnoteText"/>
    <w:uiPriority w:val="99"/>
    <w:semiHidden/>
    <w:rsid w:val="00464AE5"/>
    <w:rPr>
      <w:rFonts w:ascii="Times New Roman" w:hAnsi="Times New Roman"/>
      <w:sz w:val="20"/>
      <w:szCs w:val="20"/>
    </w:rPr>
  </w:style>
  <w:style w:type="character" w:styleId="EndnoteReference">
    <w:name w:val="endnote reference"/>
    <w:basedOn w:val="DefaultParagraphFont"/>
    <w:uiPriority w:val="99"/>
    <w:semiHidden/>
    <w:unhideWhenUsed/>
    <w:rsid w:val="00464AE5"/>
    <w:rPr>
      <w:vertAlign w:val="superscript"/>
    </w:rPr>
  </w:style>
  <w:style w:type="paragraph" w:styleId="Subtitle">
    <w:name w:val="Subtitle"/>
    <w:basedOn w:val="Normal"/>
    <w:link w:val="SubtitleChar"/>
    <w:qFormat/>
    <w:rsid w:val="009A1544"/>
    <w:pPr>
      <w:widowControl/>
      <w:jc w:val="center"/>
    </w:pPr>
    <w:rPr>
      <w:rFonts w:ascii="Tahoma" w:eastAsia="Times New Roman" w:hAnsi="Tahoma" w:cs="Courier New"/>
      <w:b/>
      <w:sz w:val="28"/>
      <w:szCs w:val="20"/>
    </w:rPr>
  </w:style>
  <w:style w:type="character" w:customStyle="1" w:styleId="SubtitleChar">
    <w:name w:val="Subtitle Char"/>
    <w:basedOn w:val="DefaultParagraphFont"/>
    <w:link w:val="Subtitle"/>
    <w:rsid w:val="009A1544"/>
    <w:rPr>
      <w:rFonts w:ascii="Tahoma" w:eastAsia="Times New Roman" w:hAnsi="Tahoma" w:cs="Courier New"/>
      <w:b/>
      <w:sz w:val="28"/>
      <w:szCs w:val="20"/>
    </w:rPr>
  </w:style>
  <w:style w:type="character" w:customStyle="1" w:styleId="Heading2Char1">
    <w:name w:val="Heading 2 Char1"/>
    <w:basedOn w:val="DefaultParagraphFont"/>
    <w:link w:val="Heading2"/>
    <w:uiPriority w:val="9"/>
    <w:rsid w:val="00F66ABB"/>
    <w:rPr>
      <w:rFonts w:ascii="Times New Roman Bold" w:eastAsiaTheme="majorEastAsia" w:hAnsi="Times New Roman Bold" w:cs="Times New Roman"/>
      <w:b/>
      <w:bCs/>
      <w:smallCaps/>
      <w:sz w:val="24"/>
      <w:szCs w:val="26"/>
    </w:rPr>
  </w:style>
  <w:style w:type="character" w:customStyle="1" w:styleId="Heading3Char1">
    <w:name w:val="Heading 3 Char1"/>
    <w:basedOn w:val="DefaultParagraphFont"/>
    <w:link w:val="Heading3"/>
    <w:uiPriority w:val="9"/>
    <w:rsid w:val="00F66ABB"/>
    <w:rPr>
      <w:rFonts w:ascii="Times New Roman" w:hAnsi="Times New Roman"/>
      <w:b/>
      <w:sz w:val="24"/>
    </w:rPr>
  </w:style>
  <w:style w:type="character" w:customStyle="1" w:styleId="Heading1Char">
    <w:name w:val="Heading 1 Char"/>
    <w:basedOn w:val="DefaultParagraphFont"/>
    <w:link w:val="Heading1"/>
    <w:uiPriority w:val="9"/>
    <w:rsid w:val="00F66ABB"/>
    <w:rPr>
      <w:rFonts w:ascii="Times New Roman Bold" w:eastAsiaTheme="majorEastAsia" w:hAnsi="Times New Roman Bold" w:cs="Times New Roman"/>
      <w:b/>
      <w:bCs/>
      <w:smallCaps/>
      <w:sz w:val="28"/>
      <w:szCs w:val="26"/>
    </w:rPr>
  </w:style>
</w:styles>
</file>

<file path=word/webSettings.xml><?xml version="1.0" encoding="utf-8"?>
<w:webSettings xmlns:r="http://schemas.openxmlformats.org/officeDocument/2006/relationships" xmlns:w="http://schemas.openxmlformats.org/wordprocessingml/2006/main">
  <w:divs>
    <w:div w:id="368993004">
      <w:bodyDiv w:val="1"/>
      <w:marLeft w:val="0"/>
      <w:marRight w:val="0"/>
      <w:marTop w:val="0"/>
      <w:marBottom w:val="0"/>
      <w:divBdr>
        <w:top w:val="none" w:sz="0" w:space="0" w:color="auto"/>
        <w:left w:val="none" w:sz="0" w:space="0" w:color="auto"/>
        <w:bottom w:val="none" w:sz="0" w:space="0" w:color="auto"/>
        <w:right w:val="none" w:sz="0" w:space="0" w:color="auto"/>
      </w:divBdr>
      <w:divsChild>
        <w:div w:id="140658714">
          <w:marLeft w:val="432"/>
          <w:marRight w:val="0"/>
          <w:marTop w:val="125"/>
          <w:marBottom w:val="0"/>
          <w:divBdr>
            <w:top w:val="none" w:sz="0" w:space="0" w:color="auto"/>
            <w:left w:val="none" w:sz="0" w:space="0" w:color="auto"/>
            <w:bottom w:val="none" w:sz="0" w:space="0" w:color="auto"/>
            <w:right w:val="none" w:sz="0" w:space="0" w:color="auto"/>
          </w:divBdr>
        </w:div>
        <w:div w:id="670529905">
          <w:marLeft w:val="0"/>
          <w:marRight w:val="0"/>
          <w:marTop w:val="125"/>
          <w:marBottom w:val="0"/>
          <w:divBdr>
            <w:top w:val="none" w:sz="0" w:space="0" w:color="auto"/>
            <w:left w:val="none" w:sz="0" w:space="0" w:color="auto"/>
            <w:bottom w:val="none" w:sz="0" w:space="0" w:color="auto"/>
            <w:right w:val="none" w:sz="0" w:space="0" w:color="auto"/>
          </w:divBdr>
        </w:div>
        <w:div w:id="1013798302">
          <w:marLeft w:val="432"/>
          <w:marRight w:val="0"/>
          <w:marTop w:val="125"/>
          <w:marBottom w:val="0"/>
          <w:divBdr>
            <w:top w:val="none" w:sz="0" w:space="0" w:color="auto"/>
            <w:left w:val="none" w:sz="0" w:space="0" w:color="auto"/>
            <w:bottom w:val="none" w:sz="0" w:space="0" w:color="auto"/>
            <w:right w:val="none" w:sz="0" w:space="0" w:color="auto"/>
          </w:divBdr>
        </w:div>
        <w:div w:id="1369914819">
          <w:marLeft w:val="432"/>
          <w:marRight w:val="0"/>
          <w:marTop w:val="125"/>
          <w:marBottom w:val="0"/>
          <w:divBdr>
            <w:top w:val="none" w:sz="0" w:space="0" w:color="auto"/>
            <w:left w:val="none" w:sz="0" w:space="0" w:color="auto"/>
            <w:bottom w:val="none" w:sz="0" w:space="0" w:color="auto"/>
            <w:right w:val="none" w:sz="0" w:space="0" w:color="auto"/>
          </w:divBdr>
        </w:div>
      </w:divsChild>
    </w:div>
    <w:div w:id="490950348">
      <w:bodyDiv w:val="1"/>
      <w:marLeft w:val="0"/>
      <w:marRight w:val="0"/>
      <w:marTop w:val="0"/>
      <w:marBottom w:val="0"/>
      <w:divBdr>
        <w:top w:val="none" w:sz="0" w:space="0" w:color="auto"/>
        <w:left w:val="none" w:sz="0" w:space="0" w:color="auto"/>
        <w:bottom w:val="none" w:sz="0" w:space="0" w:color="auto"/>
        <w:right w:val="none" w:sz="0" w:space="0" w:color="auto"/>
      </w:divBdr>
      <w:divsChild>
        <w:div w:id="71006016">
          <w:marLeft w:val="432"/>
          <w:marRight w:val="0"/>
          <w:marTop w:val="96"/>
          <w:marBottom w:val="0"/>
          <w:divBdr>
            <w:top w:val="none" w:sz="0" w:space="0" w:color="auto"/>
            <w:left w:val="none" w:sz="0" w:space="0" w:color="auto"/>
            <w:bottom w:val="none" w:sz="0" w:space="0" w:color="auto"/>
            <w:right w:val="none" w:sz="0" w:space="0" w:color="auto"/>
          </w:divBdr>
        </w:div>
        <w:div w:id="668484557">
          <w:marLeft w:val="1008"/>
          <w:marRight w:val="0"/>
          <w:marTop w:val="96"/>
          <w:marBottom w:val="0"/>
          <w:divBdr>
            <w:top w:val="none" w:sz="0" w:space="0" w:color="auto"/>
            <w:left w:val="none" w:sz="0" w:space="0" w:color="auto"/>
            <w:bottom w:val="none" w:sz="0" w:space="0" w:color="auto"/>
            <w:right w:val="none" w:sz="0" w:space="0" w:color="auto"/>
          </w:divBdr>
        </w:div>
        <w:div w:id="907806189">
          <w:marLeft w:val="1008"/>
          <w:marRight w:val="0"/>
          <w:marTop w:val="96"/>
          <w:marBottom w:val="0"/>
          <w:divBdr>
            <w:top w:val="none" w:sz="0" w:space="0" w:color="auto"/>
            <w:left w:val="none" w:sz="0" w:space="0" w:color="auto"/>
            <w:bottom w:val="none" w:sz="0" w:space="0" w:color="auto"/>
            <w:right w:val="none" w:sz="0" w:space="0" w:color="auto"/>
          </w:divBdr>
        </w:div>
        <w:div w:id="1199271464">
          <w:marLeft w:val="432"/>
          <w:marRight w:val="0"/>
          <w:marTop w:val="86"/>
          <w:marBottom w:val="0"/>
          <w:divBdr>
            <w:top w:val="none" w:sz="0" w:space="0" w:color="auto"/>
            <w:left w:val="none" w:sz="0" w:space="0" w:color="auto"/>
            <w:bottom w:val="none" w:sz="0" w:space="0" w:color="auto"/>
            <w:right w:val="none" w:sz="0" w:space="0" w:color="auto"/>
          </w:divBdr>
        </w:div>
        <w:div w:id="1308516873">
          <w:marLeft w:val="432"/>
          <w:marRight w:val="0"/>
          <w:marTop w:val="96"/>
          <w:marBottom w:val="0"/>
          <w:divBdr>
            <w:top w:val="none" w:sz="0" w:space="0" w:color="auto"/>
            <w:left w:val="none" w:sz="0" w:space="0" w:color="auto"/>
            <w:bottom w:val="none" w:sz="0" w:space="0" w:color="auto"/>
            <w:right w:val="none" w:sz="0" w:space="0" w:color="auto"/>
          </w:divBdr>
        </w:div>
        <w:div w:id="1630090956">
          <w:marLeft w:val="1008"/>
          <w:marRight w:val="0"/>
          <w:marTop w:val="96"/>
          <w:marBottom w:val="0"/>
          <w:divBdr>
            <w:top w:val="none" w:sz="0" w:space="0" w:color="auto"/>
            <w:left w:val="none" w:sz="0" w:space="0" w:color="auto"/>
            <w:bottom w:val="none" w:sz="0" w:space="0" w:color="auto"/>
            <w:right w:val="none" w:sz="0" w:space="0" w:color="auto"/>
          </w:divBdr>
        </w:div>
        <w:div w:id="2040860775">
          <w:marLeft w:val="432"/>
          <w:marRight w:val="0"/>
          <w:marTop w:val="96"/>
          <w:marBottom w:val="0"/>
          <w:divBdr>
            <w:top w:val="none" w:sz="0" w:space="0" w:color="auto"/>
            <w:left w:val="none" w:sz="0" w:space="0" w:color="auto"/>
            <w:bottom w:val="none" w:sz="0" w:space="0" w:color="auto"/>
            <w:right w:val="none" w:sz="0" w:space="0" w:color="auto"/>
          </w:divBdr>
        </w:div>
      </w:divsChild>
    </w:div>
    <w:div w:id="793258645">
      <w:bodyDiv w:val="1"/>
      <w:marLeft w:val="0"/>
      <w:marRight w:val="0"/>
      <w:marTop w:val="0"/>
      <w:marBottom w:val="0"/>
      <w:divBdr>
        <w:top w:val="none" w:sz="0" w:space="0" w:color="auto"/>
        <w:left w:val="none" w:sz="0" w:space="0" w:color="auto"/>
        <w:bottom w:val="none" w:sz="0" w:space="0" w:color="auto"/>
        <w:right w:val="none" w:sz="0" w:space="0" w:color="auto"/>
      </w:divBdr>
      <w:divsChild>
        <w:div w:id="2086566762">
          <w:marLeft w:val="432"/>
          <w:marRight w:val="0"/>
          <w:marTop w:val="106"/>
          <w:marBottom w:val="0"/>
          <w:divBdr>
            <w:top w:val="none" w:sz="0" w:space="0" w:color="auto"/>
            <w:left w:val="none" w:sz="0" w:space="0" w:color="auto"/>
            <w:bottom w:val="none" w:sz="0" w:space="0" w:color="auto"/>
            <w:right w:val="none" w:sz="0" w:space="0" w:color="auto"/>
          </w:divBdr>
        </w:div>
      </w:divsChild>
    </w:div>
    <w:div w:id="819465226">
      <w:bodyDiv w:val="1"/>
      <w:marLeft w:val="0"/>
      <w:marRight w:val="0"/>
      <w:marTop w:val="0"/>
      <w:marBottom w:val="0"/>
      <w:divBdr>
        <w:top w:val="none" w:sz="0" w:space="0" w:color="auto"/>
        <w:left w:val="none" w:sz="0" w:space="0" w:color="auto"/>
        <w:bottom w:val="none" w:sz="0" w:space="0" w:color="auto"/>
        <w:right w:val="none" w:sz="0" w:space="0" w:color="auto"/>
      </w:divBdr>
      <w:divsChild>
        <w:div w:id="189955636">
          <w:marLeft w:val="432"/>
          <w:marRight w:val="0"/>
          <w:marTop w:val="115"/>
          <w:marBottom w:val="0"/>
          <w:divBdr>
            <w:top w:val="none" w:sz="0" w:space="0" w:color="auto"/>
            <w:left w:val="none" w:sz="0" w:space="0" w:color="auto"/>
            <w:bottom w:val="none" w:sz="0" w:space="0" w:color="auto"/>
            <w:right w:val="none" w:sz="0" w:space="0" w:color="auto"/>
          </w:divBdr>
        </w:div>
        <w:div w:id="641887094">
          <w:marLeft w:val="432"/>
          <w:marRight w:val="0"/>
          <w:marTop w:val="115"/>
          <w:marBottom w:val="0"/>
          <w:divBdr>
            <w:top w:val="none" w:sz="0" w:space="0" w:color="auto"/>
            <w:left w:val="none" w:sz="0" w:space="0" w:color="auto"/>
            <w:bottom w:val="none" w:sz="0" w:space="0" w:color="auto"/>
            <w:right w:val="none" w:sz="0" w:space="0" w:color="auto"/>
          </w:divBdr>
        </w:div>
        <w:div w:id="1201742687">
          <w:marLeft w:val="432"/>
          <w:marRight w:val="0"/>
          <w:marTop w:val="115"/>
          <w:marBottom w:val="0"/>
          <w:divBdr>
            <w:top w:val="none" w:sz="0" w:space="0" w:color="auto"/>
            <w:left w:val="none" w:sz="0" w:space="0" w:color="auto"/>
            <w:bottom w:val="none" w:sz="0" w:space="0" w:color="auto"/>
            <w:right w:val="none" w:sz="0" w:space="0" w:color="auto"/>
          </w:divBdr>
        </w:div>
        <w:div w:id="1509245867">
          <w:marLeft w:val="432"/>
          <w:marRight w:val="0"/>
          <w:marTop w:val="115"/>
          <w:marBottom w:val="0"/>
          <w:divBdr>
            <w:top w:val="none" w:sz="0" w:space="0" w:color="auto"/>
            <w:left w:val="none" w:sz="0" w:space="0" w:color="auto"/>
            <w:bottom w:val="none" w:sz="0" w:space="0" w:color="auto"/>
            <w:right w:val="none" w:sz="0" w:space="0" w:color="auto"/>
          </w:divBdr>
        </w:div>
        <w:div w:id="1680347189">
          <w:marLeft w:val="432"/>
          <w:marRight w:val="0"/>
          <w:marTop w:val="115"/>
          <w:marBottom w:val="0"/>
          <w:divBdr>
            <w:top w:val="none" w:sz="0" w:space="0" w:color="auto"/>
            <w:left w:val="none" w:sz="0" w:space="0" w:color="auto"/>
            <w:bottom w:val="none" w:sz="0" w:space="0" w:color="auto"/>
            <w:right w:val="none" w:sz="0" w:space="0" w:color="auto"/>
          </w:divBdr>
        </w:div>
      </w:divsChild>
    </w:div>
    <w:div w:id="1123579707">
      <w:bodyDiv w:val="1"/>
      <w:marLeft w:val="0"/>
      <w:marRight w:val="0"/>
      <w:marTop w:val="0"/>
      <w:marBottom w:val="0"/>
      <w:divBdr>
        <w:top w:val="none" w:sz="0" w:space="0" w:color="auto"/>
        <w:left w:val="none" w:sz="0" w:space="0" w:color="auto"/>
        <w:bottom w:val="none" w:sz="0" w:space="0" w:color="auto"/>
        <w:right w:val="none" w:sz="0" w:space="0" w:color="auto"/>
      </w:divBdr>
      <w:divsChild>
        <w:div w:id="1196694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5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89280">
      <w:bodyDiv w:val="1"/>
      <w:marLeft w:val="0"/>
      <w:marRight w:val="0"/>
      <w:marTop w:val="0"/>
      <w:marBottom w:val="0"/>
      <w:divBdr>
        <w:top w:val="none" w:sz="0" w:space="0" w:color="auto"/>
        <w:left w:val="none" w:sz="0" w:space="0" w:color="auto"/>
        <w:bottom w:val="none" w:sz="0" w:space="0" w:color="auto"/>
        <w:right w:val="none" w:sz="0" w:space="0" w:color="auto"/>
      </w:divBdr>
    </w:div>
    <w:div w:id="1250456923">
      <w:bodyDiv w:val="1"/>
      <w:marLeft w:val="0"/>
      <w:marRight w:val="0"/>
      <w:marTop w:val="0"/>
      <w:marBottom w:val="0"/>
      <w:divBdr>
        <w:top w:val="none" w:sz="0" w:space="0" w:color="auto"/>
        <w:left w:val="none" w:sz="0" w:space="0" w:color="auto"/>
        <w:bottom w:val="none" w:sz="0" w:space="0" w:color="auto"/>
        <w:right w:val="none" w:sz="0" w:space="0" w:color="auto"/>
      </w:divBdr>
    </w:div>
    <w:div w:id="1395661922">
      <w:bodyDiv w:val="1"/>
      <w:marLeft w:val="0"/>
      <w:marRight w:val="0"/>
      <w:marTop w:val="0"/>
      <w:marBottom w:val="0"/>
      <w:divBdr>
        <w:top w:val="none" w:sz="0" w:space="0" w:color="auto"/>
        <w:left w:val="none" w:sz="0" w:space="0" w:color="auto"/>
        <w:bottom w:val="none" w:sz="0" w:space="0" w:color="auto"/>
        <w:right w:val="none" w:sz="0" w:space="0" w:color="auto"/>
      </w:divBdr>
    </w:div>
    <w:div w:id="1523472816">
      <w:bodyDiv w:val="1"/>
      <w:marLeft w:val="0"/>
      <w:marRight w:val="0"/>
      <w:marTop w:val="0"/>
      <w:marBottom w:val="0"/>
      <w:divBdr>
        <w:top w:val="none" w:sz="0" w:space="0" w:color="auto"/>
        <w:left w:val="none" w:sz="0" w:space="0" w:color="auto"/>
        <w:bottom w:val="none" w:sz="0" w:space="0" w:color="auto"/>
        <w:right w:val="none" w:sz="0" w:space="0" w:color="auto"/>
      </w:divBdr>
    </w:div>
    <w:div w:id="1682585172">
      <w:bodyDiv w:val="1"/>
      <w:marLeft w:val="0"/>
      <w:marRight w:val="0"/>
      <w:marTop w:val="0"/>
      <w:marBottom w:val="0"/>
      <w:divBdr>
        <w:top w:val="none" w:sz="0" w:space="0" w:color="auto"/>
        <w:left w:val="none" w:sz="0" w:space="0" w:color="auto"/>
        <w:bottom w:val="none" w:sz="0" w:space="0" w:color="auto"/>
        <w:right w:val="none" w:sz="0" w:space="0" w:color="auto"/>
      </w:divBdr>
    </w:div>
    <w:div w:id="2133287401">
      <w:bodyDiv w:val="1"/>
      <w:marLeft w:val="0"/>
      <w:marRight w:val="0"/>
      <w:marTop w:val="0"/>
      <w:marBottom w:val="0"/>
      <w:divBdr>
        <w:top w:val="none" w:sz="0" w:space="0" w:color="auto"/>
        <w:left w:val="none" w:sz="0" w:space="0" w:color="auto"/>
        <w:bottom w:val="none" w:sz="0" w:space="0" w:color="auto"/>
        <w:right w:val="none" w:sz="0" w:space="0" w:color="auto"/>
      </w:divBdr>
      <w:divsChild>
        <w:div w:id="338318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5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afeguardsconsult@worldbank.org" TargetMode="Externa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orldbank.org/safeguardsconsultation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ideffectiveness.org/busanhlf4/" TargetMode="External"/><Relationship Id="rId2" Type="http://schemas.openxmlformats.org/officeDocument/2006/relationships/hyperlink" Target="http://go.worldbank.org/ZA4YFV9OL0" TargetMode="External"/><Relationship Id="rId1" Type="http://schemas.openxmlformats.org/officeDocument/2006/relationships/hyperlink" Target="http://go.worldbank.org/ZA4YFV9OL0" TargetMode="External"/><Relationship Id="rId5" Type="http://schemas.openxmlformats.org/officeDocument/2006/relationships/hyperlink" Target="http://go.worldbank.org/QE64AT0D50" TargetMode="External"/><Relationship Id="rId4" Type="http://schemas.openxmlformats.org/officeDocument/2006/relationships/hyperlink" Target="http://go.worldbank.org/RHRJVXDW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FCC77-FCF7-4B1C-A182-34FF1A8540B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2A1B84AE-3770-4920-B050-2DE17F0DAACA}">
  <ds:schemaRefs>
    <ds:schemaRef ds:uri="http://schemas.microsoft.com/sharepoint/v3/contenttype/forms"/>
  </ds:schemaRefs>
</ds:datastoreItem>
</file>

<file path=customXml/itemProps3.xml><?xml version="1.0" encoding="utf-8"?>
<ds:datastoreItem xmlns:ds="http://schemas.openxmlformats.org/officeDocument/2006/customXml" ds:itemID="{1B2ED842-A661-4FF3-8A31-2C19CE3F8518}">
  <ds:schemaRefs>
    <ds:schemaRef ds:uri="http://schemas.openxmlformats.org/officeDocument/2006/bibliography"/>
  </ds:schemaRefs>
</ds:datastoreItem>
</file>

<file path=customXml/itemProps4.xml><?xml version="1.0" encoding="utf-8"?>
<ds:datastoreItem xmlns:ds="http://schemas.openxmlformats.org/officeDocument/2006/customXml" ds:itemID="{6735EF4E-28F3-45DF-9337-089907BDE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FFC2CD3-BF4C-45D5-A461-DFC4A904C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7255</Words>
  <Characters>41356</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Qays Hamad (OPCQC)</dc:creator>
  <cp:lastModifiedBy>wb95965</cp:lastModifiedBy>
  <cp:revision>4</cp:revision>
  <cp:lastPrinted>2012-10-10T23:13:00Z</cp:lastPrinted>
  <dcterms:created xsi:type="dcterms:W3CDTF">2012-10-10T19:50:00Z</dcterms:created>
  <dcterms:modified xsi:type="dcterms:W3CDTF">2012-10-10T23:17:00Z</dcterms:modified>
</cp:coreProperties>
</file>