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0E" w:rsidRPr="005B1E6E" w:rsidRDefault="00307E0E" w:rsidP="00307E0E">
      <w:pPr>
        <w:pStyle w:val="Heading1"/>
        <w:numPr>
          <w:ilvl w:val="0"/>
          <w:numId w:val="0"/>
        </w:numPr>
        <w:spacing w:before="240" w:after="240" w:line="240" w:lineRule="auto"/>
        <w:rPr>
          <w:rFonts w:asciiTheme="majorBidi" w:hAnsiTheme="majorBidi"/>
          <w:sz w:val="18"/>
          <w:szCs w:val="18"/>
          <w:bdr w:val="single" w:sz="4" w:space="0" w:color="auto"/>
          <w:lang w:val="pt-BR"/>
        </w:rPr>
      </w:pPr>
      <w:bookmarkStart w:id="0" w:name="_Toc394499245"/>
      <w:bookmarkStart w:id="1" w:name="_Toc423449601"/>
      <w:r w:rsidRPr="002110DF">
        <w:rPr>
          <w:lang w:val="pt-BR"/>
        </w:rPr>
        <w:t>Norma Ambiental e Social 10:</w:t>
      </w:r>
      <w:r w:rsidRPr="002110DF">
        <w:rPr>
          <w:b w:val="0"/>
          <w:bCs w:val="0"/>
          <w:lang w:val="pt-BR"/>
        </w:rPr>
        <w:br/>
      </w:r>
      <w:r w:rsidRPr="002110DF">
        <w:rPr>
          <w:lang w:val="pt-BR"/>
        </w:rPr>
        <w:t>Engajamento das Partes Interessadas</w:t>
      </w:r>
      <w:bookmarkEnd w:id="0"/>
      <w:r w:rsidRPr="002110DF">
        <w:rPr>
          <w:lang w:val="pt-BR"/>
        </w:rPr>
        <w:t xml:space="preserve"> e Divulgação de Informações</w:t>
      </w:r>
      <w:bookmarkEnd w:id="1"/>
    </w:p>
    <w:p w:rsidR="00307E0E" w:rsidRDefault="00307E0E" w:rsidP="00307E0E">
      <w:pPr>
        <w:pStyle w:val="Heading2"/>
      </w:pPr>
      <w:bookmarkStart w:id="2" w:name="_Toc423449602"/>
      <w:bookmarkStart w:id="3" w:name="_Toc394499246"/>
      <w:proofErr w:type="spellStart"/>
      <w:r>
        <w:t>Introdução</w:t>
      </w:r>
      <w:bookmarkEnd w:id="2"/>
      <w:bookmarkEnd w:id="3"/>
      <w:proofErr w:type="spellEnd"/>
    </w:p>
    <w:p w:rsidR="00307E0E" w:rsidRPr="005B1E6E" w:rsidRDefault="00307E0E" w:rsidP="00307E0E">
      <w:pPr>
        <w:pStyle w:val="ESSpara"/>
        <w:numPr>
          <w:ilvl w:val="0"/>
          <w:numId w:val="4"/>
        </w:numPr>
        <w:ind w:left="0" w:firstLine="0"/>
        <w:rPr>
          <w:lang w:val="pt-BR"/>
        </w:rPr>
      </w:pPr>
      <w:r w:rsidRPr="002110DF">
        <w:rPr>
          <w:lang w:val="pt-BR"/>
        </w:rPr>
        <w:t xml:space="preserve">A presente NAS reconhece a importância do engajamento aberto e transparente entre o Mutuário e as partes interessadas como elemento essencial de boas práticas internacionais. O engajamento efetivo das partes interessadas pode melhorar a sustentabilidade ambiental e social dos projetos, aumentar sua aceitação e dar uma importante contribuição à concepção e implementação eficaz do projeto. 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>Envolvimento das partes interessadas é um processo inclusivo realizado durante todo o ciclo de vida do projeto. Quando devidamente projetado e implementado, apoia o desenvolvimento de relações fortes, construtivos e receptivos, que são essenciais para o êxito da gestão de riscos e impactos ambientais e sociais do projeto. O engajamento das partes interessadas é mais eficaz quando se inicia na fase inicial e é contínuo durante todo o ciclo de vida do projeto. É parte integrante da avaliação, gestão e monitoramento de riscos e impactos ambientais e sociais do projeto.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>Esta NAS deve ser lida em conjunto com a NAS1. As exigências em matéria de envolvimento com os trabalhadores são encontradas na NAS2. Disposições especiais sobre a preparação e resposta a emergências são cobertas em ESS2 e ESS4. No caso de projetos que envolvam reassentamento involuntário, povos indígenas ou património cultural, o Mutuário também aplicará os requisitos de divulgação e consulta especiais estabelecidos na NAS5, NAS7 e NAS8.</w:t>
      </w:r>
    </w:p>
    <w:p w:rsidR="00307E0E" w:rsidRDefault="00307E0E" w:rsidP="00307E0E">
      <w:pPr>
        <w:pStyle w:val="Heading2"/>
      </w:pPr>
      <w:bookmarkStart w:id="4" w:name="_Toc423449603"/>
      <w:bookmarkStart w:id="5" w:name="_Toc394499247"/>
      <w:proofErr w:type="spellStart"/>
      <w:r>
        <w:t>Objetivos</w:t>
      </w:r>
      <w:bookmarkEnd w:id="4"/>
      <w:bookmarkEnd w:id="5"/>
      <w:proofErr w:type="spellEnd"/>
    </w:p>
    <w:p w:rsidR="00307E0E" w:rsidRPr="005B1E6E" w:rsidRDefault="00307E0E" w:rsidP="00307E0E">
      <w:pPr>
        <w:pStyle w:val="essobjbull"/>
        <w:rPr>
          <w:lang w:val="pt-BR"/>
        </w:rPr>
      </w:pPr>
      <w:r w:rsidRPr="002110DF">
        <w:rPr>
          <w:lang w:val="pt-BR"/>
        </w:rPr>
        <w:t xml:space="preserve">Estabelecer uma abordagem sistemática ao engajamento das partes interessadas, que ajudará os Mutuários a construirem e manterem um relacionamento construtivo com as partes interessadas e, em particular, com as comunidades afetadas pelo projeto. </w:t>
      </w:r>
    </w:p>
    <w:p w:rsidR="00307E0E" w:rsidRPr="005B1E6E" w:rsidRDefault="00307E0E" w:rsidP="00307E0E">
      <w:pPr>
        <w:pStyle w:val="essobjbull"/>
        <w:rPr>
          <w:lang w:val="pt-BR"/>
        </w:rPr>
      </w:pPr>
      <w:r w:rsidRPr="002110DF">
        <w:rPr>
          <w:lang w:val="pt-BR"/>
        </w:rPr>
        <w:t xml:space="preserve">Avaliar o nível de interesse das partes interessadas e apoio para o projeto e permitir opiniões das partes interessadas a serem cosniderados na concepção do projeto e desempenho ambiental e social. </w:t>
      </w:r>
    </w:p>
    <w:p w:rsidR="00307E0E" w:rsidRPr="005B1E6E" w:rsidRDefault="00307E0E" w:rsidP="00307E0E">
      <w:pPr>
        <w:pStyle w:val="essobjbull"/>
        <w:rPr>
          <w:lang w:val="pt-BR"/>
        </w:rPr>
      </w:pPr>
      <w:r w:rsidRPr="002110DF">
        <w:rPr>
          <w:lang w:val="pt-BR"/>
        </w:rPr>
        <w:t>Promover e proporcionar meios para o engajamento eficaz e inclusivo com as partes afetadas pelo projeto durante todo o ciclo de vida do projeto sobre questões que poderiam afetá-las.</w:t>
      </w:r>
    </w:p>
    <w:p w:rsidR="00307E0E" w:rsidRPr="005B1E6E" w:rsidRDefault="00307E0E" w:rsidP="00307E0E">
      <w:pPr>
        <w:pStyle w:val="essobjbull"/>
        <w:rPr>
          <w:lang w:val="pt-BR"/>
        </w:rPr>
      </w:pPr>
      <w:r w:rsidRPr="002110DF">
        <w:rPr>
          <w:lang w:val="pt-BR"/>
        </w:rPr>
        <w:t xml:space="preserve">Garantir que as informações apropriadas sobre os riscos e impactos ambientais e sociais do projeto sejam divulgadas às partes interessadas em um formato acessível e adequado. </w:t>
      </w:r>
    </w:p>
    <w:p w:rsidR="00307E0E" w:rsidRPr="005B1E6E" w:rsidRDefault="00307E0E" w:rsidP="00307E0E">
      <w:pPr>
        <w:pStyle w:val="essobjbull"/>
        <w:rPr>
          <w:lang w:val="pt-BR"/>
        </w:rPr>
      </w:pPr>
      <w:r w:rsidRPr="002110DF">
        <w:rPr>
          <w:lang w:val="pt-BR"/>
        </w:rPr>
        <w:t>Garantir que as comunidades afetadas pelo projeto tenham meios acessíveis para levantar questões e reclamações, e que os Mutuários respondam e gerenciem tais questões e reclamações apropriadamente.</w:t>
      </w:r>
    </w:p>
    <w:p w:rsidR="00307E0E" w:rsidRPr="00811E2A" w:rsidRDefault="00307E0E" w:rsidP="00307E0E">
      <w:pPr>
        <w:pStyle w:val="Heading2"/>
      </w:pPr>
      <w:bookmarkStart w:id="6" w:name="_Toc423449604"/>
      <w:bookmarkStart w:id="7" w:name="_Toc394499248"/>
      <w:proofErr w:type="spellStart"/>
      <w:r>
        <w:lastRenderedPageBreak/>
        <w:t>Escopo</w:t>
      </w:r>
      <w:proofErr w:type="spellEnd"/>
      <w:r>
        <w:t xml:space="preserve"> da </w:t>
      </w:r>
      <w:proofErr w:type="spellStart"/>
      <w:r>
        <w:t>Aplicação</w:t>
      </w:r>
      <w:bookmarkEnd w:id="6"/>
      <w:bookmarkEnd w:id="7"/>
      <w:proofErr w:type="spellEnd"/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>A NAS10 aplica-se a todos os projetos apoiados pelo Banco por meio do Financiamento de Projetos de Investimento. O Mutuário deverá envolver-se com as partes interessadas, como parte integrante dos processos de avaliação ambiental e social e de implementação do projeto, conforme descrito na NAS1.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bookmarkStart w:id="8" w:name="_Ref391783810"/>
      <w:r w:rsidRPr="002110DF">
        <w:rPr>
          <w:lang w:val="pt-BR"/>
        </w:rPr>
        <w:t>No âmbito desta NAS, "</w:t>
      </w:r>
      <w:r w:rsidRPr="002110DF">
        <w:rPr>
          <w:b/>
          <w:bCs/>
          <w:i/>
          <w:iCs/>
          <w:lang w:val="pt-BR"/>
        </w:rPr>
        <w:t>partes interessadas</w:t>
      </w:r>
      <w:r w:rsidRPr="002110DF">
        <w:rPr>
          <w:lang w:val="pt-BR"/>
        </w:rPr>
        <w:t xml:space="preserve">" refere-se a indivíduos ou grupos que: </w:t>
      </w:r>
    </w:p>
    <w:p w:rsidR="00307E0E" w:rsidRPr="005B1E6E" w:rsidRDefault="00307E0E" w:rsidP="00307E0E">
      <w:pPr>
        <w:pStyle w:val="ESSpara"/>
        <w:numPr>
          <w:ilvl w:val="1"/>
          <w:numId w:val="1"/>
        </w:numPr>
        <w:rPr>
          <w:lang w:val="pt-BR"/>
        </w:rPr>
      </w:pPr>
      <w:r w:rsidRPr="002110DF">
        <w:rPr>
          <w:lang w:val="pt-BR"/>
        </w:rPr>
        <w:t>são afetados ou susceptíveis de serem afetados pelo projeto (</w:t>
      </w:r>
      <w:r w:rsidRPr="002110DF">
        <w:rPr>
          <w:b/>
          <w:bCs/>
          <w:i/>
          <w:iCs/>
          <w:lang w:val="pt-BR"/>
        </w:rPr>
        <w:t>partes afetadas pelo projeto</w:t>
      </w:r>
      <w:r w:rsidRPr="002110DF">
        <w:rPr>
          <w:lang w:val="pt-BR"/>
        </w:rPr>
        <w:t xml:space="preserve">); e  </w:t>
      </w:r>
    </w:p>
    <w:p w:rsidR="00307E0E" w:rsidRPr="005B1E6E" w:rsidRDefault="00307E0E" w:rsidP="00307E0E">
      <w:pPr>
        <w:pStyle w:val="ESSpara"/>
        <w:numPr>
          <w:ilvl w:val="1"/>
          <w:numId w:val="1"/>
        </w:numPr>
        <w:rPr>
          <w:lang w:val="pt-BR"/>
        </w:rPr>
      </w:pPr>
      <w:r w:rsidRPr="002110DF">
        <w:rPr>
          <w:lang w:val="pt-BR"/>
        </w:rPr>
        <w:t>podem ter interesse no projeto (</w:t>
      </w:r>
      <w:bookmarkEnd w:id="8"/>
      <w:r w:rsidRPr="002110DF">
        <w:rPr>
          <w:b/>
          <w:bCs/>
          <w:i/>
          <w:iCs/>
          <w:lang w:val="pt-BR"/>
        </w:rPr>
        <w:t>outras partes interessadas</w:t>
      </w:r>
      <w:r w:rsidRPr="002110DF">
        <w:rPr>
          <w:lang w:val="pt-BR"/>
        </w:rPr>
        <w:t>).</w:t>
      </w:r>
    </w:p>
    <w:p w:rsidR="00307E0E" w:rsidRDefault="00307E0E" w:rsidP="00307E0E">
      <w:pPr>
        <w:pStyle w:val="Heading2"/>
      </w:pPr>
      <w:bookmarkStart w:id="9" w:name="_Toc423449605"/>
      <w:bookmarkStart w:id="10" w:name="_Toc394499249"/>
      <w:proofErr w:type="spellStart"/>
      <w:r>
        <w:t>Requisitos</w:t>
      </w:r>
      <w:bookmarkEnd w:id="9"/>
      <w:bookmarkEnd w:id="10"/>
      <w:proofErr w:type="spellEnd"/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 xml:space="preserve">O Mutuários irá se engajar com as partes interessadas em todo o ciclo de vida do projeto, começando esse compromisso o mais cedo possível no processo de projeto. A natureza, o alcance e a frequência do engajamento das partes interessadas serão proporcionais à natureza e à escala do projeto e seus riscos e impactos potenciais. 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>Os Mutuários irá se engajar em consultas significativas com todas as partes interessadas. Os Mutuários fornecerão às partes interessadas informação oportuna, relevante, compreensível e acessível, e as consultará de uma maneira culturalmente apropriada, livre de manipulação, interferência, coerção, discriminação e intimidação.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>O processo de engajamento das partes interessadas envolverá o seguinte, conforme estabelecido com mais detalhes nesta NAS: (i) identificação e análise das partes interessadas; (ii) planejamento de como será realizado o engajamento das partes interessadas; (iii) divulgação de informações; (iv) consulta com as partes interessadas; (v) abordar e responder às reclamações e (vi) relatoria aos interessados.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>O Mutuário manterá um registro documentado de engajamento das partes interessadas, incluindo uma descrição de todos os consultados, um resumo do feedback recebido e uma breve explicação de como o feedback foi considerado, ou as razões pelas quais não foi.</w:t>
      </w:r>
    </w:p>
    <w:p w:rsidR="00307E0E" w:rsidRPr="005B1E6E" w:rsidRDefault="00307E0E" w:rsidP="00307E0E">
      <w:pPr>
        <w:pStyle w:val="Heading3"/>
        <w:ind w:left="0" w:firstLine="0"/>
        <w:rPr>
          <w:lang w:val="pt-BR"/>
        </w:rPr>
      </w:pPr>
      <w:bookmarkStart w:id="11" w:name="_Toc423449606"/>
      <w:bookmarkStart w:id="12" w:name="_Toc394499251"/>
      <w:r w:rsidRPr="002110DF">
        <w:rPr>
          <w:bCs/>
          <w:lang w:val="pt-BR"/>
        </w:rPr>
        <w:lastRenderedPageBreak/>
        <w:t>Engajamento durante a Preparação do Projeto</w:t>
      </w:r>
      <w:bookmarkEnd w:id="11"/>
      <w:bookmarkEnd w:id="12"/>
      <w:r w:rsidRPr="002110DF">
        <w:rPr>
          <w:b w:val="0"/>
          <w:lang w:val="pt-BR"/>
        </w:rPr>
        <w:t xml:space="preserve"> </w:t>
      </w:r>
    </w:p>
    <w:p w:rsidR="00307E0E" w:rsidRPr="005B1E6E" w:rsidRDefault="00307E0E" w:rsidP="00307E0E">
      <w:pPr>
        <w:pStyle w:val="Heading4"/>
        <w:rPr>
          <w:lang w:val="pt-BR"/>
        </w:rPr>
      </w:pPr>
      <w:bookmarkStart w:id="13" w:name="_Toc394499252"/>
      <w:r w:rsidRPr="002110DF">
        <w:rPr>
          <w:bCs/>
          <w:iCs/>
          <w:lang w:val="pt-BR"/>
        </w:rPr>
        <w:t>Identificação e Análise das Partes Interessadas</w:t>
      </w:r>
      <w:bookmarkEnd w:id="13"/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>O Mutuário identificará as diferentes partes interessadas, as partes afetadas pelo projeto e outras partes interessadas.</w:t>
      </w:r>
      <w:r>
        <w:rPr>
          <w:rStyle w:val="FootnoteReference"/>
        </w:rPr>
        <w:footnoteReference w:id="1"/>
      </w:r>
      <w:r w:rsidRPr="002110DF">
        <w:rPr>
          <w:lang w:val="pt-BR"/>
        </w:rPr>
        <w:t xml:space="preserve"> Conforme estabelecido no parágrafo 5, os indivíduos ou grupos que são afetados ou que possam ser afetados pelo projeto serão identificados como «partes afetadas» pelo projeto e outros indivíduos ou grupos que possam ter interesse no projeto serão identificados como' «outras partes interessadas».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>O Mutuário identificará as partes afetadas pelo projeto (indivíduos ou grupos) que, devido às suas circunstâncias particulares, podem estar em desvantagem ou vulneráveis</w:t>
      </w:r>
      <w:r>
        <w:rPr>
          <w:rStyle w:val="FootnoteReference"/>
        </w:rPr>
        <w:footnoteReference w:id="2"/>
      </w:r>
      <w:r w:rsidRPr="002110DF">
        <w:rPr>
          <w:lang w:val="pt-BR"/>
        </w:rPr>
        <w:t>.  Com base nessa identificação, o mutuário identificará, ainda, os indivíduos ou grupos que podem ter diferentes preocupações e prioridades sobre os impactos, mecanismos de mitigação e benefícios do projeto, e que podem exigir formas diferentes ou separadas de engajamento. Um nível de detalhamento adequado será incluído na identificação e análise das partes interessadas a fim de determinar o nível de comunicação apropriado para o projeto.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 xml:space="preserve">Dependendo da importância potencial de riscos e impactos ambientais e sociais, o Mutuário pode ser obrigado a reter especialistas independentes terceiros para auxiliar na identificação das partes interessadas e análise para apoiar uma análise abrangente e a concepção de um processo de engajamento inclusivo. </w:t>
      </w:r>
    </w:p>
    <w:p w:rsidR="00307E0E" w:rsidRPr="005B1E6E" w:rsidRDefault="00307E0E" w:rsidP="00307E0E">
      <w:pPr>
        <w:pStyle w:val="Heading4"/>
        <w:rPr>
          <w:lang w:val="pt-BR"/>
        </w:rPr>
      </w:pPr>
      <w:bookmarkStart w:id="14" w:name="_Toc394499253"/>
      <w:r w:rsidRPr="002110DF">
        <w:rPr>
          <w:bCs/>
          <w:iCs/>
          <w:lang w:val="pt-BR"/>
        </w:rPr>
        <w:t>Plano de Engajamento das Partes Interessados</w:t>
      </w:r>
      <w:bookmarkEnd w:id="14"/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 xml:space="preserve">O Mutuário irá desenvolver e implementar um Plano de Engajamento das Parte Interessadas (SEP, por sua sigla em inglês) </w:t>
      </w:r>
      <w:r>
        <w:rPr>
          <w:rStyle w:val="FootnoteReference"/>
        </w:rPr>
        <w:footnoteReference w:id="3"/>
      </w:r>
      <w:r w:rsidRPr="002110DF">
        <w:rPr>
          <w:lang w:val="pt-BR"/>
        </w:rPr>
        <w:t xml:space="preserve"> proporcional à natureza e dimensão do projeto e dos seus riscos e impactos potenciais. </w:t>
      </w:r>
      <w:r>
        <w:rPr>
          <w:rStyle w:val="FootnoteReference"/>
        </w:rPr>
        <w:footnoteReference w:id="4"/>
      </w:r>
      <w:r w:rsidRPr="002110DF">
        <w:rPr>
          <w:lang w:val="pt-BR"/>
        </w:rPr>
        <w:t xml:space="preserve"> Uma minuta do SEP será divulgada, e o mutuário identificará os pontos de vista </w:t>
      </w:r>
      <w:r w:rsidRPr="002110DF">
        <w:rPr>
          <w:lang w:val="pt-BR"/>
        </w:rPr>
        <w:lastRenderedPageBreak/>
        <w:t xml:space="preserve">das partes interessadas, particularmente em relação à identificação das partes interessadas e as propostas de compromisso futuro. 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 xml:space="preserve">O SEP irá descrever o cronograma e os métodos de engajamento com as partes interessadas durante todo o ciclo de vida do projeto, distinguindo entre as partes afetadas pelo projeto e outras partes interessadas. O SEP também irá descrever o leque de informações a serem comunicadas às partes afetadas pelo projeto e outras partes interessadas, bem como o tipo de informação a ser buscada junto a elas. </w:t>
      </w:r>
    </w:p>
    <w:p w:rsidR="00307E0E" w:rsidRPr="005B1E6E" w:rsidRDefault="00307E0E" w:rsidP="00307E0E">
      <w:pPr>
        <w:pStyle w:val="ESSpara"/>
        <w:ind w:left="0" w:firstLine="0"/>
        <w:rPr>
          <w:lang w:val="pt-BR"/>
        </w:rPr>
      </w:pPr>
      <w:r w:rsidRPr="002110DF">
        <w:rPr>
          <w:lang w:val="pt-BR"/>
        </w:rPr>
        <w:t xml:space="preserve">O SEP será adaptado para levar em conta as principais características e interesses das partes interessadas, e os diferentes níveis de engajamento e consulta que serão apropriados para diferentes partes interessadas. O SEP definirá como a comunicação com as partes interessadas será tratada em toda a preparação e implementação do projeto. </w:t>
      </w:r>
    </w:p>
    <w:p w:rsidR="005B3CCD" w:rsidRDefault="00C92F77"/>
    <w:sectPr w:rsidR="005B3CCD" w:rsidSect="00307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77" w:rsidRDefault="00C92F77" w:rsidP="00307E0E">
      <w:pPr>
        <w:spacing w:after="0" w:line="240" w:lineRule="auto"/>
      </w:pPr>
      <w:r>
        <w:separator/>
      </w:r>
    </w:p>
  </w:endnote>
  <w:endnote w:type="continuationSeparator" w:id="0">
    <w:p w:rsidR="00C92F77" w:rsidRDefault="00C92F77" w:rsidP="003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0E" w:rsidRDefault="00307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0E" w:rsidRDefault="00307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0E" w:rsidRDefault="00307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77" w:rsidRDefault="00C92F77" w:rsidP="00307E0E">
      <w:pPr>
        <w:spacing w:after="0" w:line="240" w:lineRule="auto"/>
      </w:pPr>
      <w:r>
        <w:separator/>
      </w:r>
    </w:p>
  </w:footnote>
  <w:footnote w:type="continuationSeparator" w:id="0">
    <w:p w:rsidR="00C92F77" w:rsidRDefault="00C92F77" w:rsidP="00307E0E">
      <w:pPr>
        <w:spacing w:after="0" w:line="240" w:lineRule="auto"/>
      </w:pPr>
      <w:r>
        <w:continuationSeparator/>
      </w:r>
    </w:p>
  </w:footnote>
  <w:footnote w:id="1">
    <w:p w:rsidR="00307E0E" w:rsidRPr="005B1E6E" w:rsidRDefault="00307E0E" w:rsidP="00307E0E">
      <w:pPr>
        <w:rPr>
          <w:lang w:val="pt-BR"/>
        </w:rPr>
      </w:pPr>
    </w:p>
    <w:p w:rsidR="00307E0E" w:rsidRPr="005B1E6E" w:rsidRDefault="00307E0E" w:rsidP="00307E0E">
      <w:pPr>
        <w:rPr>
          <w:lang w:val="pt-BR"/>
        </w:rPr>
      </w:pPr>
    </w:p>
  </w:footnote>
  <w:footnote w:id="2">
    <w:p w:rsidR="00307E0E" w:rsidRPr="005B1E6E" w:rsidRDefault="00307E0E" w:rsidP="00307E0E">
      <w:pPr>
        <w:rPr>
          <w:lang w:val="pt-BR"/>
        </w:rPr>
      </w:pPr>
    </w:p>
    <w:p w:rsidR="00307E0E" w:rsidRPr="005B1E6E" w:rsidRDefault="00307E0E" w:rsidP="00307E0E">
      <w:pPr>
        <w:rPr>
          <w:lang w:val="pt-BR"/>
        </w:rPr>
      </w:pPr>
    </w:p>
  </w:footnote>
  <w:footnote w:id="3">
    <w:p w:rsidR="00307E0E" w:rsidRPr="005B1E6E" w:rsidRDefault="00307E0E" w:rsidP="00307E0E">
      <w:pPr>
        <w:rPr>
          <w:lang w:val="pt-BR"/>
        </w:rPr>
      </w:pPr>
    </w:p>
    <w:p w:rsidR="00307E0E" w:rsidRPr="005B1E6E" w:rsidRDefault="00307E0E" w:rsidP="00307E0E">
      <w:pPr>
        <w:rPr>
          <w:lang w:val="pt-BR"/>
        </w:rPr>
      </w:pPr>
    </w:p>
  </w:footnote>
  <w:footnote w:id="4">
    <w:p w:rsidR="00307E0E" w:rsidRPr="005B1E6E" w:rsidRDefault="00307E0E" w:rsidP="00307E0E">
      <w:pPr>
        <w:rPr>
          <w:lang w:val="pt-BR"/>
        </w:rPr>
      </w:pPr>
    </w:p>
    <w:p w:rsidR="00307E0E" w:rsidRPr="005B1E6E" w:rsidRDefault="00307E0E" w:rsidP="00307E0E">
      <w:pPr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0E" w:rsidRDefault="00307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423384368"/>
      <w:docPartObj>
        <w:docPartGallery w:val="Watermarks"/>
        <w:docPartUnique/>
      </w:docPartObj>
    </w:sdtPr>
    <w:sdtContent>
      <w:sdt>
        <w:sdtPr>
          <w:rPr>
            <w:b/>
            <w:bCs/>
            <w:sz w:val="32"/>
            <w:szCs w:val="32"/>
          </w:rPr>
          <w:id w:val="1937407176"/>
          <w:docPartObj>
            <w:docPartGallery w:val="Watermarks"/>
            <w:docPartUnique/>
          </w:docPartObj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32"/>
                <w:szCs w:val="32"/>
              </w:rPr>
              <w:id w:val="1872946358"/>
              <w:docPartObj>
                <w:docPartGallery w:val="Watermarks"/>
                <w:docPartUnique/>
              </w:docPartObj>
            </w:sdtPr>
            <w:sdtContent>
              <w:p w:rsidR="00307E0E" w:rsidRDefault="00307E0E" w:rsidP="00307E0E">
                <w:pPr>
                  <w:pStyle w:val="Header"/>
                  <w:jc w:val="center"/>
                  <w:rPr>
                    <w:rFonts w:eastAsiaTheme="majorEastAsia" w:cstheme="majorBidi"/>
                    <w:b/>
                    <w:bCs/>
                    <w:i/>
                    <w:iCs/>
                    <w:sz w:val="32"/>
                    <w:szCs w:val="32"/>
                    <w:bdr w:val="single" w:sz="4" w:space="0" w:color="auto"/>
                    <w:lang w:val="pt-BR"/>
                  </w:rPr>
                </w:pPr>
                <w:r w:rsidRPr="002110DF">
                  <w:rPr>
                    <w:rFonts w:eastAsiaTheme="majorEastAsia" w:cstheme="majorBidi"/>
                    <w:b/>
                    <w:bCs/>
                    <w:i/>
                    <w:iCs/>
                    <w:sz w:val="32"/>
                    <w:szCs w:val="32"/>
                    <w:bdr w:val="single" w:sz="4" w:space="0" w:color="auto"/>
                    <w:lang w:val="pt-BR"/>
                  </w:rPr>
                  <w:t>SEGUNDA MINUTA PARA CONSULTA 01 de julho de 2015</w:t>
                </w:r>
              </w:p>
              <w:p w:rsidR="00307E0E" w:rsidRPr="00A47DAC" w:rsidRDefault="00307E0E" w:rsidP="00307E0E">
                <w:pPr>
                  <w:pStyle w:val="Header"/>
                  <w:jc w:val="center"/>
                  <w:rPr>
                    <w:rFonts w:eastAsiaTheme="majorEastAsia" w:cstheme="majorBidi"/>
                    <w:b/>
                    <w:bCs/>
                    <w:i/>
                    <w:iCs/>
                    <w:sz w:val="32"/>
                    <w:szCs w:val="32"/>
                    <w:lang w:val="pt-BR"/>
                  </w:rPr>
                </w:pPr>
              </w:p>
            </w:sdtContent>
          </w:sdt>
          <w:p w:rsidR="00307E0E" w:rsidRPr="00A47DAC" w:rsidRDefault="00307E0E" w:rsidP="00307E0E">
            <w:pPr>
              <w:spacing w:after="36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47DAC">
              <w:rPr>
                <w:rFonts w:eastAsiaTheme="majorEastAsia" w:cstheme="majorBidi"/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  <w:bookmarkStart w:id="15" w:name="_GoBack"/>
            <w:bookmarkEnd w:id="15"/>
          </w:p>
          <w:p w:rsidR="00307E0E" w:rsidRDefault="00307E0E" w:rsidP="00307E0E">
            <w:pPr>
              <w:pStyle w:val="Header"/>
              <w:jc w:val="both"/>
              <w:rPr>
                <w:sz w:val="32"/>
                <w:szCs w:val="32"/>
              </w:rPr>
            </w:pPr>
          </w:p>
        </w:sdtContent>
      </w:sdt>
      <w:p w:rsidR="00307E0E" w:rsidRDefault="00307E0E" w:rsidP="00307E0E">
        <w:pPr>
          <w:pStyle w:val="Header"/>
          <w:rPr>
            <w:b/>
            <w:bCs/>
            <w:sz w:val="32"/>
            <w:szCs w:val="32"/>
          </w:rPr>
        </w:pPr>
      </w:p>
    </w:sdtContent>
  </w:sdt>
  <w:p w:rsidR="00307E0E" w:rsidRDefault="00307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-617765476"/>
      <w:docPartObj>
        <w:docPartGallery w:val="Watermarks"/>
        <w:docPartUnique/>
      </w:docPartObj>
    </w:sdtPr>
    <w:sdtEndPr>
      <w:rPr>
        <w:b w:val="0"/>
        <w:bCs w:val="0"/>
      </w:rPr>
    </w:sdtEndPr>
    <w:sdtContent>
      <w:sdt>
        <w:sdtPr>
          <w:rPr>
            <w:b/>
            <w:bCs/>
            <w:sz w:val="32"/>
            <w:szCs w:val="32"/>
          </w:rPr>
          <w:id w:val="-1477750751"/>
          <w:docPartObj>
            <w:docPartGallery w:val="Watermarks"/>
            <w:docPartUnique/>
          </w:docPartObj>
        </w:sdtPr>
        <w:sdtContent>
          <w:p w:rsidR="00307E0E" w:rsidRDefault="00307E0E" w:rsidP="00307E0E">
            <w:pPr>
              <w:pStyle w:val="Header"/>
              <w:jc w:val="center"/>
              <w:rPr>
                <w:rFonts w:eastAsiaTheme="majorEastAsia" w:cstheme="majorBidi"/>
                <w:b/>
                <w:bCs/>
                <w:i/>
                <w:iCs/>
                <w:sz w:val="32"/>
                <w:szCs w:val="32"/>
                <w:bdr w:val="single" w:sz="4" w:space="0" w:color="auto"/>
                <w:lang w:val="pt-BR"/>
              </w:rPr>
            </w:pPr>
            <w:r w:rsidRPr="002110DF">
              <w:rPr>
                <w:rFonts w:eastAsiaTheme="majorEastAsia" w:cstheme="majorBidi"/>
                <w:b/>
                <w:bCs/>
                <w:i/>
                <w:iCs/>
                <w:sz w:val="32"/>
                <w:szCs w:val="32"/>
                <w:bdr w:val="single" w:sz="4" w:space="0" w:color="auto"/>
                <w:lang w:val="pt-BR"/>
              </w:rPr>
              <w:t>SEGUNDA MINUTA PARA CONSULTA 01 de julho de 2015</w:t>
            </w:r>
          </w:p>
          <w:p w:rsidR="00307E0E" w:rsidRPr="00A47DAC" w:rsidRDefault="00307E0E" w:rsidP="00307E0E">
            <w:pPr>
              <w:pStyle w:val="Header"/>
              <w:jc w:val="center"/>
              <w:rPr>
                <w:rFonts w:eastAsiaTheme="majorEastAsia" w:cstheme="majorBidi"/>
                <w:b/>
                <w:bCs/>
                <w:i/>
                <w:iCs/>
                <w:sz w:val="32"/>
                <w:szCs w:val="32"/>
                <w:lang w:val="pt-BR"/>
              </w:rPr>
            </w:pPr>
          </w:p>
        </w:sdtContent>
      </w:sdt>
      <w:p w:rsidR="00307E0E" w:rsidRPr="00A47DAC" w:rsidRDefault="00307E0E" w:rsidP="00307E0E">
        <w:pPr>
          <w:spacing w:after="360" w:line="240" w:lineRule="auto"/>
          <w:jc w:val="center"/>
          <w:rPr>
            <w:b/>
            <w:bCs/>
            <w:sz w:val="32"/>
            <w:szCs w:val="32"/>
          </w:rPr>
        </w:pPr>
        <w:r w:rsidRPr="00A47DAC">
          <w:rPr>
            <w:rFonts w:eastAsiaTheme="majorEastAsia" w:cstheme="majorBidi"/>
            <w:b/>
            <w:bCs/>
            <w:color w:val="FF0000"/>
            <w:sz w:val="28"/>
            <w:szCs w:val="28"/>
            <w:lang w:val="pt-BR"/>
          </w:rPr>
          <w:t xml:space="preserve"> </w:t>
        </w:r>
        <w:r w:rsidRPr="002110DF">
          <w:rPr>
            <w:rFonts w:eastAsiaTheme="majorEastAsia" w:cstheme="majorBidi"/>
            <w:b/>
            <w:bCs/>
            <w:color w:val="FF0000"/>
            <w:sz w:val="28"/>
            <w:szCs w:val="28"/>
            <w:lang w:val="pt-BR"/>
          </w:rPr>
          <w:t>O CONTEÚDO DA MINUTA É PARA FINS DE CONSULTA E NÃO FOI APROVADO PELO CONSELHO DE ADMINISTRAÇÃO EXECUTIVO DO BIRD/IDA.</w:t>
        </w:r>
      </w:p>
      <w:p w:rsidR="00307E0E" w:rsidRDefault="00307E0E" w:rsidP="00307E0E">
        <w:pPr>
          <w:pStyle w:val="Header"/>
          <w:jc w:val="both"/>
          <w:rPr>
            <w:sz w:val="32"/>
            <w:szCs w:val="32"/>
          </w:rPr>
        </w:pPr>
      </w:p>
    </w:sdtContent>
  </w:sdt>
  <w:p w:rsidR="00307E0E" w:rsidRDefault="00307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5AD"/>
    <w:multiLevelType w:val="multilevel"/>
    <w:tmpl w:val="4C5CE63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B23DEC"/>
    <w:multiLevelType w:val="hybridMultilevel"/>
    <w:tmpl w:val="B36CB736"/>
    <w:lvl w:ilvl="0" w:tplc="0B0E52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145C"/>
    <w:multiLevelType w:val="hybridMultilevel"/>
    <w:tmpl w:val="7BBAFE34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74CDE"/>
    <w:multiLevelType w:val="hybridMultilevel"/>
    <w:tmpl w:val="E0468226"/>
    <w:lvl w:ilvl="0" w:tplc="1584E904">
      <w:start w:val="1"/>
      <w:numFmt w:val="decimal"/>
      <w:pStyle w:val="ESSpara"/>
      <w:lvlText w:val="%1."/>
      <w:lvlJc w:val="left"/>
      <w:pPr>
        <w:ind w:left="450" w:hanging="360"/>
      </w:pPr>
      <w:rPr>
        <w:rFonts w:asciiTheme="minorHAnsi" w:hAnsiTheme="minorHAnsi" w:hint="default"/>
        <w:i w:val="0"/>
        <w:iCs w:val="0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E"/>
    <w:rsid w:val="00007C4F"/>
    <w:rsid w:val="000439E6"/>
    <w:rsid w:val="00087927"/>
    <w:rsid w:val="00097685"/>
    <w:rsid w:val="000A3F4F"/>
    <w:rsid w:val="000B37D3"/>
    <w:rsid w:val="000D05B0"/>
    <w:rsid w:val="000E2634"/>
    <w:rsid w:val="000F4434"/>
    <w:rsid w:val="001047FA"/>
    <w:rsid w:val="0011052E"/>
    <w:rsid w:val="00155E7B"/>
    <w:rsid w:val="00164285"/>
    <w:rsid w:val="00166B52"/>
    <w:rsid w:val="00184F4D"/>
    <w:rsid w:val="001A1A06"/>
    <w:rsid w:val="001C6F79"/>
    <w:rsid w:val="001E3A09"/>
    <w:rsid w:val="001F1224"/>
    <w:rsid w:val="00205A67"/>
    <w:rsid w:val="002111D0"/>
    <w:rsid w:val="00220D7A"/>
    <w:rsid w:val="00236236"/>
    <w:rsid w:val="002546C9"/>
    <w:rsid w:val="0025531F"/>
    <w:rsid w:val="00287FB8"/>
    <w:rsid w:val="00294D45"/>
    <w:rsid w:val="002A3809"/>
    <w:rsid w:val="002A765F"/>
    <w:rsid w:val="002D2425"/>
    <w:rsid w:val="002F4F14"/>
    <w:rsid w:val="00307E0E"/>
    <w:rsid w:val="0031443B"/>
    <w:rsid w:val="0032742B"/>
    <w:rsid w:val="0033785F"/>
    <w:rsid w:val="00363BB9"/>
    <w:rsid w:val="003A318B"/>
    <w:rsid w:val="003C2820"/>
    <w:rsid w:val="003C2C93"/>
    <w:rsid w:val="003C544C"/>
    <w:rsid w:val="003F19F1"/>
    <w:rsid w:val="0042546F"/>
    <w:rsid w:val="00457B21"/>
    <w:rsid w:val="004706DB"/>
    <w:rsid w:val="00476547"/>
    <w:rsid w:val="00492FE6"/>
    <w:rsid w:val="004A7BE4"/>
    <w:rsid w:val="004B58F4"/>
    <w:rsid w:val="00504481"/>
    <w:rsid w:val="00517B62"/>
    <w:rsid w:val="00540BAA"/>
    <w:rsid w:val="005551CF"/>
    <w:rsid w:val="00563029"/>
    <w:rsid w:val="005638C3"/>
    <w:rsid w:val="0059222D"/>
    <w:rsid w:val="00593C43"/>
    <w:rsid w:val="005A6697"/>
    <w:rsid w:val="005B0DA2"/>
    <w:rsid w:val="005C27AC"/>
    <w:rsid w:val="005D71AB"/>
    <w:rsid w:val="00605A67"/>
    <w:rsid w:val="00606986"/>
    <w:rsid w:val="00615EA7"/>
    <w:rsid w:val="00627ACC"/>
    <w:rsid w:val="006462D1"/>
    <w:rsid w:val="00651B43"/>
    <w:rsid w:val="00652585"/>
    <w:rsid w:val="00655C75"/>
    <w:rsid w:val="00656EB4"/>
    <w:rsid w:val="00674B07"/>
    <w:rsid w:val="0068651C"/>
    <w:rsid w:val="00691640"/>
    <w:rsid w:val="00692118"/>
    <w:rsid w:val="006C5B3A"/>
    <w:rsid w:val="006D66A0"/>
    <w:rsid w:val="006F25CC"/>
    <w:rsid w:val="00705F54"/>
    <w:rsid w:val="007077E8"/>
    <w:rsid w:val="00717F27"/>
    <w:rsid w:val="00725C9E"/>
    <w:rsid w:val="00753D3C"/>
    <w:rsid w:val="0079352B"/>
    <w:rsid w:val="00793BC6"/>
    <w:rsid w:val="007F4184"/>
    <w:rsid w:val="00800088"/>
    <w:rsid w:val="00804B76"/>
    <w:rsid w:val="008064E3"/>
    <w:rsid w:val="008878BA"/>
    <w:rsid w:val="008E5530"/>
    <w:rsid w:val="00933C16"/>
    <w:rsid w:val="00962A0E"/>
    <w:rsid w:val="00966F74"/>
    <w:rsid w:val="009820F6"/>
    <w:rsid w:val="00987A7D"/>
    <w:rsid w:val="009A1260"/>
    <w:rsid w:val="009B17EC"/>
    <w:rsid w:val="009C0A20"/>
    <w:rsid w:val="009E4BE5"/>
    <w:rsid w:val="00A00DB3"/>
    <w:rsid w:val="00A3483E"/>
    <w:rsid w:val="00A4537D"/>
    <w:rsid w:val="00A54A42"/>
    <w:rsid w:val="00A64ECB"/>
    <w:rsid w:val="00A84CB2"/>
    <w:rsid w:val="00AC19DA"/>
    <w:rsid w:val="00AF011E"/>
    <w:rsid w:val="00B207BC"/>
    <w:rsid w:val="00B24BB3"/>
    <w:rsid w:val="00B45FA1"/>
    <w:rsid w:val="00B47837"/>
    <w:rsid w:val="00B70153"/>
    <w:rsid w:val="00B766FF"/>
    <w:rsid w:val="00B81AF7"/>
    <w:rsid w:val="00BA151A"/>
    <w:rsid w:val="00BA6E4A"/>
    <w:rsid w:val="00BB2573"/>
    <w:rsid w:val="00BC132F"/>
    <w:rsid w:val="00BC2905"/>
    <w:rsid w:val="00BD38E2"/>
    <w:rsid w:val="00BD6DC8"/>
    <w:rsid w:val="00BF3442"/>
    <w:rsid w:val="00C12564"/>
    <w:rsid w:val="00C163AC"/>
    <w:rsid w:val="00C201DD"/>
    <w:rsid w:val="00C346BC"/>
    <w:rsid w:val="00C35B92"/>
    <w:rsid w:val="00C50076"/>
    <w:rsid w:val="00C61243"/>
    <w:rsid w:val="00C70A5C"/>
    <w:rsid w:val="00C756C9"/>
    <w:rsid w:val="00C92F77"/>
    <w:rsid w:val="00CA3828"/>
    <w:rsid w:val="00CC5AEC"/>
    <w:rsid w:val="00CC5F31"/>
    <w:rsid w:val="00CE074B"/>
    <w:rsid w:val="00CF2CBD"/>
    <w:rsid w:val="00D54663"/>
    <w:rsid w:val="00D57078"/>
    <w:rsid w:val="00D63E74"/>
    <w:rsid w:val="00D672F1"/>
    <w:rsid w:val="00D920A3"/>
    <w:rsid w:val="00D9546A"/>
    <w:rsid w:val="00DA3D46"/>
    <w:rsid w:val="00DB7CA7"/>
    <w:rsid w:val="00DE23AD"/>
    <w:rsid w:val="00DE6601"/>
    <w:rsid w:val="00E40BC6"/>
    <w:rsid w:val="00E5292D"/>
    <w:rsid w:val="00E8452A"/>
    <w:rsid w:val="00EA749C"/>
    <w:rsid w:val="00EF01DF"/>
    <w:rsid w:val="00F16203"/>
    <w:rsid w:val="00F27642"/>
    <w:rsid w:val="00F325BD"/>
    <w:rsid w:val="00F53C00"/>
    <w:rsid w:val="00F875F0"/>
    <w:rsid w:val="00F96575"/>
    <w:rsid w:val="00FB78E4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6CF2397-F27C-4DA8-9C8B-B33E764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0E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07E0E"/>
    <w:pPr>
      <w:keepNext/>
      <w:keepLines/>
      <w:numPr>
        <w:numId w:val="2"/>
      </w:numPr>
      <w:spacing w:before="480" w:after="0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07E0E"/>
    <w:pPr>
      <w:keepNext/>
      <w:keepLines/>
      <w:numPr>
        <w:ilvl w:val="1"/>
        <w:numId w:val="2"/>
      </w:numPr>
      <w:pBdr>
        <w:bottom w:val="single" w:sz="36" w:space="1" w:color="00B050"/>
      </w:pBdr>
      <w:spacing w:before="200" w:after="0" w:line="240" w:lineRule="auto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Heading3">
    <w:name w:val="heading 3"/>
    <w:next w:val="Normal"/>
    <w:link w:val="Heading3Char"/>
    <w:unhideWhenUsed/>
    <w:qFormat/>
    <w:rsid w:val="00307E0E"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cs="ITC Franklin Gothic Std Med"/>
      <w:b/>
      <w:color w:val="00B050"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307E0E"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eastAsiaTheme="minorHAnsi" w:cs="ITC Franklin Gothic Std Med"/>
      <w:b/>
      <w:i/>
      <w:color w:val="00B050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7E0E"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0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0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0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0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E0E"/>
    <w:rPr>
      <w:rFonts w:ascii="Calibri" w:eastAsiaTheme="majorEastAsia" w:hAnsi="Calibri" w:cstheme="majorBidi"/>
      <w:b/>
      <w:bCs/>
      <w:color w:val="00B050"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307E0E"/>
    <w:rPr>
      <w:rFonts w:eastAsiaTheme="majorEastAsia" w:cstheme="majorBidi"/>
      <w:b/>
      <w:bCs/>
      <w:color w:val="00B050"/>
      <w:sz w:val="2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307E0E"/>
    <w:rPr>
      <w:rFonts w:cs="ITC Franklin Gothic Std Med"/>
      <w:b/>
      <w:color w:val="00B050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07E0E"/>
    <w:rPr>
      <w:rFonts w:cs="ITC Franklin Gothic Std Med"/>
      <w:b/>
      <w:i/>
      <w:color w:val="00B05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07E0E"/>
    <w:rPr>
      <w:rFonts w:cs="ITC Franklin Gothic Std Med"/>
      <w:b/>
      <w:i/>
      <w:iCs/>
      <w:color w:val="C45911" w:themeColor="accent2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0E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0E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07E0E"/>
    <w:rPr>
      <w:vertAlign w:val="superscript"/>
    </w:rPr>
  </w:style>
  <w:style w:type="paragraph" w:customStyle="1" w:styleId="ESSpara">
    <w:name w:val="ESS para"/>
    <w:basedOn w:val="Normal"/>
    <w:link w:val="ESSparaChar"/>
    <w:qFormat/>
    <w:rsid w:val="00307E0E"/>
    <w:pPr>
      <w:numPr>
        <w:numId w:val="1"/>
      </w:numPr>
      <w:spacing w:after="240" w:line="240" w:lineRule="auto"/>
      <w:jc w:val="both"/>
    </w:pPr>
  </w:style>
  <w:style w:type="character" w:customStyle="1" w:styleId="ESSparaChar">
    <w:name w:val="ESS para Char"/>
    <w:basedOn w:val="DefaultParagraphFont"/>
    <w:link w:val="ESSpara"/>
    <w:rsid w:val="00307E0E"/>
    <w:rPr>
      <w:rFonts w:eastAsiaTheme="minorEastAsia"/>
      <w:lang w:eastAsia="ja-JP"/>
    </w:rPr>
  </w:style>
  <w:style w:type="paragraph" w:customStyle="1" w:styleId="essbullet">
    <w:name w:val="ess bullet"/>
    <w:basedOn w:val="Normal"/>
    <w:qFormat/>
    <w:rsid w:val="00307E0E"/>
    <w:pPr>
      <w:numPr>
        <w:ilvl w:val="1"/>
        <w:numId w:val="3"/>
      </w:numPr>
      <w:tabs>
        <w:tab w:val="left" w:pos="1080"/>
      </w:tabs>
      <w:spacing w:after="240" w:line="240" w:lineRule="auto"/>
      <w:ind w:left="1080"/>
      <w:jc w:val="both"/>
    </w:pPr>
    <w:rPr>
      <w:rFonts w:cs="Times New Roman"/>
      <w:lang w:eastAsia="en-US"/>
    </w:rPr>
  </w:style>
  <w:style w:type="paragraph" w:customStyle="1" w:styleId="essobjbull">
    <w:name w:val="ess obj bull"/>
    <w:basedOn w:val="essbullet"/>
    <w:link w:val="essobjbullChar"/>
    <w:qFormat/>
    <w:rsid w:val="00307E0E"/>
    <w:pPr>
      <w:spacing w:after="120"/>
      <w:ind w:left="360"/>
    </w:pPr>
  </w:style>
  <w:style w:type="character" w:customStyle="1" w:styleId="essobjbullChar">
    <w:name w:val="ess obj bull Char"/>
    <w:basedOn w:val="DefaultParagraphFont"/>
    <w:link w:val="essobjbull"/>
    <w:rsid w:val="00307E0E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30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0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0E"/>
    <w:rPr>
      <w:rFonts w:eastAsiaTheme="minorEastAsia"/>
      <w:lang w:eastAsia="ja-JP"/>
    </w:rPr>
  </w:style>
  <w:style w:type="paragraph" w:styleId="ListBullet">
    <w:name w:val="List Bullet"/>
    <w:basedOn w:val="BodyText"/>
    <w:unhideWhenUsed/>
    <w:rsid w:val="00307E0E"/>
    <w:pPr>
      <w:widowControl w:val="0"/>
      <w:numPr>
        <w:numId w:val="5"/>
      </w:numPr>
      <w:spacing w:after="0" w:line="240" w:lineRule="auto"/>
      <w:ind w:left="568" w:hanging="284"/>
      <w:jc w:val="both"/>
    </w:pPr>
    <w:rPr>
      <w:rFonts w:ascii="Cambria" w:eastAsiaTheme="minorHAnsi" w:hAnsi="Cambria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E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E0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Joyce Osborne</dc:creator>
  <cp:keywords/>
  <dc:description/>
  <cp:lastModifiedBy>Diane Joyce Osborne</cp:lastModifiedBy>
  <cp:revision>1</cp:revision>
  <dcterms:created xsi:type="dcterms:W3CDTF">2015-09-22T15:11:00Z</dcterms:created>
  <dcterms:modified xsi:type="dcterms:W3CDTF">2015-09-22T15:17:00Z</dcterms:modified>
</cp:coreProperties>
</file>