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ED" w:rsidRPr="00FB63B5" w:rsidRDefault="00E202ED" w:rsidP="003161FD">
      <w:pPr>
        <w:pStyle w:val="Heading1"/>
        <w:numPr>
          <w:ilvl w:val="0"/>
          <w:numId w:val="0"/>
        </w:numPr>
        <w:spacing w:before="240" w:after="240" w:line="240" w:lineRule="auto"/>
      </w:pPr>
      <w:bookmarkStart w:id="0" w:name="_Toc394499132"/>
      <w:bookmarkStart w:id="1" w:name="_Toc423449516"/>
      <w:bookmarkStart w:id="2" w:name="_Toc426539739"/>
      <w:r>
        <w:t>环境与社会标准</w:t>
      </w:r>
      <w:r>
        <w:t xml:space="preserve">2 </w:t>
      </w:r>
      <w:r>
        <w:br/>
      </w:r>
      <w:r>
        <w:t>劳工和工作条件</w:t>
      </w:r>
      <w:bookmarkEnd w:id="0"/>
      <w:bookmarkEnd w:id="1"/>
      <w:bookmarkEnd w:id="2"/>
    </w:p>
    <w:p w:rsidR="00E202ED" w:rsidRPr="00811E2A" w:rsidRDefault="00E202ED" w:rsidP="00E202ED">
      <w:pPr>
        <w:pStyle w:val="Heading2"/>
      </w:pPr>
      <w:bookmarkStart w:id="3" w:name="_Toc394499133"/>
      <w:bookmarkStart w:id="4" w:name="_Toc423449517"/>
      <w:bookmarkStart w:id="5" w:name="_Toc426539740"/>
      <w:r>
        <w:t>简介</w:t>
      </w:r>
      <w:bookmarkEnd w:id="3"/>
      <w:bookmarkEnd w:id="4"/>
      <w:bookmarkEnd w:id="5"/>
    </w:p>
    <w:p w:rsidR="00E202ED" w:rsidRPr="0053722D" w:rsidRDefault="00E202ED" w:rsidP="00E202ED">
      <w:pPr>
        <w:pStyle w:val="ESSpara"/>
        <w:numPr>
          <w:ilvl w:val="0"/>
          <w:numId w:val="4"/>
        </w:numPr>
        <w:ind w:left="0" w:firstLine="0"/>
      </w:pPr>
      <w:r>
        <w:t>《环境与社会标准</w:t>
      </w:r>
      <w:r>
        <w:t>2</w:t>
      </w:r>
      <w:r>
        <w:t>》列明了提供就业和创收机会在促进减贫和经济增长方面的重要性。通过确保项目工作人员得到公平对待，并为其提供安全健康的工作环境，借款国还可促进建立良好的工作人员</w:t>
      </w:r>
      <w:r>
        <w:t>—</w:t>
      </w:r>
      <w:r>
        <w:t>管理层关系，提升项目的发展效益。</w:t>
      </w:r>
      <w:r>
        <w:t xml:space="preserve"> </w:t>
      </w:r>
    </w:p>
    <w:p w:rsidR="00E202ED" w:rsidRPr="00811E2A" w:rsidRDefault="00E202ED" w:rsidP="00E202ED">
      <w:pPr>
        <w:pStyle w:val="Heading2"/>
      </w:pPr>
      <w:bookmarkStart w:id="6" w:name="_Toc394499134"/>
      <w:bookmarkStart w:id="7" w:name="_Toc423449518"/>
      <w:bookmarkStart w:id="8" w:name="_Toc426539741"/>
      <w:r>
        <w:t>目标</w:t>
      </w:r>
      <w:bookmarkEnd w:id="6"/>
      <w:bookmarkEnd w:id="7"/>
      <w:bookmarkEnd w:id="8"/>
      <w:r>
        <w:t xml:space="preserve"> </w:t>
      </w:r>
    </w:p>
    <w:p w:rsidR="00E202ED" w:rsidRDefault="00E202ED" w:rsidP="00E202ED">
      <w:pPr>
        <w:pStyle w:val="essobjbull"/>
      </w:pPr>
      <w:r>
        <w:t>提高工作中的安全性和健康。</w:t>
      </w:r>
    </w:p>
    <w:p w:rsidR="00E202ED" w:rsidRDefault="00E202ED" w:rsidP="00E202ED">
      <w:pPr>
        <w:pStyle w:val="essobjbull"/>
      </w:pPr>
      <w:r>
        <w:t>促进对项目工作人员的公平对待，使其不受歧视，获得平等机会。</w:t>
      </w:r>
    </w:p>
    <w:p w:rsidR="00E202ED" w:rsidRPr="003F46CA" w:rsidRDefault="00E202ED" w:rsidP="00E202ED">
      <w:pPr>
        <w:pStyle w:val="essobjbull"/>
      </w:pPr>
      <w:r>
        <w:t>保护项目工作人员，包括如妇女、残疾人、青少年（符合《环境与社会标准》规定的工作年龄）、合同工和基层工人等弱势人员。</w:t>
      </w:r>
    </w:p>
    <w:p w:rsidR="00E202ED" w:rsidRDefault="00E202ED" w:rsidP="00E202ED">
      <w:pPr>
        <w:pStyle w:val="essobjbull"/>
      </w:pPr>
      <w:r>
        <w:t>避免使用各种强迫劳工和有害的童工。</w:t>
      </w:r>
    </w:p>
    <w:p w:rsidR="00E202ED" w:rsidRDefault="00E202ED" w:rsidP="00E202ED">
      <w:pPr>
        <w:pStyle w:val="essobjbull"/>
      </w:pPr>
      <w:r>
        <w:t>支持工人结社自由和集体谈判的原则。</w:t>
      </w:r>
      <w:r>
        <w:t xml:space="preserve"> </w:t>
      </w:r>
    </w:p>
    <w:p w:rsidR="00E202ED" w:rsidRPr="00CF60BA" w:rsidRDefault="00E202ED" w:rsidP="00E202ED">
      <w:pPr>
        <w:pStyle w:val="Heading2"/>
        <w:rPr>
          <w:color w:val="FF0000"/>
        </w:rPr>
      </w:pPr>
      <w:bookmarkStart w:id="9" w:name="_Toc394499135"/>
      <w:bookmarkStart w:id="10" w:name="_Toc423449519"/>
      <w:bookmarkStart w:id="11" w:name="_Toc426539742"/>
      <w:r>
        <w:t>适用范围</w:t>
      </w:r>
      <w:bookmarkEnd w:id="9"/>
      <w:bookmarkEnd w:id="10"/>
      <w:bookmarkEnd w:id="11"/>
    </w:p>
    <w:p w:rsidR="00E202ED" w:rsidRPr="006F5103" w:rsidRDefault="00E202ED" w:rsidP="00E202ED">
      <w:pPr>
        <w:pStyle w:val="ESSpara"/>
        <w:ind w:left="0" w:firstLine="0"/>
      </w:pPr>
      <w:r>
        <w:t>详见《环境与社会标准</w:t>
      </w:r>
      <w:r>
        <w:t>1</w:t>
      </w:r>
      <w:r>
        <w:t>》，了解《环境与社会标准</w:t>
      </w:r>
      <w:r>
        <w:t>2</w:t>
      </w:r>
      <w:r>
        <w:t>》在环境与社会评价过程中的适用性。在评价过程中，借款国应确认《环境与社会标准</w:t>
      </w:r>
      <w:r>
        <w:t>2</w:t>
      </w:r>
      <w:r>
        <w:t>》的相关标准及其在项目中的应用。</w:t>
      </w:r>
      <w:r>
        <w:t xml:space="preserve"> </w:t>
      </w:r>
      <w:r>
        <w:rPr>
          <w:rStyle w:val="FootnoteReference"/>
        </w:rPr>
        <w:footnoteReference w:id="1"/>
      </w:r>
    </w:p>
    <w:p w:rsidR="00E202ED" w:rsidRDefault="00E202ED" w:rsidP="00E202ED">
      <w:pPr>
        <w:pStyle w:val="ESSpara"/>
        <w:ind w:left="0" w:firstLine="0"/>
      </w:pPr>
      <w:r>
        <w:t>《环境与社会标准</w:t>
      </w:r>
      <w:r>
        <w:t>2</w:t>
      </w:r>
      <w:r>
        <w:t>》的应用范围取决于借款国与项目工作人员之间雇用关系的类型。术语</w:t>
      </w:r>
      <w:r>
        <w:t>“</w:t>
      </w:r>
      <w:r>
        <w:rPr>
          <w:b/>
          <w:i/>
        </w:rPr>
        <w:t>项目工作人员</w:t>
      </w:r>
      <w:r>
        <w:t>”</w:t>
      </w:r>
      <w:r>
        <w:t>是指：</w:t>
      </w:r>
    </w:p>
    <w:p w:rsidR="00E202ED" w:rsidRDefault="00E202ED" w:rsidP="00E202ED">
      <w:pPr>
        <w:pStyle w:val="ESSpara"/>
        <w:numPr>
          <w:ilvl w:val="1"/>
          <w:numId w:val="1"/>
        </w:numPr>
      </w:pPr>
      <w:r>
        <w:t>由借款国、项目提案者和</w:t>
      </w:r>
      <w:r>
        <w:t>/</w:t>
      </w:r>
      <w:r>
        <w:t>或项目实施机构直接雇用专门从事项目相关工作的人员（</w:t>
      </w:r>
      <w:r>
        <w:rPr>
          <w:b/>
          <w:i/>
        </w:rPr>
        <w:t>直接工作人员</w:t>
      </w:r>
      <w:r>
        <w:t>）。</w:t>
      </w:r>
      <w:r>
        <w:t xml:space="preserve"> </w:t>
      </w:r>
    </w:p>
    <w:p w:rsidR="00E202ED" w:rsidRDefault="00E202ED" w:rsidP="00E202ED">
      <w:pPr>
        <w:pStyle w:val="ESSpara"/>
        <w:numPr>
          <w:ilvl w:val="1"/>
          <w:numId w:val="1"/>
        </w:numPr>
      </w:pPr>
      <w:r>
        <w:t>由第三方</w:t>
      </w:r>
      <w:r>
        <w:rPr>
          <w:rStyle w:val="FootnoteReference"/>
        </w:rPr>
        <w:footnoteReference w:id="2"/>
      </w:r>
      <w:r>
        <w:t>雇用从事与项目核心功能</w:t>
      </w:r>
      <w:r>
        <w:rPr>
          <w:rStyle w:val="FootnoteReference"/>
        </w:rPr>
        <w:footnoteReference w:id="3"/>
      </w:r>
      <w:r>
        <w:t>相关工作的人员，不管位置如何（</w:t>
      </w:r>
      <w:r>
        <w:rPr>
          <w:b/>
          <w:i/>
        </w:rPr>
        <w:t>合同工）；</w:t>
      </w:r>
      <w:r>
        <w:t xml:space="preserve"> </w:t>
      </w:r>
    </w:p>
    <w:p w:rsidR="00E202ED" w:rsidRDefault="00E202ED" w:rsidP="00E202ED">
      <w:pPr>
        <w:pStyle w:val="ESSpara"/>
        <w:numPr>
          <w:ilvl w:val="1"/>
          <w:numId w:val="1"/>
        </w:numPr>
      </w:pPr>
      <w:r>
        <w:t>由借款国主要供应商</w:t>
      </w:r>
      <w:r>
        <w:rPr>
          <w:rStyle w:val="FootnoteReference"/>
        </w:rPr>
        <w:footnoteReference w:id="4"/>
      </w:r>
      <w:r>
        <w:t>雇用的人员（</w:t>
      </w:r>
      <w:r>
        <w:rPr>
          <w:b/>
          <w:i/>
        </w:rPr>
        <w:t>主要供应商工作人员</w:t>
      </w:r>
      <w:r>
        <w:t>）；</w:t>
      </w:r>
    </w:p>
    <w:p w:rsidR="00E202ED" w:rsidRDefault="00E202ED" w:rsidP="00E202ED">
      <w:pPr>
        <w:pStyle w:val="ESSpara"/>
        <w:numPr>
          <w:ilvl w:val="1"/>
          <w:numId w:val="1"/>
        </w:numPr>
      </w:pPr>
      <w:r>
        <w:lastRenderedPageBreak/>
        <w:t>从事社区劳动如社区发展项目或工作福利制计划的人员（</w:t>
      </w:r>
      <w:r>
        <w:rPr>
          <w:b/>
          <w:i/>
        </w:rPr>
        <w:t>从事社区劳动的工作人员）。</w:t>
      </w:r>
      <w:r>
        <w:t xml:space="preserve"> </w:t>
      </w:r>
    </w:p>
    <w:p w:rsidR="00E202ED" w:rsidRDefault="00E202ED" w:rsidP="00E202ED">
      <w:pPr>
        <w:pStyle w:val="ESSpara"/>
        <w:numPr>
          <w:ilvl w:val="0"/>
          <w:numId w:val="0"/>
        </w:numPr>
      </w:pPr>
      <w:r>
        <w:t>《环境与社会标准</w:t>
      </w:r>
      <w:r>
        <w:t>2</w:t>
      </w:r>
      <w:r>
        <w:t>》适用于项目工作人员，包括全职工、兼职工、临时工、季节性工人和外来工。</w:t>
      </w:r>
      <w:r>
        <w:rPr>
          <w:rStyle w:val="FootnoteReference"/>
        </w:rPr>
        <w:footnoteReference w:id="5"/>
      </w:r>
      <w:r>
        <w:t xml:space="preserve"> </w:t>
      </w:r>
    </w:p>
    <w:p w:rsidR="00E202ED" w:rsidRDefault="00E202ED" w:rsidP="00E202ED">
      <w:pPr>
        <w:pStyle w:val="Heading4"/>
      </w:pPr>
      <w:r>
        <w:t>直接工作人员</w:t>
      </w:r>
    </w:p>
    <w:p w:rsidR="00E202ED" w:rsidRDefault="00E202ED" w:rsidP="00E202ED">
      <w:pPr>
        <w:pStyle w:val="ESSpara"/>
        <w:ind w:left="0" w:firstLine="0"/>
      </w:pPr>
      <w:r>
        <w:t>本《环境与社会标准》第</w:t>
      </w:r>
      <w:r>
        <w:t>9-30</w:t>
      </w:r>
      <w:r>
        <w:t>条的要求将适用于直接工作人员。</w:t>
      </w:r>
    </w:p>
    <w:p w:rsidR="00E202ED" w:rsidRDefault="00E202ED" w:rsidP="00E202ED">
      <w:pPr>
        <w:pStyle w:val="Heading4"/>
      </w:pPr>
      <w:r>
        <w:t>合同工</w:t>
      </w:r>
    </w:p>
    <w:p w:rsidR="00E202ED" w:rsidRDefault="00E202ED" w:rsidP="00E202ED">
      <w:pPr>
        <w:pStyle w:val="ESSpara"/>
        <w:ind w:left="0" w:firstLine="0"/>
      </w:pPr>
      <w:r>
        <w:t>本《环境与社会标准》第</w:t>
      </w:r>
      <w:r>
        <w:t>31-33</w:t>
      </w:r>
      <w:r>
        <w:t>条的要求将适用于合同工。</w:t>
      </w:r>
      <w:r>
        <w:t xml:space="preserve"> </w:t>
      </w:r>
    </w:p>
    <w:p w:rsidR="00E202ED" w:rsidRDefault="00E202ED" w:rsidP="00E202ED">
      <w:pPr>
        <w:pStyle w:val="Heading4"/>
      </w:pPr>
      <w:r>
        <w:t>从事社区劳动的工作人员</w:t>
      </w:r>
    </w:p>
    <w:p w:rsidR="00E202ED" w:rsidRDefault="00E202ED" w:rsidP="00E202ED">
      <w:pPr>
        <w:pStyle w:val="ESSpara"/>
        <w:ind w:left="0" w:firstLine="0"/>
      </w:pPr>
      <w:r>
        <w:t>本《环境与社会标准》第</w:t>
      </w:r>
      <w:r>
        <w:t>34-36</w:t>
      </w:r>
      <w:r>
        <w:t>条的要求将适用于社区劳工。</w:t>
      </w:r>
    </w:p>
    <w:p w:rsidR="00E202ED" w:rsidRDefault="00E202ED" w:rsidP="00E202ED">
      <w:pPr>
        <w:pStyle w:val="Heading4"/>
      </w:pPr>
      <w:r>
        <w:t>主要供应商工作人员</w:t>
      </w:r>
    </w:p>
    <w:p w:rsidR="00E202ED" w:rsidRDefault="00E202ED" w:rsidP="00E202ED">
      <w:pPr>
        <w:pStyle w:val="ESSpara"/>
        <w:ind w:left="0" w:firstLine="0"/>
      </w:pPr>
      <w:r>
        <w:t>本《环境与社会标准》第</w:t>
      </w:r>
      <w:r>
        <w:t>37-39</w:t>
      </w:r>
      <w:r>
        <w:t>条的要求将适用于主要供应商工作人员。</w:t>
      </w:r>
    </w:p>
    <w:p w:rsidR="00E202ED" w:rsidRPr="003A4E28" w:rsidRDefault="00E202ED" w:rsidP="00E202ED">
      <w:pPr>
        <w:pStyle w:val="ESSpara"/>
        <w:ind w:left="0" w:firstLine="0"/>
      </w:pPr>
      <w:r>
        <w:t>若政府公务员参与项目相关工作（无论全职或兼职），必须满足现有公共部门就业协议或协定的条件，除非有一个有效合法的工作调换证明或参与到项目中</w:t>
      </w:r>
      <w:r>
        <w:rPr>
          <w:rStyle w:val="FootnoteReference"/>
        </w:rPr>
        <w:footnoteReference w:id="6"/>
      </w:r>
      <w:r>
        <w:t>。除第</w:t>
      </w:r>
      <w:r>
        <w:t>17-20</w:t>
      </w:r>
      <w:r>
        <w:t>条（劳动保护）和第</w:t>
      </w:r>
      <w:r>
        <w:t>24-30</w:t>
      </w:r>
      <w:r>
        <w:t>条（职业健康安全）之外，《环境与社会标准</w:t>
      </w:r>
      <w:r>
        <w:t>2</w:t>
      </w:r>
      <w:r>
        <w:t>》不适用于上述政府公务员。</w:t>
      </w:r>
    </w:p>
    <w:p w:rsidR="00E202ED" w:rsidRPr="00811E2A" w:rsidRDefault="00E202ED" w:rsidP="00E202ED">
      <w:pPr>
        <w:pStyle w:val="Heading2"/>
      </w:pPr>
      <w:bookmarkStart w:id="12" w:name="_Toc394499136"/>
      <w:bookmarkStart w:id="13" w:name="_Toc423449520"/>
      <w:bookmarkStart w:id="14" w:name="_Toc426539743"/>
      <w:r>
        <w:t>要求</w:t>
      </w:r>
      <w:bookmarkEnd w:id="12"/>
      <w:bookmarkEnd w:id="13"/>
      <w:bookmarkEnd w:id="14"/>
    </w:p>
    <w:p w:rsidR="00E202ED" w:rsidRDefault="00E202ED" w:rsidP="00E202ED">
      <w:pPr>
        <w:pStyle w:val="Heading3"/>
        <w:ind w:left="0" w:firstLine="0"/>
      </w:pPr>
      <w:bookmarkStart w:id="15" w:name="_Toc394499137"/>
      <w:bookmarkStart w:id="16" w:name="_Toc423449521"/>
      <w:bookmarkStart w:id="17" w:name="_Toc426539744"/>
      <w:r>
        <w:t>工作条件和工作人员关系管理</w:t>
      </w:r>
      <w:bookmarkEnd w:id="15"/>
      <w:bookmarkEnd w:id="16"/>
      <w:bookmarkEnd w:id="17"/>
    </w:p>
    <w:p w:rsidR="00E202ED" w:rsidRDefault="00E202ED" w:rsidP="00E202ED">
      <w:pPr>
        <w:pStyle w:val="ESSpara"/>
        <w:ind w:left="0" w:firstLine="0"/>
      </w:pPr>
      <w:r>
        <w:t>借款国应落实适用项目的书面劳动管理程序。此类程序应说明管理项目工作人员的方式，并满足国家法律和本《环境与社会标准》的要求。</w:t>
      </w:r>
      <w:r>
        <w:rPr>
          <w:rStyle w:val="FootnoteReference"/>
          <w:spacing w:val="-3"/>
        </w:rPr>
        <w:footnoteReference w:id="7"/>
      </w:r>
      <w:r>
        <w:t>这些程序将指出本《环境与社会标准》将适用于不同类别的项目工作人员（包括直接工作人员）的方式，及借款国要求第三方根据第</w:t>
      </w:r>
      <w:r>
        <w:t>31-33</w:t>
      </w:r>
      <w:r>
        <w:t>条管理其工作人员的方式。</w:t>
      </w:r>
      <w:r>
        <w:t xml:space="preserve"> </w:t>
      </w:r>
    </w:p>
    <w:p w:rsidR="00E202ED" w:rsidRPr="00C90F88" w:rsidRDefault="00E202ED" w:rsidP="00E202ED">
      <w:pPr>
        <w:pStyle w:val="ESSpara"/>
        <w:numPr>
          <w:ilvl w:val="0"/>
          <w:numId w:val="0"/>
        </w:numPr>
        <w:rPr>
          <w:b/>
          <w:bCs/>
          <w:i/>
          <w:iCs/>
          <w:color w:val="00B050"/>
        </w:rPr>
      </w:pPr>
      <w:r>
        <w:rPr>
          <w:b/>
          <w:i/>
          <w:color w:val="00B050"/>
        </w:rPr>
        <w:t>雇用条款</w:t>
      </w:r>
    </w:p>
    <w:p w:rsidR="00E202ED" w:rsidRPr="00F42D24" w:rsidRDefault="00E202ED" w:rsidP="00E202ED">
      <w:pPr>
        <w:pStyle w:val="ESSpara"/>
        <w:ind w:left="0" w:firstLine="0"/>
      </w:pPr>
      <w:r>
        <w:t>借款国应向项目工作人员明确清晰地说明雇用条款和条件的相关信息和文件。信息和文件应列明工作人员按照国家劳动和雇用法律（包括任何适用的集体协议）规定应享有的权利（包括</w:t>
      </w:r>
      <w:r>
        <w:lastRenderedPageBreak/>
        <w:t>工作时长、工资、加班、薪资和福利方面的相关权利以及</w:t>
      </w:r>
      <w:r>
        <w:t>ESS</w:t>
      </w:r>
      <w:r>
        <w:t>要求的那些权利）。在确立工作关系伊始和雇用条款和条件发生重大变更时，借款国应提供此类信息和文件。</w:t>
      </w:r>
      <w:r>
        <w:t xml:space="preserve"> </w:t>
      </w:r>
    </w:p>
    <w:p w:rsidR="00E202ED" w:rsidRPr="00F81D6E" w:rsidRDefault="00E202ED" w:rsidP="00E202ED">
      <w:pPr>
        <w:pStyle w:val="ESSpara"/>
        <w:ind w:left="0" w:firstLine="0"/>
      </w:pPr>
      <w:r>
        <w:t>借款国应根据国家法律和劳动管理程序要求定期为项目工作人员支付薪资。只有在符合国家法律和劳动管理程序的条件下，借款国方可扣减工作人员工资，且应就工资的扣减做出说明。借款国应根据国家法律和劳动管理程序规定为项目工作人员提供足够的周休、年假和病假。</w:t>
      </w:r>
    </w:p>
    <w:p w:rsidR="00E202ED" w:rsidRDefault="00E202ED" w:rsidP="00E202ED">
      <w:pPr>
        <w:pStyle w:val="ESSpara"/>
        <w:ind w:left="0" w:firstLine="0"/>
      </w:pPr>
      <w:r>
        <w:t>终止劳动关系时，借款国应根据国家法律和劳动管理程序规定及时向项目工作人员发出书面解雇通知并提供解雇费明细。在劳动关系终止之时或终止前，借款国应直接向项目工作人员（或如适用，项目工作人员的受益人）支付所有未付工资、社会保障金、养老金和其他福利。如果已付款给项目工作人员的受益人，应向项目工作人员提供付款凭证。</w:t>
      </w:r>
    </w:p>
    <w:p w:rsidR="00E202ED" w:rsidRPr="00416A3B" w:rsidRDefault="00E202ED" w:rsidP="00E202ED">
      <w:pPr>
        <w:pStyle w:val="Heading4"/>
      </w:pPr>
      <w:bookmarkStart w:id="18" w:name="_Toc394499138"/>
      <w:r>
        <w:t>不歧视和平等机会</w:t>
      </w:r>
      <w:bookmarkEnd w:id="18"/>
    </w:p>
    <w:p w:rsidR="00E202ED" w:rsidRPr="00EC51E3" w:rsidRDefault="00E202ED" w:rsidP="00E202ED">
      <w:pPr>
        <w:pStyle w:val="ESSpara"/>
        <w:ind w:left="0" w:firstLine="0"/>
      </w:pPr>
      <w:r>
        <w:t>借款国不得根据与固有工作要求无关的个人特征决定项目工作人员的雇用或处理。雇用项目工作人员应本着机会平等和公平对待的原则，不得在雇用关系和纪律措施中的任何方面存在歧视，包括招聘和雇用、薪酬（包括工资和福利）、工作条件和雇用条款、培训机会、工作分配、升职、解雇和退休以及惩罚性措施。劳动管理程序应列明防止并处理对工作人员的骚扰、恐吓和</w:t>
      </w:r>
      <w:r>
        <w:t>/</w:t>
      </w:r>
      <w:r>
        <w:t>或剥削的措施。若本条与国家法律存在不一致之处，项目活动应尽可能按照符合本条要求。</w:t>
      </w:r>
      <w:r>
        <w:t xml:space="preserve"> </w:t>
      </w:r>
    </w:p>
    <w:p w:rsidR="00E202ED" w:rsidRDefault="00E202ED" w:rsidP="00E202ED">
      <w:pPr>
        <w:pStyle w:val="ESSpara"/>
        <w:ind w:left="0" w:firstLine="0"/>
      </w:pPr>
      <w:r>
        <w:t>为弥补过去的歧视而采取的特殊保护或援助措施，并基于某一特定工作的内在要求而选择人选，只要这些做法符合国家法律，将不会被视为歧视。</w:t>
      </w:r>
      <w:r>
        <w:t xml:space="preserve"> </w:t>
      </w:r>
    </w:p>
    <w:p w:rsidR="00E202ED" w:rsidRDefault="00E202ED" w:rsidP="00E202ED">
      <w:pPr>
        <w:pStyle w:val="ESSpara"/>
        <w:ind w:left="0" w:firstLine="0"/>
      </w:pPr>
      <w:r>
        <w:t>借款国将提供适当的保护和援助措施，以应对弱势项目工作人员，包括特殊的工作人员人群，如妇女、残疾人、外来工和童工（工作年龄符合本《环境与社会标准》的要求）。此类措施可能仅适用于特定的时间段，具体取决于项目工作人员的情形及弱势的性质。</w:t>
      </w:r>
    </w:p>
    <w:p w:rsidR="00E202ED" w:rsidRPr="00416A3B" w:rsidRDefault="00E202ED" w:rsidP="00E202ED">
      <w:pPr>
        <w:pStyle w:val="Heading4"/>
      </w:pPr>
      <w:bookmarkStart w:id="19" w:name="_Toc394499139"/>
      <w:r>
        <w:t>工作人员组织</w:t>
      </w:r>
      <w:bookmarkEnd w:id="19"/>
    </w:p>
    <w:p w:rsidR="00E202ED" w:rsidRDefault="00E202ED" w:rsidP="00E202ED">
      <w:pPr>
        <w:pStyle w:val="ESSpara"/>
        <w:ind w:left="0" w:firstLine="0"/>
      </w:pPr>
      <w:r>
        <w:t>如果项目所在国法律承认工作人员享有自由、不受干涉地组建并参加工作人员组织以及进行集体谈判的权利，项目应符合国家法律。在此情况下，必须尊重依法组建的工作人员组织和合法工作人员代表的角色，并及时为其提供进行有效谈判所需的信息。若国家法律限制工作人员组织，则项目不会限制工作人员制定替代的机制，以进行申诉并保护其有关工作条件和雇用条款的权利。借款国不应试图影响或控制这些替代机制。</w:t>
      </w:r>
    </w:p>
    <w:p w:rsidR="00E202ED" w:rsidRDefault="00E202ED" w:rsidP="00E202ED">
      <w:pPr>
        <w:pStyle w:val="Heading3"/>
        <w:ind w:left="0" w:firstLine="0"/>
      </w:pPr>
      <w:bookmarkStart w:id="20" w:name="_Toc394499141"/>
      <w:bookmarkStart w:id="21" w:name="_Toc423449522"/>
      <w:bookmarkStart w:id="22" w:name="_Toc426539745"/>
      <w:r>
        <w:t>劳动保护</w:t>
      </w:r>
      <w:bookmarkEnd w:id="20"/>
      <w:bookmarkEnd w:id="21"/>
      <w:bookmarkEnd w:id="22"/>
    </w:p>
    <w:p w:rsidR="00E202ED" w:rsidRDefault="00E202ED" w:rsidP="00E202ED">
      <w:pPr>
        <w:pStyle w:val="Heading4"/>
      </w:pPr>
      <w:bookmarkStart w:id="23" w:name="_Toc394499142"/>
      <w:r>
        <w:t>童工</w:t>
      </w:r>
      <w:bookmarkEnd w:id="23"/>
      <w:r>
        <w:t>和最小年龄</w:t>
      </w:r>
    </w:p>
    <w:p w:rsidR="00E202ED" w:rsidRDefault="00E202ED" w:rsidP="00E202ED">
      <w:pPr>
        <w:pStyle w:val="ESSpara"/>
        <w:ind w:left="0" w:firstLine="0"/>
      </w:pPr>
      <w:bookmarkStart w:id="24" w:name="_Ref391770259"/>
      <w:r>
        <w:t>低于本条中所规定最低年龄的儿童不会被雇用或从事项目相关工作。劳动保护程序将规定与项目相关的最低雇用年龄，此年龄一般为</w:t>
      </w:r>
      <w:r>
        <w:t>14</w:t>
      </w:r>
      <w:r>
        <w:t>岁，除非国家法律另行规定。</w:t>
      </w:r>
      <w:bookmarkEnd w:id="24"/>
      <w:r>
        <w:t xml:space="preserve"> </w:t>
      </w:r>
    </w:p>
    <w:p w:rsidR="00E202ED" w:rsidRDefault="00E202ED" w:rsidP="00E202ED">
      <w:pPr>
        <w:pStyle w:val="ESSpara"/>
        <w:ind w:left="0" w:firstLine="0"/>
      </w:pPr>
      <w:r>
        <w:t>若雇用</w:t>
      </w:r>
      <w:r>
        <w:t>18</w:t>
      </w:r>
      <w:r>
        <w:t>周岁以下最低雇用年龄以上的儿童从事项目相关工作的，只能在满足以下指定条件的情况下才行：</w:t>
      </w:r>
    </w:p>
    <w:p w:rsidR="00E202ED" w:rsidRDefault="00E202ED" w:rsidP="00E202ED">
      <w:pPr>
        <w:pStyle w:val="ESSpara"/>
        <w:numPr>
          <w:ilvl w:val="1"/>
          <w:numId w:val="1"/>
        </w:numPr>
      </w:pPr>
      <w:r>
        <w:lastRenderedPageBreak/>
        <w:t>工作不能在第</w:t>
      </w:r>
      <w:r>
        <w:t>19</w:t>
      </w:r>
      <w:r>
        <w:t>条范围内；</w:t>
      </w:r>
    </w:p>
    <w:p w:rsidR="00E202ED" w:rsidRDefault="00E202ED" w:rsidP="00E202ED">
      <w:pPr>
        <w:pStyle w:val="ESSpara"/>
        <w:numPr>
          <w:ilvl w:val="1"/>
          <w:numId w:val="1"/>
        </w:numPr>
      </w:pPr>
      <w:r>
        <w:t>工作开始前，还需开展适当风险评价；</w:t>
      </w:r>
    </w:p>
    <w:p w:rsidR="00E202ED" w:rsidRDefault="00E202ED" w:rsidP="00E202ED">
      <w:pPr>
        <w:pStyle w:val="ESSpara"/>
        <w:numPr>
          <w:ilvl w:val="1"/>
          <w:numId w:val="1"/>
        </w:numPr>
      </w:pPr>
      <w:r>
        <w:t>借款国需定期对健康、工作条件、工作时长和</w:t>
      </w:r>
      <w:r>
        <w:t>ESS</w:t>
      </w:r>
      <w:r>
        <w:t>要求符合情况进行监控。</w:t>
      </w:r>
    </w:p>
    <w:p w:rsidR="00E202ED" w:rsidRDefault="00E202ED" w:rsidP="00E202ED">
      <w:pPr>
        <w:pStyle w:val="ESSpara"/>
        <w:ind w:left="0" w:firstLine="0"/>
      </w:pPr>
      <w:r>
        <w:t>借款国不得雇用或聘用</w:t>
      </w:r>
      <w:r>
        <w:t>18</w:t>
      </w:r>
      <w:r>
        <w:t>周岁以下最低雇用年龄以上的儿童从事可能危及</w:t>
      </w:r>
      <w:r>
        <w:rPr>
          <w:rStyle w:val="FootnoteReference"/>
        </w:rPr>
        <w:footnoteReference w:id="8"/>
      </w:r>
      <w:r>
        <w:t>或妨碍儿童教育或对儿童身体健康、智力、精神、伦理或社会发展有害的工作（</w:t>
      </w:r>
      <w:r>
        <w:rPr>
          <w:b/>
          <w:i/>
        </w:rPr>
        <w:t>至伤性童工</w:t>
      </w:r>
      <w:r>
        <w:t>）。</w:t>
      </w:r>
      <w:r>
        <w:t xml:space="preserve"> </w:t>
      </w:r>
    </w:p>
    <w:p w:rsidR="00E202ED" w:rsidRPr="00AF3AC1" w:rsidRDefault="00E202ED" w:rsidP="00E202ED">
      <w:pPr>
        <w:pStyle w:val="Heading4"/>
      </w:pPr>
      <w:bookmarkStart w:id="25" w:name="_Toc394499143"/>
      <w:r>
        <w:t>强迫劳动</w:t>
      </w:r>
      <w:bookmarkEnd w:id="25"/>
      <w:r>
        <w:t xml:space="preserve"> </w:t>
      </w:r>
    </w:p>
    <w:p w:rsidR="00E202ED" w:rsidRDefault="00E202ED" w:rsidP="00E202ED">
      <w:pPr>
        <w:pStyle w:val="ESSpara"/>
        <w:ind w:left="0" w:firstLine="0"/>
      </w:pPr>
      <w:r>
        <w:t>本项目不应涉及强迫劳动。强迫劳动，包括任何个人在武力或惩罚的威胁下非自愿</w:t>
      </w:r>
      <w:r>
        <w:rPr>
          <w:rStyle w:val="FootnoteReference"/>
        </w:rPr>
        <w:footnoteReference w:id="9"/>
      </w:r>
      <w:r>
        <w:t>提供项目相关的任何工作或服务。这包括任何类型的非自愿或强迫性劳工，例如契约劳工、包身工或类似的劳动合约性质的劳动安排。项目相关的雇用不得涉及人口贩卖。</w:t>
      </w:r>
      <w:r>
        <w:rPr>
          <w:rStyle w:val="FootnoteReference"/>
        </w:rPr>
        <w:footnoteReference w:id="10"/>
      </w:r>
      <w:r>
        <w:t xml:space="preserve"> </w:t>
      </w:r>
    </w:p>
    <w:p w:rsidR="00E202ED" w:rsidRDefault="00E202ED" w:rsidP="00E202ED">
      <w:pPr>
        <w:pStyle w:val="Heading3"/>
      </w:pPr>
      <w:bookmarkStart w:id="26" w:name="_Toc394499140"/>
      <w:bookmarkStart w:id="27" w:name="_Toc423449523"/>
      <w:bookmarkStart w:id="28" w:name="_Toc426539746"/>
      <w:bookmarkStart w:id="29" w:name="_Toc394499144"/>
      <w:r>
        <w:t>申诉机制</w:t>
      </w:r>
      <w:bookmarkEnd w:id="26"/>
      <w:bookmarkEnd w:id="27"/>
      <w:bookmarkEnd w:id="28"/>
    </w:p>
    <w:p w:rsidR="00E202ED" w:rsidRPr="00F71195" w:rsidRDefault="00E202ED" w:rsidP="00E202ED">
      <w:pPr>
        <w:pStyle w:val="ESSpara"/>
        <w:ind w:left="0" w:firstLine="0"/>
        <w:rPr>
          <w:bCs/>
        </w:rPr>
      </w:pPr>
      <w:r>
        <w:t>必须为所有项目工作人员（如相关，其组织）提供申诉机制，进行工作场所问题的申诉。在招聘之时，借款国应及时向所有项目工作人员告知申诉机制以及为方便其理解并采用申诉机制所采取的措施。将采取这些措施，以使申诉机制可供所有项目工作人员使用。</w:t>
      </w:r>
      <w:r>
        <w:t xml:space="preserve"> </w:t>
      </w:r>
    </w:p>
    <w:p w:rsidR="00E202ED" w:rsidRPr="00F71195" w:rsidRDefault="00E202ED" w:rsidP="00E202ED">
      <w:pPr>
        <w:pStyle w:val="ESSpara"/>
        <w:ind w:left="0" w:firstLine="0"/>
        <w:rPr>
          <w:bCs/>
        </w:rPr>
      </w:pPr>
      <w:r>
        <w:t>申诉机制旨在通过容易理解和透明的程序即刻解决相关问题，并提供及时反馈相关问题的渠道（不得存在报复行为）。申诉机制应按照独立客观的方式执行。</w:t>
      </w:r>
    </w:p>
    <w:p w:rsidR="00E202ED" w:rsidRPr="00B62815" w:rsidRDefault="00E202ED" w:rsidP="00E202ED">
      <w:pPr>
        <w:pStyle w:val="ESSpara"/>
        <w:ind w:left="0" w:firstLine="0"/>
        <w:rPr>
          <w:bCs/>
        </w:rPr>
      </w:pPr>
      <w:r>
        <w:t>申诉机制不应阻碍工作人员通过其它司法或行政途径寻求补救措施。这些措施可能是根据法律或现行仲裁程序来获取，或取代通过集体协议形式制定的其它申诉机制。</w:t>
      </w:r>
    </w:p>
    <w:p w:rsidR="00E202ED" w:rsidRDefault="00E202ED" w:rsidP="00E202ED">
      <w:pPr>
        <w:pStyle w:val="Heading3"/>
        <w:ind w:left="0" w:firstLine="0"/>
      </w:pPr>
      <w:bookmarkStart w:id="30" w:name="_Toc423449524"/>
      <w:bookmarkStart w:id="31" w:name="_Toc426539747"/>
      <w:r>
        <w:t>职业健康与安全</w:t>
      </w:r>
      <w:bookmarkEnd w:id="29"/>
      <w:bookmarkEnd w:id="30"/>
      <w:bookmarkEnd w:id="31"/>
    </w:p>
    <w:p w:rsidR="00E202ED" w:rsidRDefault="00E202ED" w:rsidP="00E202ED">
      <w:pPr>
        <w:pStyle w:val="ESSpara"/>
        <w:ind w:left="0" w:firstLine="0"/>
      </w:pPr>
      <w:bookmarkStart w:id="32" w:name="_Ref391770281"/>
      <w:r>
        <w:rPr>
          <w:color w:val="000000"/>
        </w:rPr>
        <w:t>与职业健康和安全相关的措施将适用于项目。职业健康与安全的措施将包括本节的要求，并将考虑《环境、健康和安全通用指南》和特定行业的《环境、健康和安全指南》。</w:t>
      </w:r>
      <w:r>
        <w:t>适用于项目的职业健康与安全措施将列于法律协议和《环境和社会承诺计划》中。</w:t>
      </w:r>
      <w:r>
        <w:rPr>
          <w:rStyle w:val="FootnoteReference"/>
          <w:color w:val="2F2F2F"/>
        </w:rPr>
        <w:footnoteReference w:id="11"/>
      </w:r>
      <w:r>
        <w:rPr>
          <w:color w:val="000000"/>
        </w:rPr>
        <w:t xml:space="preserve"> </w:t>
      </w:r>
    </w:p>
    <w:p w:rsidR="00E202ED" w:rsidRDefault="00E202ED" w:rsidP="00E202ED">
      <w:pPr>
        <w:pStyle w:val="ESSpara"/>
        <w:ind w:left="0" w:firstLine="0"/>
      </w:pPr>
      <w:r>
        <w:rPr>
          <w:color w:val="212100"/>
        </w:rPr>
        <w:lastRenderedPageBreak/>
        <w:t>设计和实施</w:t>
      </w:r>
      <w:r>
        <w:rPr>
          <w:color w:val="212100"/>
        </w:rPr>
        <w:t>OHS</w:t>
      </w:r>
      <w:r>
        <w:rPr>
          <w:color w:val="212100"/>
        </w:rPr>
        <w:t>措施以解决以下各项：</w:t>
      </w:r>
      <w:r>
        <w:t>(a)</w:t>
      </w:r>
      <w:r>
        <w:t>确定对项目工作人员可能构成的危险，特别是威胁生命的危险；</w:t>
      </w:r>
      <w:r>
        <w:t>(b)</w:t>
      </w:r>
      <w:r>
        <w:t>提供预防和保护措施，包括改变、替代或消除危险状况或材料；</w:t>
      </w:r>
      <w:r>
        <w:t>(c)</w:t>
      </w:r>
      <w:r>
        <w:t>对项目工作人员进行培训，保留培训记录；</w:t>
      </w:r>
      <w:r>
        <w:t>(d)</w:t>
      </w:r>
      <w:r>
        <w:t>记录并报告发生的职业性事故、疾病和事件；</w:t>
      </w:r>
      <w:r>
        <w:t>(e)</w:t>
      </w:r>
      <w:r>
        <w:t>制定应急预防、准备和对紧急情况的响应安排</w:t>
      </w:r>
      <w:r>
        <w:rPr>
          <w:rStyle w:val="FootnoteReference"/>
        </w:rPr>
        <w:footnoteReference w:id="12"/>
      </w:r>
      <w:r>
        <w:t>；</w:t>
      </w:r>
      <w:r>
        <w:t>(f)</w:t>
      </w:r>
      <w:r>
        <w:t>对不利影响的补救措施，如工伤、死亡、残疾和疾病</w:t>
      </w:r>
      <w:r>
        <w:t>,</w:t>
      </w:r>
      <w:r>
        <w:t>考虑（如适用）项目工作人员的工资水平和年龄，不利影响的程度，密切相关的家属数量和年龄。</w:t>
      </w:r>
      <w:bookmarkEnd w:id="32"/>
    </w:p>
    <w:p w:rsidR="00E202ED" w:rsidRPr="00793271" w:rsidRDefault="00E202ED" w:rsidP="00E202ED">
      <w:pPr>
        <w:pStyle w:val="ESSpara"/>
        <w:ind w:left="0" w:firstLine="0"/>
        <w:rPr>
          <w:rFonts w:cs="SimSun"/>
        </w:rPr>
      </w:pPr>
      <w:r>
        <w:t>雇用或聘用项目工作人员的各方将制定并实施程序以确保在尽可能合理可行的情况下，其所控制的工作场所、机械、设备和流程均安全且无健康危害，包括通过使用与化学、物理、生物物质和制剂相关的适当措施。这些相关方将与项目工作人员积极合作并协商，以促进职业健康与安全要求的理解及实施方法，以及向项目工作人员提供信息、开展职业健康与安全培训、提供个人防护设备（不向项目工作人员收取任何费用）。</w:t>
      </w:r>
      <w:r>
        <w:t xml:space="preserve">  </w:t>
      </w:r>
    </w:p>
    <w:p w:rsidR="00E202ED" w:rsidRPr="0082742C" w:rsidRDefault="00E202ED" w:rsidP="00E202ED">
      <w:pPr>
        <w:pStyle w:val="ESSpara"/>
        <w:ind w:left="0" w:firstLine="0"/>
        <w:rPr>
          <w:rFonts w:cs="SimSun"/>
        </w:rPr>
      </w:pPr>
      <w:r>
        <w:t>应制定工厂场所的流程，以供项目工作人员报告他们认为不安全或不健康的工作情形，以及在遇到他们有充分理由认为存在对生命或健康有即时和严重危险的工作情形时将自身排除以外。此类情形下的项目工作人员不需要恢复工作，直到已采取必要的补救措施来纠正这类情形。项目工作人员不会因此类报告或排除而被报复或者被施以报复或负面行动。</w:t>
      </w:r>
      <w:r>
        <w:t xml:space="preserve">     </w:t>
      </w:r>
    </w:p>
    <w:p w:rsidR="00E202ED" w:rsidRPr="00167FEF" w:rsidRDefault="00E202ED" w:rsidP="00E202ED">
      <w:pPr>
        <w:pStyle w:val="ESSpara"/>
        <w:ind w:left="0" w:firstLine="0"/>
        <w:rPr>
          <w:bCs/>
        </w:rPr>
      </w:pPr>
      <w:r>
        <w:t>借款国应为所有项目工作人员提供与工作环境相匹配的设施，包括餐厅、卫生设施和适当的休息区域。</w:t>
      </w:r>
      <w:r>
        <w:rPr>
          <w:color w:val="212100"/>
        </w:rPr>
        <w:t>若为项目工作人员提供食宿服务</w:t>
      </w:r>
      <w:r>
        <w:rPr>
          <w:rStyle w:val="FootnoteReference"/>
          <w:color w:val="212100"/>
        </w:rPr>
        <w:footnoteReference w:id="13"/>
      </w:r>
      <w:r>
        <w:rPr>
          <w:color w:val="212100"/>
        </w:rPr>
        <w:t>，借款国应制定并实施针对食宿管理和食宿质量的政策，以保护并促进项目工作人员的健康、安全和福利，便于项目工作人员获取满足其物质、社会和文化需求的服务。</w:t>
      </w:r>
      <w:r>
        <w:rPr>
          <w:color w:val="212100"/>
        </w:rPr>
        <w:t xml:space="preserve"> </w:t>
      </w:r>
    </w:p>
    <w:p w:rsidR="00E202ED" w:rsidRDefault="00E202ED" w:rsidP="00E202ED">
      <w:pPr>
        <w:pStyle w:val="ESSpara"/>
        <w:ind w:left="0" w:firstLine="0"/>
      </w:pPr>
      <w:r>
        <w:t>若项目工作人员被一方以上雇用或聘用且在一个地方一起工作，则雇用或聘用工作人员的这些方将合作应用职业健康与安全的要求，而不影响各方对其工作人员健康和安全的责任。</w:t>
      </w:r>
      <w:r>
        <w:t xml:space="preserve"> </w:t>
      </w:r>
    </w:p>
    <w:p w:rsidR="00E202ED" w:rsidRPr="009A5BCF" w:rsidRDefault="00E202ED" w:rsidP="00E202ED">
      <w:pPr>
        <w:pStyle w:val="ESSpara"/>
        <w:ind w:left="0" w:firstLine="0"/>
      </w:pPr>
      <w:r>
        <w:t>将开发一个用于定期审查职业健康与安全绩效以及工作环境的系统，该系统包括安全与健康危险和风险的确定、为响应已确定危险和风险的有效措施的实施、采取行动的优先级设定和结果评估。</w:t>
      </w:r>
    </w:p>
    <w:p w:rsidR="00E202ED" w:rsidRDefault="00E202ED" w:rsidP="00E202ED">
      <w:pPr>
        <w:pStyle w:val="Heading3"/>
      </w:pPr>
      <w:bookmarkStart w:id="33" w:name="_Toc423449525"/>
      <w:bookmarkStart w:id="34" w:name="_Toc426539748"/>
      <w:r>
        <w:lastRenderedPageBreak/>
        <w:t>合同工</w:t>
      </w:r>
      <w:bookmarkEnd w:id="33"/>
      <w:bookmarkEnd w:id="34"/>
    </w:p>
    <w:p w:rsidR="00E202ED" w:rsidRDefault="00E202ED" w:rsidP="00E202ED">
      <w:pPr>
        <w:pStyle w:val="ESSpara"/>
        <w:ind w:left="0" w:firstLine="0"/>
      </w:pPr>
      <w:r>
        <w:t>借款国将尽一切合理</w:t>
      </w:r>
      <w:bookmarkStart w:id="35" w:name="_GoBack"/>
      <w:bookmarkEnd w:id="35"/>
      <w:r>
        <w:t>的努力来确定聘用合同工的第三方</w:t>
      </w:r>
      <w:r>
        <w:rPr>
          <w:rStyle w:val="FootnoteReference"/>
        </w:rPr>
        <w:footnoteReference w:id="14"/>
      </w:r>
      <w:r>
        <w:t>有信誉且为合法的实体，并实施了适用于项目的劳动管理程序，允许他们根据本《环境与社会标准》中的要求（除第</w:t>
      </w:r>
      <w:r>
        <w:t>34-39</w:t>
      </w:r>
      <w:r>
        <w:t>条）进行运作。</w:t>
      </w:r>
      <w:r>
        <w:t xml:space="preserve"> </w:t>
      </w:r>
    </w:p>
    <w:p w:rsidR="00E202ED" w:rsidRDefault="00E202ED" w:rsidP="00E202ED">
      <w:pPr>
        <w:pStyle w:val="ESSpara"/>
        <w:ind w:left="0" w:firstLine="0"/>
      </w:pPr>
      <w:r>
        <w:t>借款国将根据本《环境与社会标准》中的要求建立用于管理和监测此类第三方绩效的程序。另外，借款国将本《环境与社会标准》中的要求与适当的不合规补救措施一起纳入与此类第三方之间的合同协议中。在分包的情况下，借款国将要求此类第三方将同等的要求和不合规补救措施包括在其与分包商之间的合同协议中。</w:t>
      </w:r>
      <w:r>
        <w:t xml:space="preserve"> </w:t>
      </w:r>
    </w:p>
    <w:p w:rsidR="00E202ED" w:rsidRPr="00F57C62" w:rsidRDefault="00E202ED" w:rsidP="00E202ED">
      <w:pPr>
        <w:pStyle w:val="ESSpara"/>
        <w:ind w:left="0" w:firstLine="0"/>
      </w:pPr>
      <w:r>
        <w:t>合同工可使用申诉机制。若雇用或聘用工作人员的第三方无法为此类工作人员提供申诉机制，则借款国将根据本《环境与社会标准》第</w:t>
      </w:r>
      <w:r>
        <w:t>E</w:t>
      </w:r>
      <w:r>
        <w:t>节的要求提供申诉机制，供合同工使用。</w:t>
      </w:r>
      <w:r>
        <w:t xml:space="preserve"> </w:t>
      </w:r>
    </w:p>
    <w:p w:rsidR="00E202ED" w:rsidRDefault="00E202ED" w:rsidP="00E202ED">
      <w:pPr>
        <w:pStyle w:val="Heading3"/>
      </w:pPr>
      <w:bookmarkStart w:id="36" w:name="_Toc423449526"/>
      <w:bookmarkStart w:id="37" w:name="_Toc426539749"/>
      <w:r>
        <w:t>从事社区劳动的工作人员</w:t>
      </w:r>
      <w:bookmarkEnd w:id="36"/>
      <w:bookmarkEnd w:id="37"/>
    </w:p>
    <w:p w:rsidR="00E202ED" w:rsidRPr="000D1023" w:rsidRDefault="00E202ED" w:rsidP="00E202ED">
      <w:pPr>
        <w:pStyle w:val="ESSpara"/>
        <w:ind w:left="0" w:firstLine="0"/>
      </w:pPr>
      <w:r>
        <w:t>若社区劳动是项目（如社区主导型发展项目）的组成部分，则需要实施适当措施，确定此类劳动是否是个人或社区认定的自愿劳动</w:t>
      </w:r>
      <w:r>
        <w:rPr>
          <w:rStyle w:val="FootnoteReference"/>
        </w:rPr>
        <w:footnoteReference w:id="15"/>
      </w:r>
      <w:r>
        <w:t>。</w:t>
      </w:r>
      <w:r>
        <w:t xml:space="preserve"> </w:t>
      </w:r>
    </w:p>
    <w:p w:rsidR="00E202ED" w:rsidRPr="00910D87" w:rsidRDefault="00E202ED" w:rsidP="00E202ED">
      <w:pPr>
        <w:pStyle w:val="ESSpara"/>
        <w:ind w:left="0" w:firstLine="0"/>
      </w:pPr>
      <w:r>
        <w:t>第</w:t>
      </w:r>
      <w:r>
        <w:t>9</w:t>
      </w:r>
      <w:r>
        <w:t>至</w:t>
      </w:r>
      <w:r>
        <w:t>16</w:t>
      </w:r>
      <w:r>
        <w:t>条的规定（工作条件和工作人员关系管理）和第</w:t>
      </w:r>
      <w:r>
        <w:t>24-30</w:t>
      </w:r>
      <w:r>
        <w:t>条（职业健康与安全）将以与项目类型、使用社区劳动的特定项目活动以及潜在风险和影响的性质相符的方式适用于社区劳动。</w:t>
      </w:r>
      <w:r>
        <w:t xml:space="preserve"> </w:t>
      </w:r>
    </w:p>
    <w:p w:rsidR="00E202ED" w:rsidRDefault="00E202ED" w:rsidP="00E202ED">
      <w:pPr>
        <w:pStyle w:val="ESSpara"/>
        <w:ind w:left="0" w:firstLine="0"/>
      </w:pPr>
      <w:r>
        <w:t>若社区劳动中危害童工或强迫劳工的风险，则借款国将根据上述第</w:t>
      </w:r>
      <w:r>
        <w:t>17-20</w:t>
      </w:r>
      <w:r>
        <w:t>条确定这些风险。如果确定有危害童工或强迫劳工的情形，借款国将采取适当的措施进行补救。借款国将监督社区劳动，以发现任何重大变化，若发现了危害童工或强迫劳工的新风险或事件，借款国将才采取适当的措施进行补救。</w:t>
      </w:r>
    </w:p>
    <w:p w:rsidR="00E202ED" w:rsidRPr="00F81D6E" w:rsidRDefault="00E202ED" w:rsidP="00E202ED">
      <w:pPr>
        <w:pStyle w:val="Heading3"/>
      </w:pPr>
      <w:bookmarkStart w:id="38" w:name="_Toc423449527"/>
      <w:bookmarkStart w:id="39" w:name="_Toc426539750"/>
      <w:r>
        <w:t>主要供应商工作人员</w:t>
      </w:r>
      <w:bookmarkEnd w:id="38"/>
      <w:bookmarkEnd w:id="39"/>
      <w:r>
        <w:t xml:space="preserve"> </w:t>
      </w:r>
    </w:p>
    <w:p w:rsidR="00E202ED" w:rsidRDefault="00E202ED" w:rsidP="00E202ED">
      <w:pPr>
        <w:pStyle w:val="ESSpara"/>
        <w:ind w:left="0" w:firstLine="0"/>
      </w:pPr>
      <w:r>
        <w:t>若主要供应商工作人员中存在有关危害童工或强迫劳工的重大风险，则借款国将根据上述第</w:t>
      </w:r>
      <w:r>
        <w:t>17-20</w:t>
      </w:r>
      <w:r>
        <w:t>条确定这些风险。如果确定有危害童工或强迫劳工的情形，借款国将采取适当的措施进行补救。借款国将监督其主要供应商，若发现了危害童工或强迫劳工的新风险或事件，借款国将才采取适当的措施进行补救。</w:t>
      </w:r>
    </w:p>
    <w:p w:rsidR="00E202ED" w:rsidRDefault="00E202ED" w:rsidP="00E202ED">
      <w:pPr>
        <w:pStyle w:val="ESSpara"/>
        <w:ind w:left="0" w:firstLine="0"/>
      </w:pPr>
      <w:r>
        <w:t>另外，若主要供应商工作人员存在严重安全问题的重大风险，则借款国将引入程序和缓解措施，以确保主要供应商采取措施防止或纠正危及生命的情形。</w:t>
      </w:r>
    </w:p>
    <w:p w:rsidR="00E202ED" w:rsidRDefault="00E202ED" w:rsidP="00E202ED">
      <w:pPr>
        <w:pStyle w:val="ESSpara"/>
        <w:ind w:left="0" w:firstLine="0"/>
      </w:pPr>
      <w:r>
        <w:lastRenderedPageBreak/>
        <w:t>借款国能否应对这些风险的能力，将取决于借款国对其主要供应商的管理控制或影响程度。若未执行补救措施，则借款国会将项目的主要供应商撤换为可证明其符合本《环境与社会标准》相关要求的供应商。</w:t>
      </w:r>
    </w:p>
    <w:p w:rsidR="00E202ED" w:rsidRDefault="00E202ED" w:rsidP="00E202ED">
      <w:pPr>
        <w:pStyle w:val="ESSpara"/>
        <w:numPr>
          <w:ilvl w:val="0"/>
          <w:numId w:val="0"/>
        </w:numPr>
      </w:pPr>
    </w:p>
    <w:p w:rsidR="00DF26A9" w:rsidRDefault="00DF26A9"/>
    <w:sectPr w:rsidR="00DF26A9" w:rsidSect="00E202E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74" w:rsidRDefault="00FF1C74" w:rsidP="00E202ED">
      <w:pPr>
        <w:spacing w:after="0" w:line="240" w:lineRule="auto"/>
      </w:pPr>
      <w:r>
        <w:separator/>
      </w:r>
    </w:p>
  </w:endnote>
  <w:endnote w:type="continuationSeparator" w:id="0">
    <w:p w:rsidR="00FF1C74" w:rsidRDefault="00FF1C74" w:rsidP="00E2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74" w:rsidRDefault="00FF1C74" w:rsidP="00E202ED">
      <w:pPr>
        <w:spacing w:after="0" w:line="240" w:lineRule="auto"/>
      </w:pPr>
      <w:r>
        <w:separator/>
      </w:r>
    </w:p>
  </w:footnote>
  <w:footnote w:type="continuationSeparator" w:id="0">
    <w:p w:rsidR="00FF1C74" w:rsidRDefault="00FF1C74" w:rsidP="00E202ED">
      <w:pPr>
        <w:spacing w:after="0" w:line="240" w:lineRule="auto"/>
      </w:pPr>
      <w:r>
        <w:continuationSeparator/>
      </w:r>
    </w:p>
  </w:footnote>
  <w:footnote w:id="1">
    <w:p w:rsidR="00E202ED" w:rsidRDefault="00E202ED" w:rsidP="00E202ED">
      <w:pPr>
        <w:pStyle w:val="FootnoteText"/>
        <w:jc w:val="both"/>
      </w:pPr>
      <w:r>
        <w:rPr>
          <w:rStyle w:val="FootnoteReference"/>
        </w:rPr>
        <w:footnoteRef/>
      </w:r>
      <w:r>
        <w:t xml:space="preserve"> </w:t>
      </w:r>
      <w:r>
        <w:t>在执行环境与社会评价时，根据项目中与劳工和工作条件相关的潜在问题的重要性，可能需要征求代表性工作人员和雇主组织的意见。</w:t>
      </w:r>
    </w:p>
  </w:footnote>
  <w:footnote w:id="2">
    <w:p w:rsidR="00E202ED" w:rsidRDefault="00E202ED" w:rsidP="00E202ED">
      <w:pPr>
        <w:pStyle w:val="FootnoteText"/>
        <w:jc w:val="both"/>
      </w:pPr>
      <w:r>
        <w:rPr>
          <w:rStyle w:val="FootnoteReference"/>
        </w:rPr>
        <w:footnoteRef/>
      </w:r>
      <w:r>
        <w:t xml:space="preserve"> </w:t>
      </w:r>
      <w:r>
        <w:t>“</w:t>
      </w:r>
      <w:r>
        <w:rPr>
          <w:i/>
        </w:rPr>
        <w:t>第三方</w:t>
      </w:r>
      <w:r>
        <w:t>”</w:t>
      </w:r>
      <w:r>
        <w:t>可能包括承包商、分包商、经纪人、代理人或中介机构。</w:t>
      </w:r>
    </w:p>
  </w:footnote>
  <w:footnote w:id="3">
    <w:p w:rsidR="00E202ED" w:rsidRDefault="00E202ED" w:rsidP="00E202ED">
      <w:pPr>
        <w:pStyle w:val="FootnoteText"/>
        <w:jc w:val="both"/>
      </w:pPr>
      <w:r>
        <w:rPr>
          <w:rStyle w:val="FootnoteReference"/>
        </w:rPr>
        <w:footnoteRef/>
      </w:r>
      <w:r>
        <w:t xml:space="preserve"> </w:t>
      </w:r>
      <w:r>
        <w:t>项目的</w:t>
      </w:r>
      <w:r>
        <w:t>“</w:t>
      </w:r>
      <w:r>
        <w:t>核心功能</w:t>
      </w:r>
      <w:r>
        <w:t>”</w:t>
      </w:r>
      <w:r>
        <w:t>是指对某一项目活动至关重要的生产和</w:t>
      </w:r>
      <w:r>
        <w:t>/</w:t>
      </w:r>
      <w:r>
        <w:t>或服务过程，项目进行缺之不可。</w:t>
      </w:r>
    </w:p>
  </w:footnote>
  <w:footnote w:id="4">
    <w:p w:rsidR="00E202ED" w:rsidRDefault="00E202ED" w:rsidP="00E202ED">
      <w:pPr>
        <w:pStyle w:val="FootnoteText"/>
        <w:jc w:val="both"/>
      </w:pPr>
      <w:r>
        <w:rPr>
          <w:rStyle w:val="FootnoteReference"/>
        </w:rPr>
        <w:footnoteRef/>
      </w:r>
      <w:r>
        <w:t xml:space="preserve"> </w:t>
      </w:r>
      <w:r>
        <w:t>“</w:t>
      </w:r>
      <w:r>
        <w:t>主要供应商</w:t>
      </w:r>
      <w:r>
        <w:t>”</w:t>
      </w:r>
      <w:r>
        <w:t>是指正在持续为为项目核心业务过程，直接为项目提供必要货物或原料的供应商。</w:t>
      </w:r>
    </w:p>
  </w:footnote>
  <w:footnote w:id="5">
    <w:p w:rsidR="00E202ED" w:rsidRPr="003C39E9" w:rsidRDefault="00E202ED" w:rsidP="00E202ED">
      <w:pPr>
        <w:pStyle w:val="FootnoteText"/>
        <w:jc w:val="both"/>
        <w:rPr>
          <w:rFonts w:cstheme="minorHAnsi"/>
        </w:rPr>
      </w:pPr>
      <w:r>
        <w:rPr>
          <w:rStyle w:val="FootnoteReference"/>
          <w:rFonts w:cstheme="minorHAnsi"/>
        </w:rPr>
        <w:footnoteRef/>
      </w:r>
      <w:r>
        <w:t xml:space="preserve"> </w:t>
      </w:r>
      <w:r>
        <w:t>“</w:t>
      </w:r>
      <w:r>
        <w:t>外来工</w:t>
      </w:r>
      <w:r>
        <w:t>”</w:t>
      </w:r>
      <w:r>
        <w:t>是指从一国来到另国或从一国某地来到另国另一地工作的人员。</w:t>
      </w:r>
      <w:r>
        <w:t xml:space="preserve"> </w:t>
      </w:r>
    </w:p>
  </w:footnote>
  <w:footnote w:id="6">
    <w:p w:rsidR="00E202ED" w:rsidRDefault="00E202ED" w:rsidP="00E202ED">
      <w:pPr>
        <w:pStyle w:val="FootnoteText"/>
        <w:jc w:val="both"/>
      </w:pPr>
      <w:r>
        <w:rPr>
          <w:rStyle w:val="FootnoteReference"/>
        </w:rPr>
        <w:footnoteRef/>
      </w:r>
      <w:r>
        <w:t xml:space="preserve"> </w:t>
      </w:r>
      <w:r>
        <w:t>此类调换应根据所有法律要求执行，需满足本《环境与社会标准》的所有要求。</w:t>
      </w:r>
    </w:p>
  </w:footnote>
  <w:footnote w:id="7">
    <w:p w:rsidR="00E202ED" w:rsidRDefault="00E202ED" w:rsidP="00E202ED">
      <w:pPr>
        <w:pStyle w:val="FootnoteText"/>
        <w:jc w:val="both"/>
      </w:pPr>
      <w:r>
        <w:rPr>
          <w:rStyle w:val="FootnoteReference"/>
        </w:rPr>
        <w:footnoteRef/>
      </w:r>
      <w:r>
        <w:t xml:space="preserve"> </w:t>
      </w:r>
      <w:r>
        <w:t>在某种程度上，若国家法律的规定与项目活动相关且满足本《环境与社会标准》的要求，则不要求借款国在劳动管理程序中重复这些规定。</w:t>
      </w:r>
    </w:p>
  </w:footnote>
  <w:footnote w:id="8">
    <w:p w:rsidR="00E202ED" w:rsidRDefault="00E202ED" w:rsidP="00E202ED">
      <w:pPr>
        <w:pStyle w:val="FootnoteText"/>
        <w:jc w:val="both"/>
      </w:pPr>
      <w:r>
        <w:rPr>
          <w:rStyle w:val="FootnoteReference"/>
        </w:rPr>
        <w:footnoteRef/>
      </w:r>
      <w:r>
        <w:t xml:space="preserve"> </w:t>
      </w:r>
      <w:r>
        <w:t>对儿童视为危险的工作即，根据工作性质或执行工作所在的条件，可能会危害儿童健康、安全或伦理发展的工作。</w:t>
      </w:r>
      <w:r>
        <w:t xml:space="preserve">   </w:t>
      </w:r>
      <w:r>
        <w:t>危险工作活动包括以下情况：</w:t>
      </w:r>
      <w:r>
        <w:t>(a)</w:t>
      </w:r>
      <w:r>
        <w:t>遭受身体、心理或性虐待的工作；</w:t>
      </w:r>
      <w:r>
        <w:t>(b)</w:t>
      </w:r>
      <w:r>
        <w:t>地下、水下、高空或禁闭空间内的工作；</w:t>
      </w:r>
      <w:r>
        <w:t>(c)</w:t>
      </w:r>
      <w:r>
        <w:t>涉及危险的机器、设备或工具的工作，或需要搬运重物；</w:t>
      </w:r>
      <w:r>
        <w:t>(d)</w:t>
      </w:r>
      <w:r>
        <w:t>在不健康的环境中，员工可能接触到对健康有危害的危险物质、媒介、加工过程、温度、噪音或震动；</w:t>
      </w:r>
      <w:r>
        <w:t>(e)</w:t>
      </w:r>
      <w:r>
        <w:t>处于特别困难条件，如长时间工作、熬夜或被雇主禁闭。</w:t>
      </w:r>
    </w:p>
  </w:footnote>
  <w:footnote w:id="9">
    <w:p w:rsidR="00E202ED" w:rsidRDefault="00E202ED" w:rsidP="00E202ED">
      <w:pPr>
        <w:pStyle w:val="FootnoteText"/>
        <w:jc w:val="both"/>
      </w:pPr>
      <w:r>
        <w:rPr>
          <w:rStyle w:val="FootnoteReference"/>
        </w:rPr>
        <w:footnoteRef/>
      </w:r>
      <w:r>
        <w:t xml:space="preserve"> </w:t>
      </w:r>
      <w:r>
        <w:t>若工作是在工作人员自由和知情同意的情况下完成，即表示工作是在自愿的基础上。此类同意必须存在于整个雇用关系过程中，工作人员必须可自由撤销给予的同意。尤其是，不能有受到威胁的</w:t>
      </w:r>
      <w:r>
        <w:t>“</w:t>
      </w:r>
      <w:r>
        <w:t>自愿提供</w:t>
      </w:r>
      <w:r>
        <w:t>”</w:t>
      </w:r>
      <w:r>
        <w:t>或受到限制或欺骗的其他情形。为评估某个自由和知情同意的真实性，需要确保未执行任何外部约束或间接胁迫，无论是政府当局的行为还是雇主行为，均不得存在。</w:t>
      </w:r>
    </w:p>
  </w:footnote>
  <w:footnote w:id="10">
    <w:p w:rsidR="00E202ED" w:rsidRDefault="00E202ED" w:rsidP="00E202ED">
      <w:pPr>
        <w:pStyle w:val="FootnoteText"/>
        <w:jc w:val="both"/>
      </w:pPr>
      <w:r>
        <w:rPr>
          <w:rStyle w:val="FootnoteReference"/>
        </w:rPr>
        <w:footnoteRef/>
      </w:r>
      <w:r>
        <w:t xml:space="preserve"> </w:t>
      </w:r>
      <w:r>
        <w:t>贩卖人口是指为了金钱目的，通过威胁或使用武力或其它胁迫、绑架、欺诈、欺骗、滥用权力或利用对方的弱势地位，或通过给予或接受金钱或利益来获得对他人的控制权等方式进行的人口招募、运送、转移、藏匿或接受活动。妇女和儿童尤其容易成为贩卖人口的目标。妇女和儿童尤其容易成为贩卖人口的目标。</w:t>
      </w:r>
    </w:p>
  </w:footnote>
  <w:footnote w:id="11">
    <w:p w:rsidR="00E202ED" w:rsidRPr="003C39E9" w:rsidRDefault="00E202ED" w:rsidP="00E202ED">
      <w:pPr>
        <w:pStyle w:val="FootnoteText"/>
        <w:rPr>
          <w:rFonts w:cstheme="minorHAnsi"/>
        </w:rPr>
      </w:pPr>
      <w:r>
        <w:rPr>
          <w:rStyle w:val="FootnoteReference"/>
          <w:rFonts w:cstheme="minorHAnsi"/>
        </w:rPr>
        <w:footnoteRef/>
      </w:r>
      <w:r>
        <w:t xml:space="preserve"> </w:t>
      </w:r>
      <w:r>
        <w:t>《环境、健康和安全指南》第</w:t>
      </w:r>
      <w:r>
        <w:t>2</w:t>
      </w:r>
      <w:r>
        <w:t>节适用于所有项目，详见以下链接：</w:t>
      </w:r>
      <w:hyperlink r:id="rId1">
        <w:r>
          <w:rPr>
            <w:rStyle w:val="Hyperlink"/>
            <w:rFonts w:cstheme="minorHAnsi"/>
          </w:rPr>
          <w:t>http://www.ifc.org/wps/wcm/connect/9aef2880488559a983acd36a6515bb18/2%2BOccupational%2BHealth%2Band%2BSafety.pdf?MOD=AJPERES</w:t>
        </w:r>
      </w:hyperlink>
      <w:r>
        <w:t>。每份具体行业的指南则负责解决特定行业相关的职业健康与安全问题。如欲了解这些指南，详见以下链接：</w:t>
      </w:r>
      <w:hyperlink r:id="rId2">
        <w:r>
          <w:rPr>
            <w:rStyle w:val="Hyperlink"/>
            <w:rFonts w:cstheme="minorHAnsi"/>
          </w:rPr>
          <w:t>http://www.ifc.org/wps/wcm/connect/Topics_Ext_Content/IFC_External_Corporate_Site/IFC+Sustainability/Sustainability+Framework/Environmental,+Health,+and+Safety+Guidelines/</w:t>
        </w:r>
      </w:hyperlink>
    </w:p>
  </w:footnote>
  <w:footnote w:id="12">
    <w:p w:rsidR="00E202ED" w:rsidRDefault="00E202ED" w:rsidP="00E202ED">
      <w:pPr>
        <w:pStyle w:val="FootnoteText"/>
      </w:pPr>
      <w:r>
        <w:rPr>
          <w:rStyle w:val="FootnoteReference"/>
        </w:rPr>
        <w:footnoteRef/>
      </w:r>
      <w:r>
        <w:t xml:space="preserve"> </w:t>
      </w:r>
      <w:r>
        <w:t>这些安排将通过根据《环境与社会标准</w:t>
      </w:r>
      <w:r>
        <w:t>4</w:t>
      </w:r>
      <w:r>
        <w:t>》建立的《应急准备和响应》进行协调。</w:t>
      </w:r>
    </w:p>
  </w:footnote>
  <w:footnote w:id="13">
    <w:p w:rsidR="00E202ED" w:rsidRPr="003C39E9" w:rsidRDefault="00E202ED" w:rsidP="00E202ED">
      <w:pPr>
        <w:pStyle w:val="FootnoteText"/>
        <w:jc w:val="both"/>
        <w:rPr>
          <w:rFonts w:cstheme="minorHAnsi"/>
        </w:rPr>
      </w:pPr>
      <w:r>
        <w:rPr>
          <w:rStyle w:val="FootnoteReference"/>
          <w:rFonts w:cstheme="minorHAnsi"/>
        </w:rPr>
        <w:footnoteRef/>
      </w:r>
      <w:r>
        <w:t xml:space="preserve"> </w:t>
      </w:r>
      <w:r>
        <w:t>这些服务可以由借款国或第三方直接提供。</w:t>
      </w:r>
    </w:p>
  </w:footnote>
  <w:footnote w:id="14">
    <w:p w:rsidR="00E202ED" w:rsidRDefault="00E202ED" w:rsidP="00E202ED">
      <w:pPr>
        <w:pStyle w:val="FootnoteText"/>
      </w:pPr>
      <w:r>
        <w:rPr>
          <w:rStyle w:val="FootnoteReference"/>
        </w:rPr>
        <w:footnoteRef/>
      </w:r>
      <w:r>
        <w:t xml:space="preserve"> </w:t>
      </w:r>
      <w:r>
        <w:t>见脚注</w:t>
      </w:r>
      <w:r>
        <w:t>2</w:t>
      </w:r>
      <w:r>
        <w:t>：可能包括承包商、分包商、经纪人、代理人或中介机构。</w:t>
      </w:r>
    </w:p>
  </w:footnote>
  <w:footnote w:id="15">
    <w:p w:rsidR="00E202ED" w:rsidRPr="001F01B3" w:rsidRDefault="00E202ED" w:rsidP="00E202ED">
      <w:pPr>
        <w:spacing w:line="240" w:lineRule="auto"/>
        <w:jc w:val="both"/>
        <w:rPr>
          <w:sz w:val="20"/>
          <w:szCs w:val="20"/>
        </w:rPr>
      </w:pPr>
      <w:r>
        <w:rPr>
          <w:rStyle w:val="FootnoteReference"/>
          <w:sz w:val="20"/>
        </w:rPr>
        <w:footnoteRef/>
      </w:r>
      <w:r>
        <w:rPr>
          <w:sz w:val="20"/>
        </w:rPr>
        <w:t xml:space="preserve"> </w:t>
      </w:r>
      <w:r>
        <w:rPr>
          <w:sz w:val="20"/>
        </w:rPr>
        <w:t>见脚注</w:t>
      </w:r>
      <w:r>
        <w:rPr>
          <w:sz w:val="20"/>
        </w:rPr>
        <w:t>9</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E202ED" w:rsidRPr="00DC4E5F" w:rsidRDefault="00E202ED" w:rsidP="00E202ED">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r>
              <w:rPr>
                <w:rFonts w:eastAsiaTheme="majorEastAsia" w:cstheme="majorBidi"/>
                <w:b/>
                <w:i/>
                <w:sz w:val="20"/>
              </w:rPr>
              <w:t xml:space="preserve"> </w:t>
            </w:r>
          </w:p>
        </w:sdtContent>
      </w:sdt>
    </w:sdtContent>
  </w:sdt>
  <w:p w:rsidR="00E202ED" w:rsidRPr="00773989" w:rsidRDefault="00E202ED" w:rsidP="00E202ED">
    <w:pPr>
      <w:spacing w:after="0"/>
      <w:rPr>
        <w:rFonts w:eastAsiaTheme="majorEastAsia" w:cstheme="majorBidi"/>
        <w:b/>
        <w:i/>
        <w:iCs/>
        <w:sz w:val="20"/>
        <w:szCs w:val="20"/>
        <w:bdr w:val="single" w:sz="4" w:space="0" w:color="auto"/>
      </w:rPr>
    </w:pPr>
  </w:p>
  <w:p w:rsidR="00E202ED" w:rsidRPr="0047365D" w:rsidRDefault="00E202ED" w:rsidP="00E202ED">
    <w:pPr>
      <w:pStyle w:val="Header"/>
      <w:spacing w:before="240" w:after="240"/>
      <w:jc w:val="center"/>
      <w:rPr>
        <w:b/>
        <w:bCs/>
        <w:color w:val="00B050"/>
        <w:sz w:val="10"/>
        <w:szCs w:val="10"/>
      </w:rPr>
    </w:pPr>
    <w:r>
      <w:rPr>
        <w:b/>
        <w:color w:val="00B050"/>
        <w:sz w:val="28"/>
      </w:rPr>
      <w:t>环境与社会标准</w:t>
    </w:r>
    <w:r>
      <w:rPr>
        <w:b/>
        <w:color w:val="00B050"/>
        <w:sz w:val="28"/>
      </w:rPr>
      <w:t>2.</w:t>
    </w:r>
    <w:r>
      <w:rPr>
        <w:b/>
        <w:color w:val="00B050"/>
        <w:sz w:val="28"/>
      </w:rPr>
      <w:t>劳工和工作条件</w:t>
    </w:r>
  </w:p>
  <w:p w:rsidR="00E202ED" w:rsidRDefault="00E2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ED" w:rsidRDefault="00E202ED" w:rsidP="00E202ED">
    <w:pPr>
      <w:pStyle w:val="Header"/>
      <w:rPr>
        <w:rFonts w:eastAsiaTheme="majorEastAsia" w:cstheme="majorBidi"/>
        <w:b/>
        <w:i/>
        <w:sz w:val="32"/>
        <w:bdr w:val="single" w:sz="4" w:space="0" w:color="auto"/>
        <w:lang w:val="en-US"/>
      </w:rPr>
    </w:pPr>
    <w:r>
      <w:tab/>
    </w: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E202ED" w:rsidRPr="00E202ED" w:rsidRDefault="00E202ED" w:rsidP="00E202ED">
    <w:pPr>
      <w:pStyle w:val="Header"/>
      <w:rPr>
        <w:rFonts w:eastAsiaTheme="majorEastAsia" w:cstheme="majorBidi"/>
        <w:b/>
        <w:i/>
        <w:sz w:val="32"/>
        <w:bdr w:val="single" w:sz="4" w:space="0" w:color="auto"/>
        <w:lang w:val="en-US"/>
      </w:rPr>
    </w:pPr>
  </w:p>
  <w:p w:rsidR="00E202ED" w:rsidRPr="00E202ED" w:rsidRDefault="00E202ED" w:rsidP="00E202ED">
    <w:pPr>
      <w:spacing w:after="360" w:line="240" w:lineRule="auto"/>
      <w:jc w:val="center"/>
      <w:rPr>
        <w:b/>
        <w:bCs/>
        <w:color w:val="FF0000"/>
        <w:sz w:val="44"/>
        <w:szCs w:val="44"/>
        <w:u w:val="double"/>
        <w:lang w:val="en-US"/>
      </w:rPr>
    </w:pPr>
    <w:r w:rsidRPr="00C001AD">
      <w:rPr>
        <w:rFonts w:ascii="MS Mincho" w:eastAsia="MS Mincho" w:hAnsi="MS Mincho" w:cs="MS Mincho" w:hint="eastAsia"/>
        <w:b/>
        <w:sz w:val="28"/>
      </w:rPr>
      <w:t>本草案中的内容</w:t>
    </w:r>
    <w:r w:rsidRPr="00C001AD">
      <w:rPr>
        <w:rFonts w:ascii="PMingLiU" w:eastAsia="PMingLiU" w:hAnsi="PMingLiU" w:cs="PMingLiU" w:hint="eastAsia"/>
        <w:b/>
        <w:sz w:val="28"/>
      </w:rPr>
      <w:t>仅供磋商使用，且尚未获得国际复兴开发银行和国际开发协会执行董事会的批准</w:t>
    </w:r>
    <w:r w:rsidRPr="00C001AD">
      <w:rPr>
        <w:rFonts w:ascii="MS Mincho" w:eastAsia="MS Mincho" w:hAnsi="MS Mincho" w:cs="MS Mincho" w:hint="eastAsia"/>
        <w:b/>
        <w:sz w:val="28"/>
      </w:rPr>
      <w:t>。</w:t>
    </w:r>
  </w:p>
  <w:p w:rsidR="00E202ED" w:rsidRDefault="00E202ED" w:rsidP="00E202ED">
    <w:pPr>
      <w:pStyle w:val="Header"/>
      <w:tabs>
        <w:tab w:val="clear" w:pos="4680"/>
        <w:tab w:val="clear" w:pos="9360"/>
        <w:tab w:val="left" w:pos="174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ED"/>
    <w:rsid w:val="003161FD"/>
    <w:rsid w:val="00604E45"/>
    <w:rsid w:val="009068E7"/>
    <w:rsid w:val="00C001AD"/>
    <w:rsid w:val="00DF26A9"/>
    <w:rsid w:val="00E202ED"/>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6346D-C28B-4DB0-A69A-11B87FD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ED"/>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E202ED"/>
    <w:pPr>
      <w:keepNext/>
      <w:keepLines/>
      <w:numPr>
        <w:numId w:val="2"/>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E202ED"/>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E202ED"/>
    <w:pPr>
      <w:keepNext/>
      <w:keepLines/>
      <w:widowControl w:val="0"/>
      <w:numPr>
        <w:ilvl w:val="2"/>
        <w:numId w:val="2"/>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E202ED"/>
    <w:pPr>
      <w:keepNext/>
      <w:keepLines/>
      <w:numPr>
        <w:ilvl w:val="3"/>
        <w:numId w:val="2"/>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E202ED"/>
    <w:pPr>
      <w:widowControl w:val="0"/>
      <w:numPr>
        <w:ilvl w:val="4"/>
        <w:numId w:val="2"/>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E202ED"/>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202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02E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02E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2ED"/>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E202ED"/>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E202ED"/>
    <w:rPr>
      <w:rFonts w:cs="SimSun"/>
      <w:b/>
      <w:color w:val="00B050"/>
      <w:sz w:val="24"/>
      <w:szCs w:val="26"/>
      <w:lang w:val="zh-CN" w:eastAsia="zh-CN" w:bidi="zh-CN"/>
    </w:rPr>
  </w:style>
  <w:style w:type="character" w:customStyle="1" w:styleId="Heading4Char">
    <w:name w:val="Heading 4 Char"/>
    <w:basedOn w:val="DefaultParagraphFont"/>
    <w:link w:val="Heading4"/>
    <w:rsid w:val="00E202ED"/>
    <w:rPr>
      <w:rFonts w:cs="SimSun"/>
      <w:b/>
      <w:i/>
      <w:color w:val="00B050"/>
      <w:szCs w:val="24"/>
      <w:lang w:val="zh-CN" w:eastAsia="zh-CN" w:bidi="zh-CN"/>
    </w:rPr>
  </w:style>
  <w:style w:type="character" w:customStyle="1" w:styleId="Heading5Char">
    <w:name w:val="Heading 5 Char"/>
    <w:basedOn w:val="DefaultParagraphFont"/>
    <w:link w:val="Heading5"/>
    <w:uiPriority w:val="9"/>
    <w:rsid w:val="00E202ED"/>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E202ED"/>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E202ED"/>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E202ED"/>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E202ED"/>
    <w:rPr>
      <w:rFonts w:asciiTheme="majorHAnsi" w:eastAsiaTheme="majorEastAsia" w:hAnsiTheme="majorHAnsi" w:cstheme="majorBidi"/>
      <w:i/>
      <w:iCs/>
      <w:color w:val="404040" w:themeColor="text1" w:themeTint="BF"/>
      <w:sz w:val="20"/>
      <w:szCs w:val="20"/>
      <w:lang w:val="zh-CN" w:eastAsia="zh-CN" w:bidi="zh-CN"/>
    </w:rPr>
  </w:style>
  <w:style w:type="character" w:styleId="Hyperlink">
    <w:name w:val="Hyperlink"/>
    <w:basedOn w:val="DefaultParagraphFont"/>
    <w:uiPriority w:val="99"/>
    <w:unhideWhenUsed/>
    <w:rsid w:val="00E202ED"/>
    <w:rPr>
      <w:color w:val="0563C1" w:themeColor="hyperlink"/>
      <w:u w:val="single"/>
    </w:rPr>
  </w:style>
  <w:style w:type="paragraph" w:styleId="FootnoteText">
    <w:name w:val="footnote text"/>
    <w:aliases w:val="fn,single space,footnote text"/>
    <w:basedOn w:val="Normal"/>
    <w:link w:val="FootnoteTextChar"/>
    <w:uiPriority w:val="99"/>
    <w:unhideWhenUsed/>
    <w:rsid w:val="00E202ED"/>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E202ED"/>
    <w:rPr>
      <w:rFonts w:eastAsiaTheme="minorEastAsia"/>
      <w:sz w:val="20"/>
      <w:szCs w:val="20"/>
      <w:lang w:val="zh-CN" w:eastAsia="zh-CN" w:bidi="zh-CN"/>
    </w:rPr>
  </w:style>
  <w:style w:type="character" w:styleId="FootnoteReference">
    <w:name w:val="footnote reference"/>
    <w:basedOn w:val="DefaultParagraphFont"/>
    <w:uiPriority w:val="99"/>
    <w:unhideWhenUsed/>
    <w:rsid w:val="00E202ED"/>
    <w:rPr>
      <w:vertAlign w:val="superscript"/>
    </w:rPr>
  </w:style>
  <w:style w:type="paragraph" w:customStyle="1" w:styleId="ESSpara">
    <w:name w:val="ESS para"/>
    <w:basedOn w:val="Normal"/>
    <w:link w:val="ESSparaChar"/>
    <w:qFormat/>
    <w:rsid w:val="00E202ED"/>
    <w:pPr>
      <w:numPr>
        <w:numId w:val="1"/>
      </w:numPr>
      <w:spacing w:after="240" w:line="240" w:lineRule="auto"/>
      <w:jc w:val="both"/>
    </w:pPr>
  </w:style>
  <w:style w:type="character" w:customStyle="1" w:styleId="ESSparaChar">
    <w:name w:val="ESS para Char"/>
    <w:basedOn w:val="DefaultParagraphFont"/>
    <w:link w:val="ESSpara"/>
    <w:rsid w:val="00E202ED"/>
    <w:rPr>
      <w:rFonts w:eastAsiaTheme="minorEastAsia"/>
      <w:lang w:val="zh-CN" w:eastAsia="zh-CN" w:bidi="zh-CN"/>
    </w:rPr>
  </w:style>
  <w:style w:type="paragraph" w:customStyle="1" w:styleId="essbullet">
    <w:name w:val="ess bullet"/>
    <w:basedOn w:val="Normal"/>
    <w:qFormat/>
    <w:rsid w:val="00E202ED"/>
    <w:pPr>
      <w:numPr>
        <w:ilvl w:val="1"/>
        <w:numId w:val="3"/>
      </w:numPr>
      <w:tabs>
        <w:tab w:val="left" w:pos="1080"/>
      </w:tabs>
      <w:spacing w:after="240" w:line="240" w:lineRule="auto"/>
      <w:ind w:left="1080"/>
      <w:jc w:val="both"/>
    </w:pPr>
    <w:rPr>
      <w:rFonts w:cs="SimSun"/>
    </w:rPr>
  </w:style>
  <w:style w:type="paragraph" w:customStyle="1" w:styleId="essobjbull">
    <w:name w:val="ess obj bull"/>
    <w:basedOn w:val="essbullet"/>
    <w:link w:val="essobjbullChar"/>
    <w:qFormat/>
    <w:rsid w:val="00E202ED"/>
    <w:pPr>
      <w:spacing w:after="120"/>
      <w:ind w:left="360"/>
    </w:pPr>
  </w:style>
  <w:style w:type="character" w:customStyle="1" w:styleId="essobjbullChar">
    <w:name w:val="ess obj bull Char"/>
    <w:basedOn w:val="DefaultParagraphFont"/>
    <w:link w:val="essobjbull"/>
    <w:rsid w:val="00E202ED"/>
    <w:rPr>
      <w:rFonts w:eastAsiaTheme="minorEastAsia" w:cs="SimSun"/>
      <w:lang w:val="zh-CN" w:eastAsia="zh-CN" w:bidi="zh-CN"/>
    </w:rPr>
  </w:style>
  <w:style w:type="paragraph" w:styleId="Header">
    <w:name w:val="header"/>
    <w:basedOn w:val="Normal"/>
    <w:link w:val="HeaderChar"/>
    <w:uiPriority w:val="99"/>
    <w:unhideWhenUsed/>
    <w:rsid w:val="00E2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ED"/>
    <w:rPr>
      <w:rFonts w:eastAsiaTheme="minorEastAsia"/>
      <w:lang w:val="zh-CN" w:eastAsia="zh-CN" w:bidi="zh-CN"/>
    </w:rPr>
  </w:style>
  <w:style w:type="paragraph" w:styleId="Footer">
    <w:name w:val="footer"/>
    <w:basedOn w:val="Normal"/>
    <w:link w:val="FooterChar"/>
    <w:uiPriority w:val="99"/>
    <w:unhideWhenUsed/>
    <w:rsid w:val="00E2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ED"/>
    <w:rPr>
      <w:rFonts w:eastAsiaTheme="minorEastAsia"/>
      <w:lang w:val="zh-CN" w:eastAsia="zh-CN" w:bidi="zh-CN"/>
    </w:rPr>
  </w:style>
  <w:style w:type="paragraph" w:customStyle="1" w:styleId="Default">
    <w:name w:val="Default"/>
    <w:rsid w:val="003161FD"/>
    <w:pPr>
      <w:autoSpaceDE w:val="0"/>
      <w:autoSpaceDN w:val="0"/>
      <w:adjustRightInd w:val="0"/>
      <w:spacing w:after="0" w:line="240" w:lineRule="auto"/>
    </w:pPr>
    <w:rPr>
      <w:rFonts w:ascii="MS Mincho" w:eastAsia="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wps/wcm/connect/Topics_Ext_Content/IFC_External_Corporate_Site/IFC+Sustainability/Sustainability+Framework/Environmental,+Health,+and+Safety+Guidelines/" TargetMode="External"/><Relationship Id="rId1" Type="http://schemas.openxmlformats.org/officeDocument/2006/relationships/hyperlink" Target="http://www.ifc.org/wps/wcm/connect/9aef2880488559a983acd36a6515bb18/2+Occupational+Health+and+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Joyce Osborne</dc:creator>
  <cp:lastModifiedBy>Jennifer Chato</cp:lastModifiedBy>
  <cp:revision>2</cp:revision>
  <dcterms:created xsi:type="dcterms:W3CDTF">2015-11-02T19:49:00Z</dcterms:created>
  <dcterms:modified xsi:type="dcterms:W3CDTF">2015-11-02T19:49:00Z</dcterms:modified>
</cp:coreProperties>
</file>