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1F" w:rsidRPr="00E52B22" w:rsidRDefault="008E791F" w:rsidP="008E791F">
      <w:pPr>
        <w:pStyle w:val="Heading1"/>
        <w:numPr>
          <w:ilvl w:val="0"/>
          <w:numId w:val="0"/>
        </w:numPr>
        <w:spacing w:before="240" w:after="240" w:line="240" w:lineRule="auto"/>
      </w:pPr>
      <w:bookmarkStart w:id="0" w:name="_Toc394499145"/>
      <w:bookmarkStart w:id="1" w:name="_Toc423449528"/>
      <w:bookmarkStart w:id="2" w:name="_Toc426539751"/>
      <w:r>
        <w:t>环境与社会标准</w:t>
      </w:r>
      <w:r>
        <w:t>3</w:t>
      </w:r>
      <w:r>
        <w:br/>
      </w:r>
      <w:r>
        <w:t>资源效率与污染防治</w:t>
      </w:r>
      <w:bookmarkEnd w:id="0"/>
      <w:r>
        <w:t>和管理</w:t>
      </w:r>
      <w:bookmarkEnd w:id="1"/>
      <w:bookmarkEnd w:id="2"/>
    </w:p>
    <w:p w:rsidR="008E791F" w:rsidRPr="00811E2A" w:rsidRDefault="008E791F" w:rsidP="008E791F">
      <w:pPr>
        <w:pStyle w:val="Heading2"/>
      </w:pPr>
      <w:bookmarkStart w:id="3" w:name="_Toc394499146"/>
      <w:bookmarkStart w:id="4" w:name="_Toc423449529"/>
      <w:bookmarkStart w:id="5" w:name="_Toc426539752"/>
      <w:r>
        <w:t>简介</w:t>
      </w:r>
      <w:bookmarkEnd w:id="3"/>
      <w:bookmarkEnd w:id="4"/>
      <w:bookmarkEnd w:id="5"/>
    </w:p>
    <w:p w:rsidR="008E791F" w:rsidRDefault="008E791F" w:rsidP="008E791F">
      <w:pPr>
        <w:pStyle w:val="ESSpara"/>
        <w:numPr>
          <w:ilvl w:val="0"/>
          <w:numId w:val="4"/>
        </w:numPr>
        <w:tabs>
          <w:tab w:val="left" w:pos="0"/>
        </w:tabs>
        <w:ind w:left="0" w:firstLine="0"/>
      </w:pPr>
      <w:r>
        <w:t>《环境与社会标准</w:t>
      </w:r>
      <w:r>
        <w:t>3</w:t>
      </w:r>
      <w:r>
        <w:t>》认识到，随着经济活动和城市化的增加，通常会导致对空气、水和土地的污染级别增加，我们正以可能会威胁地方或全球层面的人类、生态系统服务和环境的方式消耗有限的资源。还有一个全球共识就是，目前和预计的温室气体浓度会威胁到目前和未来几代人的健康和福利。与此同时，更加高效且有效的资源利用、污染防治及温室气体排放减免技术和做法已经在世界上几乎所有地区变得越来越容易获取且易实现。</w:t>
      </w:r>
      <w:r>
        <w:t xml:space="preserve"> </w:t>
      </w:r>
    </w:p>
    <w:p w:rsidR="008E791F" w:rsidRPr="00561208" w:rsidRDefault="008E791F" w:rsidP="008E791F">
      <w:pPr>
        <w:pStyle w:val="ESSpara"/>
        <w:ind w:left="0" w:firstLine="0"/>
      </w:pPr>
      <w:r>
        <w:t>本《环境与社会标准》根据良好国际行业惯例规定了在整个项目周期内有关资源效率和污染</w:t>
      </w:r>
      <w:r>
        <w:rPr>
          <w:rStyle w:val="FootnoteReference"/>
        </w:rPr>
        <w:footnoteReference w:id="1"/>
      </w:r>
      <w:r>
        <w:t>管理</w:t>
      </w:r>
      <w:r>
        <w:rPr>
          <w:rStyle w:val="FootnoteReference"/>
        </w:rPr>
        <w:footnoteReference w:id="2"/>
      </w:r>
      <w:r>
        <w:t>的要求。</w:t>
      </w:r>
      <w:r>
        <w:t xml:space="preserve">  </w:t>
      </w:r>
    </w:p>
    <w:p w:rsidR="008E791F" w:rsidRPr="00811E2A" w:rsidRDefault="008E791F" w:rsidP="008E791F">
      <w:pPr>
        <w:pStyle w:val="Heading2"/>
      </w:pPr>
      <w:bookmarkStart w:id="6" w:name="_Toc394499147"/>
      <w:bookmarkStart w:id="7" w:name="_Toc423449530"/>
      <w:bookmarkStart w:id="8" w:name="_Toc426539753"/>
      <w:r>
        <w:t>目标</w:t>
      </w:r>
      <w:bookmarkEnd w:id="6"/>
      <w:bookmarkEnd w:id="7"/>
      <w:bookmarkEnd w:id="8"/>
    </w:p>
    <w:p w:rsidR="008E791F" w:rsidRPr="00F02AB6" w:rsidRDefault="008E791F" w:rsidP="008E791F">
      <w:pPr>
        <w:pStyle w:val="essobjbull"/>
      </w:pPr>
      <w:r>
        <w:t>促进资源（包括水和原材料）的可持续利用。</w:t>
      </w:r>
    </w:p>
    <w:p w:rsidR="008E791F" w:rsidRPr="00561208" w:rsidRDefault="008E791F" w:rsidP="008E791F">
      <w:pPr>
        <w:pStyle w:val="essobjbull"/>
      </w:pPr>
      <w:r>
        <w:t>通过避免或尽可能降低项目活动所产生的污染来避免或尽可能降低对人体健康和环境造成的不利影响。</w:t>
      </w:r>
    </w:p>
    <w:p w:rsidR="008E791F" w:rsidRPr="00F02AB6" w:rsidRDefault="008E791F" w:rsidP="008E791F">
      <w:pPr>
        <w:pStyle w:val="essobjbull"/>
      </w:pPr>
      <w:r>
        <w:t>避免或尽可能减少项目</w:t>
      </w:r>
      <w:r>
        <w:rPr>
          <w:rStyle w:val="Emphasis"/>
        </w:rPr>
        <w:t>相关的</w:t>
      </w:r>
      <w:r>
        <w:t>短期和长期气候污染物</w:t>
      </w:r>
      <w:r>
        <w:rPr>
          <w:rStyle w:val="FootnoteReference"/>
        </w:rPr>
        <w:footnoteReference w:id="3"/>
      </w:r>
      <w:r>
        <w:t>的排放</w:t>
      </w:r>
      <w:r>
        <w:t xml:space="preserve"> </w:t>
      </w:r>
    </w:p>
    <w:p w:rsidR="008E791F" w:rsidRPr="00811E2A" w:rsidRDefault="008E791F" w:rsidP="008E791F">
      <w:pPr>
        <w:pStyle w:val="Heading2"/>
      </w:pPr>
      <w:bookmarkStart w:id="9" w:name="_Toc394499148"/>
      <w:bookmarkStart w:id="10" w:name="_Toc423449531"/>
      <w:bookmarkStart w:id="11" w:name="_Toc426539754"/>
      <w:r>
        <w:t>适用范围</w:t>
      </w:r>
      <w:bookmarkEnd w:id="9"/>
      <w:bookmarkEnd w:id="10"/>
      <w:bookmarkEnd w:id="11"/>
    </w:p>
    <w:p w:rsidR="008E791F" w:rsidRPr="00561208" w:rsidRDefault="008E791F" w:rsidP="008E791F">
      <w:pPr>
        <w:pStyle w:val="ESSpara"/>
        <w:ind w:left="0" w:firstLine="0"/>
      </w:pPr>
      <w:r>
        <w:t>本《环境与社会标准》的适用性在《环境与社会标准</w:t>
      </w:r>
      <w:r>
        <w:t>1</w:t>
      </w:r>
      <w:r>
        <w:t>》中所述的环境与社会评价期间确定。</w:t>
      </w:r>
    </w:p>
    <w:p w:rsidR="008E791F" w:rsidRPr="00811E2A" w:rsidRDefault="008E791F" w:rsidP="008E791F">
      <w:pPr>
        <w:pStyle w:val="Heading2"/>
      </w:pPr>
      <w:bookmarkStart w:id="12" w:name="_Toc394499149"/>
      <w:bookmarkStart w:id="13" w:name="_Toc423449532"/>
      <w:bookmarkStart w:id="14" w:name="_Toc426539755"/>
      <w:r>
        <w:t>要求</w:t>
      </w:r>
      <w:bookmarkEnd w:id="12"/>
      <w:bookmarkEnd w:id="13"/>
      <w:bookmarkEnd w:id="14"/>
    </w:p>
    <w:p w:rsidR="008E791F" w:rsidRDefault="008E791F" w:rsidP="008E791F">
      <w:pPr>
        <w:pStyle w:val="ESSpara"/>
        <w:ind w:left="0" w:firstLine="0"/>
      </w:pPr>
      <w:r>
        <w:t>借款国将考虑环境条件，并根据缓解制度在技术和经济可行性方面应用能够提高资源效率和污染防治的措施。该措施将与项目相关风险和影响相当，并根据《环境、健康与安全指南》初审时与良好国际行业惯例保持一致。</w:t>
      </w:r>
      <w:r>
        <w:t xml:space="preserve"> </w:t>
      </w:r>
    </w:p>
    <w:p w:rsidR="008E791F" w:rsidRPr="00811E2A" w:rsidRDefault="008E791F" w:rsidP="008E791F">
      <w:pPr>
        <w:pStyle w:val="Heading2"/>
      </w:pPr>
      <w:bookmarkStart w:id="15" w:name="_Toc394499150"/>
      <w:bookmarkStart w:id="16" w:name="_Toc423449533"/>
      <w:bookmarkStart w:id="17" w:name="_Toc426539756"/>
      <w:r>
        <w:lastRenderedPageBreak/>
        <w:t>资源效率</w:t>
      </w:r>
      <w:bookmarkEnd w:id="15"/>
      <w:bookmarkEnd w:id="16"/>
      <w:bookmarkEnd w:id="17"/>
    </w:p>
    <w:p w:rsidR="008E791F" w:rsidRPr="00561208" w:rsidRDefault="008E791F" w:rsidP="008E791F">
      <w:pPr>
        <w:pStyle w:val="ESSpara"/>
        <w:ind w:left="0" w:firstLine="0"/>
      </w:pPr>
      <w:r>
        <w:t>借款国应实施在技术和财务上可行的措施，提高其在能源、水和原材料以及其它资源消耗的利用效率。此类措施应以节约原材料、能源和水以及其他资源为目标，将清洁生产原则纳入到产品设计和产品生产当中。如果有基准数据可用，借款国应进行对比，以确立相对效率水平。</w:t>
      </w:r>
    </w:p>
    <w:p w:rsidR="008E791F" w:rsidRPr="00F36E44" w:rsidRDefault="008E791F" w:rsidP="008E791F">
      <w:pPr>
        <w:pStyle w:val="Heading3"/>
        <w:ind w:left="0" w:firstLine="0"/>
        <w:rPr>
          <w:bCs/>
          <w:sz w:val="22"/>
          <w:szCs w:val="22"/>
        </w:rPr>
      </w:pPr>
      <w:bookmarkStart w:id="18" w:name="_Toc423449534"/>
      <w:bookmarkStart w:id="19" w:name="_Toc426539757"/>
      <w:r>
        <w:rPr>
          <w:sz w:val="22"/>
        </w:rPr>
        <w:t>能源利用</w:t>
      </w:r>
      <w:bookmarkEnd w:id="18"/>
      <w:bookmarkEnd w:id="19"/>
    </w:p>
    <w:p w:rsidR="008E791F" w:rsidRPr="009A0CDD" w:rsidRDefault="008E791F" w:rsidP="008E791F">
      <w:pPr>
        <w:pStyle w:val="ESSpara"/>
        <w:ind w:left="0" w:firstLine="0"/>
      </w:pPr>
      <w:r>
        <w:t>如果项目可能消耗大量能源，那么除了需要满足本《环境与社会标准》有关资源效率的要求之外，借款国还应在技术和经济可行的前提下采取《环境、健康和安全指南》中指定的措施来降低或减少耗能量。</w:t>
      </w:r>
      <w:r>
        <w:t xml:space="preserve"> </w:t>
      </w:r>
    </w:p>
    <w:p w:rsidR="008E791F" w:rsidRPr="00DC4026" w:rsidRDefault="008E791F" w:rsidP="008E791F">
      <w:pPr>
        <w:pStyle w:val="Heading3"/>
        <w:ind w:left="0" w:firstLine="0"/>
        <w:rPr>
          <w:bCs/>
          <w:sz w:val="22"/>
          <w:szCs w:val="22"/>
        </w:rPr>
      </w:pPr>
      <w:bookmarkStart w:id="20" w:name="_Toc394499152"/>
      <w:bookmarkStart w:id="21" w:name="_Toc423449535"/>
      <w:bookmarkStart w:id="22" w:name="_Toc426539758"/>
      <w:r>
        <w:rPr>
          <w:sz w:val="22"/>
        </w:rPr>
        <w:t>水</w:t>
      </w:r>
      <w:bookmarkEnd w:id="20"/>
      <w:r>
        <w:rPr>
          <w:sz w:val="22"/>
        </w:rPr>
        <w:t>利用</w:t>
      </w:r>
      <w:bookmarkEnd w:id="21"/>
      <w:bookmarkEnd w:id="22"/>
    </w:p>
    <w:p w:rsidR="008E791F" w:rsidRPr="009A0CDD" w:rsidRDefault="008E791F" w:rsidP="008E791F">
      <w:pPr>
        <w:pStyle w:val="ESSpara"/>
        <w:ind w:left="0" w:firstLine="0"/>
      </w:pPr>
      <w:r>
        <w:t>如果项目可能消耗大量水资源，那么除了需要满足本《环境与社会标准》有关资源效率的要求之外，借款国还应在技术和经济可行的前提下采取措施来避免或最大程度降低耗水量，使项目不至于对他人造成重大不利影响。此类措施包括但不限于：在借款国的项目运行过程中采用技术上可行的节水措施、使用替代水源并采取用水补偿方案，把用水量维持在可供应量以下；评估项目的备选地点。</w:t>
      </w:r>
    </w:p>
    <w:p w:rsidR="008E791F" w:rsidRPr="00561208" w:rsidRDefault="008E791F" w:rsidP="008E791F">
      <w:pPr>
        <w:pStyle w:val="ESSpara"/>
        <w:ind w:left="0" w:firstLine="0"/>
      </w:pPr>
      <w:r>
        <w:t>对于耗水量较高且对社区、其他用户或环境可能存在严重不利影响的项目，适用下列规定：</w:t>
      </w:r>
      <w:r>
        <w:t xml:space="preserve"> </w:t>
      </w:r>
    </w:p>
    <w:p w:rsidR="008E791F" w:rsidRPr="00561208" w:rsidRDefault="008E791F" w:rsidP="008E791F">
      <w:pPr>
        <w:pStyle w:val="essbullet"/>
      </w:pPr>
      <w:r>
        <w:t>开发精细化水平衡系统，定期维护、监控和上报；</w:t>
      </w:r>
      <w:r>
        <w:t xml:space="preserve"> </w:t>
      </w:r>
    </w:p>
    <w:p w:rsidR="008E791F" w:rsidRPr="00561208" w:rsidRDefault="008E791F" w:rsidP="008E791F">
      <w:pPr>
        <w:pStyle w:val="essbullet"/>
      </w:pPr>
      <w:r>
        <w:t>寻求持续提高用水效率的机会；</w:t>
      </w:r>
      <w:r>
        <w:t xml:space="preserve"> </w:t>
      </w:r>
    </w:p>
    <w:p w:rsidR="008E791F" w:rsidRPr="00561208" w:rsidRDefault="008E791F" w:rsidP="008E791F">
      <w:pPr>
        <w:pStyle w:val="essbullet"/>
      </w:pPr>
      <w:r>
        <w:t>评估水资源的特定用途（按每单位生产量使用的水体积计算）；</w:t>
      </w:r>
      <w:r>
        <w:t xml:space="preserve"> </w:t>
      </w:r>
    </w:p>
    <w:p w:rsidR="008E791F" w:rsidRDefault="008E791F" w:rsidP="008E791F">
      <w:pPr>
        <w:pStyle w:val="essbullet"/>
      </w:pPr>
      <w:r>
        <w:t>操作时应参照现有行业用水效率标准。</w:t>
      </w:r>
      <w:r>
        <w:t xml:space="preserve"> </w:t>
      </w:r>
    </w:p>
    <w:p w:rsidR="008E791F" w:rsidRDefault="008E791F" w:rsidP="008E791F">
      <w:pPr>
        <w:pStyle w:val="ESSpara"/>
        <w:ind w:left="0" w:firstLine="0"/>
      </w:pPr>
      <w:r>
        <w:t>借款国应开展针对社区、其他用户和环境的潜在累积影响的评价，作为环境与社会评价的一部分。作为环境与社会评价的一部分，借款国应制定并和实行适当的缓解措施。</w:t>
      </w:r>
      <w:r>
        <w:t xml:space="preserve"> </w:t>
      </w:r>
    </w:p>
    <w:p w:rsidR="008E791F" w:rsidRDefault="008E791F" w:rsidP="008E791F">
      <w:pPr>
        <w:pStyle w:val="Heading3"/>
      </w:pPr>
      <w:bookmarkStart w:id="23" w:name="_Toc423449536"/>
      <w:bookmarkStart w:id="24" w:name="_Toc426539759"/>
      <w:r>
        <w:t>原材料利用</w:t>
      </w:r>
      <w:bookmarkEnd w:id="23"/>
      <w:bookmarkEnd w:id="24"/>
    </w:p>
    <w:p w:rsidR="008E791F" w:rsidRDefault="008E791F" w:rsidP="008E791F">
      <w:pPr>
        <w:pStyle w:val="ESSpara"/>
        <w:numPr>
          <w:ilvl w:val="0"/>
          <w:numId w:val="6"/>
        </w:numPr>
        <w:ind w:left="0" w:firstLine="0"/>
      </w:pPr>
      <w:r>
        <w:t>如果项目可能消耗大量原材料，那么除了需要满足本《环境与社会标准》有关资源效率的要求之外，借款国还应在技术和经济可行的前提下采取《环境、健康和安全指南》和《良好国际行业惯例》中指定的措施</w:t>
      </w:r>
      <w:r>
        <w:rPr>
          <w:rStyle w:val="FootnoteReference"/>
        </w:rPr>
        <w:footnoteReference w:id="4"/>
      </w:r>
      <w:r>
        <w:t>来避免或减少原材料使用量。</w:t>
      </w:r>
    </w:p>
    <w:p w:rsidR="008E791F" w:rsidRPr="00811E2A" w:rsidRDefault="008E791F" w:rsidP="008E791F">
      <w:pPr>
        <w:pStyle w:val="Heading2"/>
      </w:pPr>
      <w:bookmarkStart w:id="25" w:name="_Toc394499153"/>
      <w:bookmarkStart w:id="26" w:name="_Toc423449537"/>
      <w:bookmarkStart w:id="27" w:name="_Toc426539760"/>
      <w:r>
        <w:t>污染防治</w:t>
      </w:r>
      <w:bookmarkEnd w:id="25"/>
      <w:r>
        <w:t>和管理</w:t>
      </w:r>
      <w:bookmarkEnd w:id="26"/>
      <w:bookmarkEnd w:id="27"/>
    </w:p>
    <w:p w:rsidR="008E791F" w:rsidRPr="00DE302A" w:rsidRDefault="008E791F" w:rsidP="008E791F">
      <w:pPr>
        <w:pStyle w:val="ESSpara"/>
        <w:numPr>
          <w:ilvl w:val="0"/>
          <w:numId w:val="7"/>
        </w:numPr>
        <w:ind w:left="0" w:firstLine="0"/>
        <w:rPr>
          <w:bCs/>
        </w:rPr>
      </w:pPr>
      <w:r>
        <w:t>借款国应避免排放污染物，若无法避免，则应根据国家法律或《环境、健康和安全指南》（以更严格者为准）中规定的绩效等级和措施最大限度地降低或控制排放强度和质量流量。这一</w:t>
      </w:r>
      <w:r>
        <w:lastRenderedPageBreak/>
        <w:t>要求适用于在正常、非正常运行以及意外情况下释放到大气、水体以及土壤之中并可能造成当地、区域或跨境影响的污染物。</w:t>
      </w:r>
      <w:r>
        <w:t xml:space="preserve"> </w:t>
      </w:r>
    </w:p>
    <w:p w:rsidR="008E791F" w:rsidRPr="009A0CDD" w:rsidRDefault="008E791F" w:rsidP="008E791F">
      <w:pPr>
        <w:pStyle w:val="ESSpara"/>
        <w:ind w:left="0" w:firstLine="0"/>
        <w:rPr>
          <w:bCs/>
        </w:rPr>
      </w:pPr>
      <w:r>
        <w:t>若项目涉及历史性污染，</w:t>
      </w:r>
      <w:r>
        <w:rPr>
          <w:rStyle w:val="FootnoteReference"/>
        </w:rPr>
        <w:footnoteReference w:id="5"/>
      </w:r>
      <w:r>
        <w:t>则借款国应制定相关程序确定责任方。若历史性污染可能对人体健康或环境构成重大威胁，则借款国应针对威胁社区、工作人员和环境的当前污染开展健康与安全风险分析</w:t>
      </w:r>
      <w:r>
        <w:rPr>
          <w:rStyle w:val="FootnoteReference"/>
        </w:rPr>
        <w:footnoteReference w:id="6"/>
      </w:r>
      <w:r>
        <w:t>。项目现场的任何整治应符合国家法律和良好国际行业惯例（这是最严格的）。</w:t>
      </w:r>
      <w:r>
        <w:rPr>
          <w:rStyle w:val="FootnoteReference"/>
        </w:rPr>
        <w:footnoteReference w:id="7"/>
      </w:r>
    </w:p>
    <w:p w:rsidR="008E791F" w:rsidRDefault="008E791F" w:rsidP="008E791F">
      <w:pPr>
        <w:pStyle w:val="ESSpara"/>
        <w:ind w:left="0" w:firstLine="0"/>
      </w:pPr>
      <w:r>
        <w:t>为了应对项目可能对人员健康和环境</w:t>
      </w:r>
      <w:r>
        <w:rPr>
          <w:rStyle w:val="FootnoteReference"/>
        </w:rPr>
        <w:footnoteReference w:id="8"/>
      </w:r>
      <w:r>
        <w:t>造成的不利影响，借款国应考虑各种相关因素，包括：</w:t>
      </w:r>
      <w:r>
        <w:t>(a)</w:t>
      </w:r>
      <w:r>
        <w:t>当前周边环境条件；</w:t>
      </w:r>
      <w:r>
        <w:t>(b)</w:t>
      </w:r>
      <w:r>
        <w:t>有限的环境容量</w:t>
      </w:r>
      <w:r>
        <w:rPr>
          <w:rStyle w:val="FootnoteReference"/>
        </w:rPr>
        <w:footnoteReference w:id="9"/>
      </w:r>
      <w:r>
        <w:t>；</w:t>
      </w:r>
      <w:r>
        <w:t>(c)</w:t>
      </w:r>
      <w:r>
        <w:t>当前和未来的土地利用；</w:t>
      </w:r>
      <w:r>
        <w:t>(d)</w:t>
      </w:r>
      <w:r>
        <w:t>项目是否毗邻重要的生物多样性地区；</w:t>
      </w:r>
      <w:r>
        <w:t>(e)</w:t>
      </w:r>
      <w:r>
        <w:t>出现造成不确定和</w:t>
      </w:r>
      <w:r>
        <w:t>/</w:t>
      </w:r>
      <w:r>
        <w:t>或不可逆后果的累积性影响的可能性；</w:t>
      </w:r>
      <w:r>
        <w:t>(f)</w:t>
      </w:r>
      <w:r>
        <w:t>气候变化的影响。</w:t>
      </w:r>
      <w:r>
        <w:t xml:space="preserve"> </w:t>
      </w:r>
    </w:p>
    <w:p w:rsidR="008E791F" w:rsidRPr="00561208" w:rsidRDefault="008E791F" w:rsidP="008E791F">
      <w:pPr>
        <w:pStyle w:val="ESSpara"/>
        <w:ind w:left="0" w:firstLine="0"/>
      </w:pPr>
      <w:r>
        <w:t>除了适用本《环境与社会标准》中要求的资源效率和污染控制措施之外，如果项目有可能在已经出现环境退化的区域形成一大污染物排放源，则借款国还应考虑采取额外策略和措施来避免或最大成都减少负面影响。此类策略包括但不限于对项目的备选地点进行评估。</w:t>
      </w:r>
    </w:p>
    <w:p w:rsidR="008E791F" w:rsidRDefault="008E791F" w:rsidP="008E791F">
      <w:pPr>
        <w:pStyle w:val="Heading3"/>
        <w:ind w:left="0" w:firstLine="0"/>
        <w:rPr>
          <w:sz w:val="22"/>
          <w:szCs w:val="22"/>
        </w:rPr>
      </w:pPr>
      <w:bookmarkStart w:id="28" w:name="_Toc423449538"/>
      <w:bookmarkStart w:id="29" w:name="_Toc426539761"/>
      <w:bookmarkStart w:id="30" w:name="_Toc394499154"/>
      <w:r>
        <w:rPr>
          <w:sz w:val="22"/>
        </w:rPr>
        <w:t>大气污染</w:t>
      </w:r>
      <w:bookmarkEnd w:id="28"/>
      <w:bookmarkEnd w:id="29"/>
    </w:p>
    <w:p w:rsidR="008E791F" w:rsidRPr="00561208" w:rsidRDefault="008E791F" w:rsidP="008E791F">
      <w:pPr>
        <w:pStyle w:val="ESSpara"/>
        <w:ind w:left="0" w:firstLine="0"/>
      </w:pPr>
      <w:r>
        <w:t>除了上述资源效率措施以外，借款国还应考虑技术和财务上可行且具有成本效益的其它替代措施，以最大程度减少项目设计和运行期间的项目相关气体排放。</w:t>
      </w:r>
      <w:r>
        <w:rPr>
          <w:rStyle w:val="FootnoteReference"/>
        </w:rPr>
        <w:footnoteReference w:id="10"/>
      </w:r>
    </w:p>
    <w:p w:rsidR="008E791F" w:rsidRPr="00AA59AC" w:rsidRDefault="008E791F" w:rsidP="008E791F">
      <w:pPr>
        <w:pStyle w:val="ESSpara"/>
        <w:ind w:left="0" w:firstLine="0"/>
      </w:pPr>
      <w:r>
        <w:t>对于预计每年将产生超过阈值的</w:t>
      </w:r>
      <w:r>
        <w:rPr>
          <w:rStyle w:val="FootnoteReference"/>
        </w:rPr>
        <w:footnoteReference w:id="11"/>
      </w:r>
      <w:r>
        <w:t>二氧化碳当量、世界银行发起的项目，</w:t>
      </w:r>
      <w:r>
        <w:rPr>
          <w:rStyle w:val="FootnoteReference"/>
        </w:rPr>
        <w:footnoteReference w:id="12"/>
      </w:r>
      <w:r>
        <w:t>在技术和经济可行的情况下，借款国应量化</w:t>
      </w:r>
      <w:r>
        <w:t xml:space="preserve"> (a)</w:t>
      </w:r>
      <w:r>
        <w:t>项目实际范围内所拥有或控制的设施估计的直接排放量；</w:t>
      </w:r>
      <w:r>
        <w:rPr>
          <w:rStyle w:val="FootnoteReference"/>
        </w:rPr>
        <w:footnoteReference w:id="13"/>
      </w:r>
      <w:r>
        <w:t xml:space="preserve">(b) </w:t>
      </w:r>
      <w:r>
        <w:t>包括为了满足项目的能源需求而在项目场所外进行的活动所带来的间接排放量</w:t>
      </w:r>
      <w:r>
        <w:rPr>
          <w:rStyle w:val="FootnoteReference"/>
        </w:rPr>
        <w:footnoteReference w:id="14"/>
      </w:r>
      <w:r>
        <w:t>。借款国应按照国际通行的方法和良好惯例每年估测一次温室气体排放量。</w:t>
      </w:r>
    </w:p>
    <w:p w:rsidR="008E791F" w:rsidRPr="00561208" w:rsidRDefault="008E791F" w:rsidP="008E791F">
      <w:pPr>
        <w:pStyle w:val="Heading3"/>
        <w:ind w:left="0" w:firstLine="0"/>
        <w:rPr>
          <w:sz w:val="22"/>
          <w:szCs w:val="22"/>
        </w:rPr>
      </w:pPr>
      <w:bookmarkStart w:id="31" w:name="_Toc423449539"/>
      <w:bookmarkStart w:id="32" w:name="_Toc426539762"/>
      <w:r>
        <w:rPr>
          <w:sz w:val="22"/>
        </w:rPr>
        <w:lastRenderedPageBreak/>
        <w:t>危险和非危险废弃物管理</w:t>
      </w:r>
      <w:bookmarkEnd w:id="30"/>
      <w:bookmarkEnd w:id="31"/>
      <w:bookmarkEnd w:id="32"/>
    </w:p>
    <w:p w:rsidR="008E791F" w:rsidRPr="00AA59AC" w:rsidRDefault="008E791F" w:rsidP="008E791F">
      <w:pPr>
        <w:pStyle w:val="ESSpara"/>
        <w:ind w:left="0" w:firstLine="0"/>
        <w:rPr>
          <w:bCs/>
          <w:iCs/>
          <w:u w:val="single"/>
        </w:rPr>
      </w:pPr>
      <w:r>
        <w:t>借款国应避免产生危险废物或无害垃圾</w:t>
      </w:r>
      <w:r>
        <w:rPr>
          <w:rStyle w:val="FootnoteReference"/>
        </w:rPr>
        <w:footnoteReference w:id="15"/>
      </w:r>
      <w:r>
        <w:t>。在无法避免的情况下，借款国应最大限度减少废弃物的产生，并采用对人体健康和环境安全无害的方式将废弃物进行回收和重新利用。如果废弃物无法重新利用、回收或恢复，借款国应采用对环境无害且安全的方式对其进行处理、销毁或处置，其中包括适当控制运输和废弃物处理过程中产生的排放物和残留物。</w:t>
      </w:r>
      <w:r>
        <w:t xml:space="preserve"> </w:t>
      </w:r>
    </w:p>
    <w:p w:rsidR="008E791F" w:rsidRPr="009A0CDD" w:rsidRDefault="008E791F" w:rsidP="008E791F">
      <w:pPr>
        <w:pStyle w:val="ESSpara"/>
        <w:ind w:left="0" w:firstLine="0"/>
        <w:rPr>
          <w:bCs/>
          <w:iCs/>
          <w:u w:val="single"/>
        </w:rPr>
      </w:pPr>
      <w:r>
        <w:t>若产生的废弃物具有危害性，</w:t>
      </w:r>
      <w:r>
        <w:rPr>
          <w:rStyle w:val="FootnoteReference"/>
        </w:rPr>
        <w:footnoteReference w:id="16"/>
      </w:r>
      <w:r>
        <w:t>则借款国应遵守现有的危险废弃物管理（包括存放、运输和处理）要求（包括国家法令和适用的国际惯例），包括跨境转运相关的规定。若无上述要求，则借款国应采用良好国际行业规范备选方案，用于环保安全管理和处理。如果危险性废弃物的管理由第三方执行，借款国应选用信誉良好的合法企业作为承包商，而且所用的承包商应获得相关政府监管机构对此类废弃物运输和处理方面的许可，并需要取得直达最终处置地的处置链文件证明。借款国应确认持证废物处理场按照可接受的标准进行运行并确认其位置。如果许可的处理场不符合可接受的标准，借款国应最大限度减少送往此类处理场的废物量并考虑替代处理方案，其中包括考虑在项目地点或其他任何地方建立自己的回收或处理设施的可能性。</w:t>
      </w:r>
    </w:p>
    <w:p w:rsidR="008E791F" w:rsidRPr="00DB0F7E" w:rsidRDefault="008E791F" w:rsidP="008E791F">
      <w:pPr>
        <w:pStyle w:val="Heading3"/>
        <w:ind w:left="0" w:firstLine="0"/>
        <w:rPr>
          <w:bCs/>
          <w:sz w:val="22"/>
          <w:szCs w:val="22"/>
        </w:rPr>
      </w:pPr>
      <w:bookmarkStart w:id="33" w:name="_Toc394499155"/>
      <w:bookmarkStart w:id="34" w:name="_Toc423449540"/>
      <w:bookmarkStart w:id="35" w:name="_Toc426539763"/>
      <w:r>
        <w:rPr>
          <w:sz w:val="22"/>
        </w:rPr>
        <w:t>化学品和危险材料管理</w:t>
      </w:r>
      <w:bookmarkEnd w:id="33"/>
      <w:bookmarkEnd w:id="34"/>
      <w:bookmarkEnd w:id="35"/>
    </w:p>
    <w:p w:rsidR="008E791F" w:rsidRDefault="008E791F" w:rsidP="008E791F">
      <w:pPr>
        <w:pStyle w:val="ESSpara"/>
        <w:ind w:left="0" w:firstLine="0"/>
      </w:pPr>
      <w:r>
        <w:t>借款国应避免生产、交易和使用国际禁令、限制令或淘汰令禁止的化学品和危险品，出于公约或协议中规定的特定目的的情况除外；或仅当借款国获取豁免后方可，并且须与适用的国际协议项下的借款国政府承诺保持一致。</w:t>
      </w:r>
      <w:r>
        <w:t xml:space="preserve"> </w:t>
      </w:r>
    </w:p>
    <w:p w:rsidR="008E791F" w:rsidRPr="006878F0" w:rsidRDefault="008E791F" w:rsidP="008E791F">
      <w:pPr>
        <w:pStyle w:val="ESSpara"/>
        <w:ind w:left="0" w:firstLine="0"/>
      </w:pPr>
      <w:r>
        <w:t>借款国应最大限度地减少和控制危险品的排放和使用</w:t>
      </w:r>
      <w:r>
        <w:rPr>
          <w:rStyle w:val="FootnoteReference"/>
        </w:rPr>
        <w:footnoteReference w:id="17"/>
      </w:r>
      <w:r>
        <w:t>。项目进行过程中危险品的生产、运输、搬运、储藏和使用应经过环境与社会评价。在制造过程或其它运行中需要使用危险品的情况下，借款国应考虑使用危险性较小的替代品。</w:t>
      </w:r>
      <w:r>
        <w:t xml:space="preserve"> </w:t>
      </w:r>
    </w:p>
    <w:p w:rsidR="008E791F" w:rsidRPr="00561208" w:rsidRDefault="008E791F" w:rsidP="008E791F">
      <w:pPr>
        <w:pStyle w:val="Heading3"/>
        <w:ind w:left="0" w:firstLine="0"/>
        <w:rPr>
          <w:sz w:val="22"/>
          <w:szCs w:val="22"/>
        </w:rPr>
      </w:pPr>
      <w:bookmarkStart w:id="36" w:name="_Toc394499156"/>
      <w:bookmarkStart w:id="37" w:name="_Toc423449541"/>
      <w:bookmarkStart w:id="38" w:name="_Toc426539764"/>
      <w:r>
        <w:rPr>
          <w:sz w:val="22"/>
        </w:rPr>
        <w:t>农药管理</w:t>
      </w:r>
      <w:bookmarkEnd w:id="36"/>
      <w:bookmarkEnd w:id="37"/>
      <w:bookmarkEnd w:id="38"/>
    </w:p>
    <w:p w:rsidR="008E791F" w:rsidRPr="00561208" w:rsidRDefault="008E791F" w:rsidP="008E791F">
      <w:pPr>
        <w:pStyle w:val="ESSpara"/>
        <w:ind w:left="0" w:firstLine="0"/>
      </w:pPr>
      <w:r>
        <w:t>若项目需要采用病虫害管理措施，则借款国应采用综合性或多样性策略，优先选择病虫害综合管理</w:t>
      </w:r>
      <w:r>
        <w:t>(IPM)</w:t>
      </w:r>
      <w:r>
        <w:rPr>
          <w:rStyle w:val="FootnoteReference"/>
        </w:rPr>
        <w:footnoteReference w:id="18"/>
      </w:r>
      <w:r>
        <w:t>或病媒综合管理</w:t>
      </w:r>
      <w:r>
        <w:t>(IVM)</w:t>
      </w:r>
      <w:r>
        <w:rPr>
          <w:rStyle w:val="FootnoteReference"/>
        </w:rPr>
        <w:footnoteReference w:id="19"/>
      </w:r>
      <w:r>
        <w:t>方法。</w:t>
      </w:r>
      <w:r>
        <w:t xml:space="preserve"> </w:t>
      </w:r>
    </w:p>
    <w:p w:rsidR="008E791F" w:rsidRPr="00561208" w:rsidRDefault="008E791F" w:rsidP="008E791F">
      <w:pPr>
        <w:pStyle w:val="ESSpara"/>
        <w:ind w:left="0" w:firstLine="0"/>
      </w:pPr>
      <w:r>
        <w:t>采购杀虫剂时，借款国应评估相关风险的性质和程度，并考虑拟定用途和目标使用者。</w:t>
      </w:r>
      <w:r>
        <w:rPr>
          <w:rStyle w:val="FootnoteReference"/>
        </w:rPr>
        <w:footnoteReference w:id="20"/>
      </w:r>
      <w:r>
        <w:t>借款人不得使用任何农药或农药产品或制剂，除非这种使用符合《环境、健康和安全指南》。另外，借款国不得使用任何包含适用国际公约或其议定书或其附件所列标准或会议中受限活性成分</w:t>
      </w:r>
      <w:r>
        <w:lastRenderedPageBreak/>
        <w:t>的杀虫剂产品，公约、议定书或附件中规定的特定可接受用途除外，或仅当借款国获得上述公约、议定书或附件规定的豁免令后方可使用，并且须与这些及其他适用的国际协议项下的借款国政府承诺保持一致。借款国也不得使用达到相关国际机构规定的致癌性、致突变性或生殖毒性标准的任何配方的杀虫剂产品。对于会对人类健康或环境构成其他潜在的严重危害以及国际公认分类和标签制度中确定的任何其他农药产品，借款国在以下情况下不得使用农药制剂：</w:t>
      </w:r>
      <w:r>
        <w:t>(a)</w:t>
      </w:r>
      <w:r>
        <w:t>所在国家缺乏对上述产品分销、管理和使用的限制规定；</w:t>
      </w:r>
      <w:r>
        <w:t>(b)</w:t>
      </w:r>
      <w:r>
        <w:t>上述产品可能或能够被未经培训的下岗人员、农民或其他无适当的搬运、储存和应用设备和设施的使用人使用。</w:t>
      </w:r>
    </w:p>
    <w:p w:rsidR="008E791F" w:rsidRPr="00561208" w:rsidRDefault="008E791F" w:rsidP="008E791F">
      <w:pPr>
        <w:pStyle w:val="ESSpara"/>
        <w:ind w:left="0" w:firstLine="0"/>
      </w:pPr>
      <w:r>
        <w:t>下列附加标准适用于所述杀虫剂的选择和使用：</w:t>
      </w:r>
      <w:r>
        <w:t>(a)</w:t>
      </w:r>
      <w:r>
        <w:t>对人体健康产生的不利影响可忽略不计；</w:t>
      </w:r>
      <w:r>
        <w:t>(b)</w:t>
      </w:r>
      <w:r>
        <w:t>被证明对目标物种有效；</w:t>
      </w:r>
      <w:r>
        <w:t>(c)</w:t>
      </w:r>
      <w:r>
        <w:t>对非目标物种和自然环境的影响轻微。杀虫剂施用方法、时间和频率应能最大限度地减少对病虫天敌的损伤。公共卫生项目中使用的杀虫剂能够被证明对使用区居民、家畜和使用人无害；</w:t>
      </w:r>
      <w:r>
        <w:t>(d)</w:t>
      </w:r>
      <w:r>
        <w:t>使用此类杀虫剂时应考虑降低虫害抗药性的必要性；</w:t>
      </w:r>
      <w:r>
        <w:t>(e)</w:t>
      </w:r>
      <w:r>
        <w:t>若需要登记，则所有杀虫剂应经过注册或授权后方可用于农作物或本项目下的拟议用途。</w:t>
      </w:r>
    </w:p>
    <w:p w:rsidR="008E791F" w:rsidRPr="00561208" w:rsidRDefault="008E791F" w:rsidP="008E791F">
      <w:pPr>
        <w:pStyle w:val="ESSpara"/>
        <w:ind w:left="0" w:firstLine="0"/>
      </w:pPr>
      <w:r>
        <w:t>借款国应确保按照相关国际标准和行为准则以及《环境、健康与安全指南》规定进行杀虫剂生产、配剂、包装、标签、搬运、存储、处理和使用。</w:t>
      </w:r>
    </w:p>
    <w:p w:rsidR="008E791F" w:rsidRDefault="008E791F" w:rsidP="008E791F">
      <w:pPr>
        <w:pStyle w:val="ESSpara"/>
        <w:tabs>
          <w:tab w:val="left" w:pos="0"/>
        </w:tabs>
        <w:ind w:left="0" w:firstLine="0"/>
      </w:pPr>
      <w:r>
        <w:t>对于任何涉及重大病虫害管理事件的项目</w:t>
      </w:r>
      <w:r>
        <w:rPr>
          <w:rStyle w:val="FootnoteReference"/>
        </w:rPr>
        <w:footnoteReference w:id="21"/>
      </w:r>
      <w:r>
        <w:t>或可能引发重大病虫害和农药管理活动的任何项目，</w:t>
      </w:r>
      <w:r>
        <w:rPr>
          <w:rStyle w:val="FootnoteReference"/>
        </w:rPr>
        <w:footnoteReference w:id="22"/>
      </w:r>
      <w:r>
        <w:t>借款国应编制病虫害管理计划。若拟议的病虫害管理产品资金占本项目的比重较大，则也需编制病虫害管理计划。</w:t>
      </w:r>
      <w:r>
        <w:rPr>
          <w:rStyle w:val="FootnoteReference"/>
        </w:rPr>
        <w:footnoteReference w:id="23"/>
      </w:r>
    </w:p>
    <w:p w:rsidR="008E791F" w:rsidRDefault="008E791F" w:rsidP="008E791F">
      <w:pPr>
        <w:pStyle w:val="Heading1"/>
        <w:numPr>
          <w:ilvl w:val="0"/>
          <w:numId w:val="0"/>
        </w:numPr>
        <w:spacing w:line="240" w:lineRule="auto"/>
        <w:jc w:val="left"/>
        <w:sectPr w:rsidR="008E791F"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8350CF" w:rsidP="008E791F"/>
    <w:sectPr w:rsidR="005B3CCD">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CF" w:rsidRDefault="008350CF" w:rsidP="008E791F">
      <w:pPr>
        <w:spacing w:after="0" w:line="240" w:lineRule="auto"/>
      </w:pPr>
      <w:r>
        <w:separator/>
      </w:r>
    </w:p>
  </w:endnote>
  <w:endnote w:type="continuationSeparator" w:id="0">
    <w:p w:rsidR="008350CF" w:rsidRDefault="008350CF" w:rsidP="008E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8" w:rsidRDefault="00344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8" w:rsidRDefault="00344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8" w:rsidRDefault="0034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CF" w:rsidRDefault="008350CF" w:rsidP="008E791F">
      <w:pPr>
        <w:spacing w:after="0" w:line="240" w:lineRule="auto"/>
      </w:pPr>
      <w:r>
        <w:separator/>
      </w:r>
    </w:p>
  </w:footnote>
  <w:footnote w:type="continuationSeparator" w:id="0">
    <w:p w:rsidR="008350CF" w:rsidRDefault="008350CF" w:rsidP="008E791F">
      <w:pPr>
        <w:spacing w:after="0" w:line="240" w:lineRule="auto"/>
      </w:pPr>
      <w:r>
        <w:continuationSeparator/>
      </w:r>
    </w:p>
  </w:footnote>
  <w:footnote w:id="1">
    <w:p w:rsidR="008E791F" w:rsidRPr="003C39E9" w:rsidRDefault="008E791F" w:rsidP="008E791F">
      <w:pPr>
        <w:pStyle w:val="FootnoteText"/>
        <w:jc w:val="both"/>
        <w:rPr>
          <w:rFonts w:cstheme="minorHAnsi"/>
        </w:rPr>
      </w:pPr>
      <w:r>
        <w:rPr>
          <w:rStyle w:val="FootnoteReference"/>
          <w:rFonts w:cstheme="minorHAnsi"/>
        </w:rPr>
        <w:footnoteRef/>
      </w:r>
      <w:r>
        <w:t xml:space="preserve"> “</w:t>
      </w:r>
      <w:r>
        <w:t>污染</w:t>
      </w:r>
      <w:r>
        <w:t>”</w:t>
      </w:r>
      <w:r>
        <w:t>一词是指以固态、液态或气态形式存在的危险和无危险化学污染物，还可包含其他形式的污染物，例如热排放到水中、短期和长期气候污染物的排放、异味、噪音、振动、辐射、电磁能量以及可能造成的视觉影响（包括光）。</w:t>
      </w:r>
    </w:p>
  </w:footnote>
  <w:footnote w:id="2">
    <w:p w:rsidR="008E791F" w:rsidRPr="003C39E9" w:rsidRDefault="008E791F" w:rsidP="008E791F">
      <w:pPr>
        <w:pStyle w:val="FootnoteText"/>
        <w:jc w:val="both"/>
        <w:rPr>
          <w:rFonts w:cstheme="minorHAnsi"/>
        </w:rPr>
      </w:pPr>
      <w:r>
        <w:rPr>
          <w:rStyle w:val="FootnoteReference"/>
          <w:rFonts w:cstheme="minorHAnsi"/>
        </w:rPr>
        <w:footnoteRef/>
      </w:r>
      <w:r>
        <w:t xml:space="preserve"> </w:t>
      </w:r>
      <w:r>
        <w:t>除非本《环境与社会标准》另有指明，否则</w:t>
      </w:r>
      <w:r>
        <w:t>“</w:t>
      </w:r>
      <w:r>
        <w:t>污染管理</w:t>
      </w:r>
      <w:r>
        <w:t>”</w:t>
      </w:r>
      <w:r>
        <w:t>包括避免或尽可能减少污染排放（包括短期和长期气候污染物排放）的专用措施，而且降低能源和原材料使用以及减少当地污染物排放的措施也能够减少短期和长期气候污染物的排放。</w:t>
      </w:r>
    </w:p>
  </w:footnote>
  <w:footnote w:id="3">
    <w:p w:rsidR="008E791F" w:rsidRDefault="008E791F" w:rsidP="008E791F">
      <w:pPr>
        <w:pStyle w:val="FootnoteText"/>
      </w:pPr>
      <w:r>
        <w:rPr>
          <w:rStyle w:val="FootnoteReference"/>
        </w:rPr>
        <w:footnoteRef/>
      </w:r>
      <w:r>
        <w:t xml:space="preserve"> </w:t>
      </w:r>
      <w:r>
        <w:t>这包括所有温室气体和黑碳（</w:t>
      </w:r>
      <w:r>
        <w:t>BC</w:t>
      </w:r>
      <w:r>
        <w:t>）。</w:t>
      </w:r>
    </w:p>
  </w:footnote>
  <w:footnote w:id="4">
    <w:p w:rsidR="008E791F" w:rsidRDefault="008E791F" w:rsidP="008E791F">
      <w:pPr>
        <w:pStyle w:val="FootnoteText"/>
        <w:jc w:val="both"/>
      </w:pPr>
      <w:r>
        <w:rPr>
          <w:rStyle w:val="FootnoteReference"/>
        </w:rPr>
        <w:footnoteRef/>
      </w:r>
      <w:r>
        <w:t xml:space="preserve"> </w:t>
      </w:r>
      <w:r>
        <w:t>这些措施可能包括重复使用或回收材料。借款国将设法减少或消除有毒或有害原材料的使用。</w:t>
      </w:r>
    </w:p>
  </w:footnote>
  <w:footnote w:id="5">
    <w:p w:rsidR="008E791F" w:rsidRDefault="008E791F" w:rsidP="008E791F">
      <w:pPr>
        <w:pStyle w:val="FootnoteText"/>
        <w:jc w:val="both"/>
      </w:pPr>
      <w:r>
        <w:rPr>
          <w:rStyle w:val="FootnoteReference"/>
        </w:rPr>
        <w:footnoteRef/>
      </w:r>
      <w:r>
        <w:t xml:space="preserve"> </w:t>
      </w:r>
      <w:r>
        <w:t>就此而言，历史性污染指影响土地和水资源的过往活动造成的污染，且无任何一方为此承担责任或被分配责任，以解决和实施必要的补救措施。</w:t>
      </w:r>
    </w:p>
  </w:footnote>
  <w:footnote w:id="6">
    <w:p w:rsidR="008E791F" w:rsidRDefault="008E791F" w:rsidP="008E791F">
      <w:pPr>
        <w:spacing w:after="0" w:line="240" w:lineRule="auto"/>
        <w:jc w:val="both"/>
      </w:pPr>
      <w:r>
        <w:rPr>
          <w:rStyle w:val="FootnoteReference"/>
        </w:rPr>
        <w:footnoteRef/>
      </w:r>
      <w:r>
        <w:t xml:space="preserve"> </w:t>
      </w:r>
      <w:r>
        <w:rPr>
          <w:rFonts w:cstheme="minorHAnsi"/>
          <w:sz w:val="20"/>
        </w:rPr>
        <w:t>实行基于风险的措施（符合《环境、健康和安全指南》中反映的良好国际行业惯例）后应开展上述评估工作。</w:t>
      </w:r>
    </w:p>
  </w:footnote>
  <w:footnote w:id="7">
    <w:p w:rsidR="008E791F" w:rsidRPr="003C39E9" w:rsidRDefault="008E791F" w:rsidP="008E791F">
      <w:pPr>
        <w:spacing w:after="0" w:line="240" w:lineRule="auto"/>
        <w:jc w:val="both"/>
        <w:rPr>
          <w:rFonts w:cstheme="minorHAnsi"/>
          <w:sz w:val="20"/>
          <w:szCs w:val="20"/>
        </w:rPr>
      </w:pPr>
      <w:r>
        <w:rPr>
          <w:rStyle w:val="FootnoteReference"/>
          <w:rFonts w:cstheme="minorHAnsi"/>
          <w:sz w:val="20"/>
        </w:rPr>
        <w:footnoteRef/>
      </w:r>
      <w:r>
        <w:rPr>
          <w:rFonts w:cstheme="minorHAnsi"/>
          <w:sz w:val="20"/>
        </w:rPr>
        <w:t xml:space="preserve"> </w:t>
      </w:r>
      <w:r>
        <w:rPr>
          <w:rFonts w:cstheme="minorHAnsi"/>
          <w:sz w:val="20"/>
        </w:rPr>
        <w:t>若历史性污染由一个或多个第三方引起，则借款国应向该责任方考虑寻求解决方案，确保能够依照国家法律或良好国际行业惯例要求治理污染。借款国将采用充分手段，确保项目现场的历史性污染不会对工作人员和社区的健康和安全造成威胁。</w:t>
      </w:r>
    </w:p>
  </w:footnote>
  <w:footnote w:id="8">
    <w:p w:rsidR="008E791F" w:rsidRPr="003C39E9" w:rsidRDefault="008E791F" w:rsidP="008E791F">
      <w:pPr>
        <w:pStyle w:val="FootnoteText"/>
        <w:jc w:val="both"/>
        <w:rPr>
          <w:rFonts w:cstheme="minorHAnsi"/>
        </w:rPr>
      </w:pPr>
      <w:r>
        <w:rPr>
          <w:rStyle w:val="FootnoteReference"/>
          <w:rFonts w:cstheme="minorHAnsi"/>
        </w:rPr>
        <w:footnoteRef/>
      </w:r>
      <w:r>
        <w:t xml:space="preserve"> </w:t>
      </w:r>
      <w:r>
        <w:t>例如空气、地表水和地下水、土壤。</w:t>
      </w:r>
    </w:p>
  </w:footnote>
  <w:footnote w:id="9">
    <w:p w:rsidR="008E791F" w:rsidRPr="003C39E9" w:rsidRDefault="008E791F" w:rsidP="008E791F">
      <w:pPr>
        <w:pStyle w:val="FootnoteText"/>
        <w:jc w:val="both"/>
        <w:rPr>
          <w:rFonts w:cstheme="minorHAnsi"/>
        </w:rPr>
      </w:pPr>
      <w:r>
        <w:rPr>
          <w:rStyle w:val="FootnoteReference"/>
          <w:rFonts w:cstheme="minorHAnsi"/>
        </w:rPr>
        <w:footnoteRef/>
      </w:r>
      <w:r>
        <w:t xml:space="preserve"> </w:t>
      </w:r>
      <w:r>
        <w:t>环境容量指环境在使对人体健康和环境的风险保持在可接受水平以下的前提下吸收不断增多污染物的容量。</w:t>
      </w:r>
    </w:p>
  </w:footnote>
  <w:footnote w:id="10">
    <w:p w:rsidR="008E791F" w:rsidRDefault="008E791F" w:rsidP="008E791F">
      <w:pPr>
        <w:pStyle w:val="FootnoteText"/>
        <w:jc w:val="both"/>
      </w:pPr>
      <w:r>
        <w:rPr>
          <w:rStyle w:val="FootnoteReference"/>
        </w:rPr>
        <w:footnoteRef/>
      </w:r>
      <w:r>
        <w:t xml:space="preserve"> </w:t>
      </w:r>
      <w:r>
        <w:t>这些措施可包括使用可再生或低碳能源；可能性较高的全球变暖制冷剂替代品；发展可持续农业、林业和畜牧业管理；减少易散性排放和废气燃烧；以及进行碳封存；可持续交通替代品；适当的废物管理实践。</w:t>
      </w:r>
    </w:p>
  </w:footnote>
  <w:footnote w:id="11">
    <w:p w:rsidR="008E791F" w:rsidRDefault="008E791F" w:rsidP="008E791F">
      <w:pPr>
        <w:pStyle w:val="FootnoteText"/>
      </w:pPr>
      <w:r>
        <w:rPr>
          <w:rStyle w:val="FootnoteReference"/>
        </w:rPr>
        <w:footnoteRef/>
      </w:r>
      <w:r>
        <w:t xml:space="preserve"> [</w:t>
      </w:r>
      <w:r>
        <w:t>此处提供指南</w:t>
      </w:r>
      <w:r>
        <w:t>]</w:t>
      </w:r>
    </w:p>
  </w:footnote>
  <w:footnote w:id="12">
    <w:p w:rsidR="008E791F" w:rsidRPr="003C39E9" w:rsidRDefault="008E791F" w:rsidP="008E791F">
      <w:pPr>
        <w:pStyle w:val="FootnoteText"/>
        <w:jc w:val="both"/>
        <w:rPr>
          <w:rFonts w:cstheme="minorHAnsi"/>
        </w:rPr>
      </w:pPr>
      <w:r>
        <w:rPr>
          <w:rStyle w:val="FootnoteReference"/>
          <w:rFonts w:cstheme="minorHAnsi"/>
        </w:rPr>
        <w:footnoteRef/>
      </w:r>
      <w:r>
        <w:t xml:space="preserve"> </w:t>
      </w:r>
      <w:r>
        <w:t>估测的排放量将考虑温室气体所有主要排放源，包括非能源相关的排放源，例如甲烷和一氧化二氮等。</w:t>
      </w:r>
    </w:p>
  </w:footnote>
  <w:footnote w:id="13">
    <w:p w:rsidR="008E791F" w:rsidRPr="003C39E9" w:rsidRDefault="008E791F" w:rsidP="008E791F">
      <w:pPr>
        <w:pStyle w:val="FootnoteText"/>
        <w:jc w:val="both"/>
        <w:rPr>
          <w:rFonts w:cstheme="minorHAnsi"/>
        </w:rPr>
      </w:pPr>
      <w:r>
        <w:rPr>
          <w:rStyle w:val="FootnoteReference"/>
          <w:rFonts w:cstheme="minorHAnsi"/>
        </w:rPr>
        <w:footnoteRef/>
      </w:r>
      <w:r>
        <w:t xml:space="preserve"> </w:t>
      </w:r>
      <w:r>
        <w:rPr>
          <w:rStyle w:val="FootnoteTextChar"/>
          <w:rFonts w:cstheme="minorHAnsi"/>
        </w:rPr>
        <w:t>土壤碳或地上生物量的项目诱发性变化以及有机质的项目诱发性腐败可能变成直接排放源，并将计入估测的排放量（重要排放源）中。</w:t>
      </w:r>
    </w:p>
  </w:footnote>
  <w:footnote w:id="14">
    <w:p w:rsidR="008E791F" w:rsidRPr="003C39E9" w:rsidRDefault="008E791F" w:rsidP="008E791F">
      <w:pPr>
        <w:pStyle w:val="FootnoteText"/>
        <w:jc w:val="both"/>
        <w:rPr>
          <w:rFonts w:cstheme="minorHAnsi"/>
        </w:rPr>
      </w:pPr>
      <w:r>
        <w:rPr>
          <w:rStyle w:val="FootnoteReference"/>
          <w:rFonts w:cstheme="minorHAnsi"/>
        </w:rPr>
        <w:footnoteRef/>
      </w:r>
      <w:r>
        <w:t xml:space="preserve"> </w:t>
      </w:r>
      <w:r>
        <w:t>这些排放量来自本项目的工地外发电、供热和制冷能源。</w:t>
      </w:r>
    </w:p>
  </w:footnote>
  <w:footnote w:id="15">
    <w:p w:rsidR="008E791F" w:rsidRDefault="008E791F" w:rsidP="008E791F">
      <w:pPr>
        <w:pStyle w:val="FootnoteText"/>
        <w:jc w:val="both"/>
      </w:pPr>
      <w:r>
        <w:rPr>
          <w:rStyle w:val="FootnoteReference"/>
        </w:rPr>
        <w:footnoteRef/>
      </w:r>
      <w:r>
        <w:t xml:space="preserve"> </w:t>
      </w:r>
      <w:r>
        <w:t>这些废弃物可能包括生活垃圾、电子废弃物和动物粪便。</w:t>
      </w:r>
      <w:r>
        <w:t xml:space="preserve"> </w:t>
      </w:r>
    </w:p>
  </w:footnote>
  <w:footnote w:id="16">
    <w:p w:rsidR="008E791F" w:rsidRPr="003C39E9" w:rsidRDefault="008E791F" w:rsidP="008E791F">
      <w:pPr>
        <w:pStyle w:val="FootnoteText"/>
        <w:jc w:val="both"/>
        <w:rPr>
          <w:rFonts w:cstheme="minorHAnsi"/>
        </w:rPr>
      </w:pPr>
      <w:r>
        <w:rPr>
          <w:rStyle w:val="FootnoteReference"/>
          <w:rFonts w:cstheme="minorHAnsi"/>
        </w:rPr>
        <w:footnoteRef/>
      </w:r>
      <w:r>
        <w:t xml:space="preserve"> </w:t>
      </w:r>
      <w:r>
        <w:t>参见《环境、健康和安全指南》和相关国家法律定义。</w:t>
      </w:r>
    </w:p>
  </w:footnote>
  <w:footnote w:id="17">
    <w:p w:rsidR="008E791F" w:rsidRDefault="008E791F" w:rsidP="008E791F">
      <w:pPr>
        <w:pStyle w:val="FootnoteText"/>
      </w:pPr>
      <w:r>
        <w:rPr>
          <w:rStyle w:val="FootnoteReference"/>
        </w:rPr>
        <w:footnoteRef/>
      </w:r>
      <w:r>
        <w:t xml:space="preserve"> </w:t>
      </w:r>
      <w:r>
        <w:t>这些材料可能包括化肥、土壤改良剂和除农药以外的化学品。</w:t>
      </w:r>
    </w:p>
  </w:footnote>
  <w:footnote w:id="18">
    <w:p w:rsidR="008E791F" w:rsidRPr="003C39E9" w:rsidRDefault="008E791F" w:rsidP="008E791F">
      <w:pPr>
        <w:pStyle w:val="FootnoteText"/>
        <w:jc w:val="both"/>
        <w:rPr>
          <w:rFonts w:cstheme="minorHAnsi"/>
        </w:rPr>
      </w:pPr>
      <w:r>
        <w:rPr>
          <w:rStyle w:val="FootnoteReference"/>
          <w:rFonts w:cstheme="minorHAnsi"/>
        </w:rPr>
        <w:footnoteRef/>
      </w:r>
      <w:r>
        <w:t xml:space="preserve"> </w:t>
      </w:r>
      <w:r>
        <w:rPr>
          <w:rFonts w:cstheme="minorHAnsi"/>
          <w:color w:val="000000"/>
        </w:rPr>
        <w:t>病虫害综合管理（</w:t>
      </w:r>
      <w:r>
        <w:rPr>
          <w:rFonts w:cstheme="minorHAnsi"/>
          <w:color w:val="000000"/>
        </w:rPr>
        <w:t>IPM</w:t>
      </w:r>
      <w:r>
        <w:rPr>
          <w:rFonts w:cstheme="minorHAnsi"/>
          <w:color w:val="000000"/>
        </w:rPr>
        <w:t>）指一系列旨在降低对化学合成杀虫剂依赖的农民自发的环保虫害控制实践。这包括：</w:t>
      </w:r>
      <w:r>
        <w:rPr>
          <w:rFonts w:cstheme="minorHAnsi"/>
          <w:color w:val="000000"/>
        </w:rPr>
        <w:t>(a)</w:t>
      </w:r>
      <w:r>
        <w:rPr>
          <w:rFonts w:cstheme="minorHAnsi"/>
          <w:color w:val="000000"/>
        </w:rPr>
        <w:t>管理病害虫而不是根除病害虫（将之控制在造成经济损失水平之下）；</w:t>
      </w:r>
      <w:r>
        <w:rPr>
          <w:rFonts w:cstheme="minorHAnsi"/>
          <w:color w:val="000000"/>
        </w:rPr>
        <w:t>(b)</w:t>
      </w:r>
      <w:r>
        <w:rPr>
          <w:rFonts w:cstheme="minorHAnsi"/>
          <w:color w:val="000000"/>
        </w:rPr>
        <w:t>综合多个方法（尽可能依赖非化学措施）将害虫数量控制在低水平；</w:t>
      </w:r>
      <w:r>
        <w:rPr>
          <w:rFonts w:cstheme="minorHAnsi"/>
          <w:color w:val="000000"/>
        </w:rPr>
        <w:t>(c)</w:t>
      </w:r>
      <w:r>
        <w:rPr>
          <w:rFonts w:cstheme="minorHAnsi"/>
          <w:color w:val="000000"/>
        </w:rPr>
        <w:t>在必要情况下选择使用杀虫剂，并最大程度降低其对有益的生物、人和环境的不利影响。</w:t>
      </w:r>
    </w:p>
  </w:footnote>
  <w:footnote w:id="19">
    <w:p w:rsidR="008E791F" w:rsidRPr="003C39E9" w:rsidRDefault="008E791F" w:rsidP="008E791F">
      <w:pPr>
        <w:pStyle w:val="FootnoteText"/>
        <w:jc w:val="both"/>
        <w:rPr>
          <w:rFonts w:cstheme="minorHAnsi"/>
          <w:lang w:val="en-GB"/>
        </w:rPr>
      </w:pPr>
      <w:r>
        <w:rPr>
          <w:rStyle w:val="FootnoteReference"/>
          <w:rFonts w:cstheme="minorHAnsi"/>
        </w:rPr>
        <w:footnoteRef/>
      </w:r>
      <w:r>
        <w:t xml:space="preserve"> </w:t>
      </w:r>
      <w:r>
        <w:t>病媒综合管理（</w:t>
      </w:r>
      <w:r>
        <w:t>IVM</w:t>
      </w:r>
      <w:r>
        <w:t>）指</w:t>
      </w:r>
      <w:r>
        <w:t>“</w:t>
      </w:r>
      <w:r>
        <w:t>为优化使用资源以控制病媒而进行的理性决策过程。该方法旨在提高病媒控制的效力、成本效益、生态合理性和可持续性。</w:t>
      </w:r>
      <w:r>
        <w:t xml:space="preserve">” </w:t>
      </w:r>
    </w:p>
  </w:footnote>
  <w:footnote w:id="20">
    <w:p w:rsidR="008E791F" w:rsidRPr="003C39E9" w:rsidRDefault="008E791F" w:rsidP="008E791F">
      <w:pPr>
        <w:pStyle w:val="FootnoteText"/>
        <w:jc w:val="both"/>
        <w:rPr>
          <w:rFonts w:cstheme="minorHAnsi"/>
        </w:rPr>
      </w:pPr>
      <w:r>
        <w:rPr>
          <w:rStyle w:val="FootnoteReference"/>
          <w:rFonts w:cstheme="minorHAnsi"/>
        </w:rPr>
        <w:footnoteRef/>
      </w:r>
      <w:r>
        <w:t xml:space="preserve"> </w:t>
      </w:r>
      <w:r>
        <w:rPr>
          <w:rFonts w:cstheme="minorHAnsi"/>
          <w:color w:val="000000"/>
        </w:rPr>
        <w:t>本次评估是在环境与社会评价的背景下完成的。</w:t>
      </w:r>
    </w:p>
  </w:footnote>
  <w:footnote w:id="21">
    <w:p w:rsidR="008E791F" w:rsidRPr="003C39E9" w:rsidRDefault="008E791F" w:rsidP="008E791F">
      <w:pPr>
        <w:pStyle w:val="FootnoteText"/>
        <w:jc w:val="both"/>
        <w:rPr>
          <w:rFonts w:cstheme="minorHAnsi"/>
        </w:rPr>
      </w:pPr>
      <w:r>
        <w:rPr>
          <w:rStyle w:val="FootnoteReference"/>
          <w:rFonts w:cstheme="minorHAnsi"/>
        </w:rPr>
        <w:footnoteRef/>
      </w:r>
      <w:r>
        <w:rPr>
          <w:rStyle w:val="FootnoteReference"/>
          <w:rFonts w:cstheme="minorHAnsi"/>
        </w:rPr>
        <w:t xml:space="preserve"> </w:t>
      </w:r>
      <w:r>
        <w:t>上述事件包括：</w:t>
      </w:r>
      <w:r>
        <w:t>(a)</w:t>
      </w:r>
      <w:r>
        <w:t>飞蝗治理；</w:t>
      </w:r>
      <w:r>
        <w:t>(b)</w:t>
      </w:r>
      <w:r>
        <w:t>蚊子或其他病媒治理；</w:t>
      </w:r>
      <w:r>
        <w:t>(c)</w:t>
      </w:r>
      <w:r>
        <w:t>鸟害管制；</w:t>
      </w:r>
      <w:r>
        <w:t>(d)</w:t>
      </w:r>
      <w:r>
        <w:t>鼠类治理等。</w:t>
      </w:r>
    </w:p>
  </w:footnote>
  <w:footnote w:id="22">
    <w:p w:rsidR="008E791F" w:rsidRPr="003C39E9" w:rsidRDefault="008E791F" w:rsidP="008E791F">
      <w:pPr>
        <w:pStyle w:val="FootnoteText"/>
        <w:jc w:val="both"/>
        <w:rPr>
          <w:rFonts w:cstheme="minorHAnsi"/>
          <w:color w:val="000000"/>
        </w:rPr>
      </w:pPr>
      <w:r>
        <w:rPr>
          <w:rStyle w:val="FootnoteReference"/>
          <w:rFonts w:cstheme="minorHAnsi"/>
        </w:rPr>
        <w:footnoteRef/>
      </w:r>
      <w:r>
        <w:t xml:space="preserve"> </w:t>
      </w:r>
      <w:r>
        <w:t>例如：</w:t>
      </w:r>
      <w:r>
        <w:t>(a)</w:t>
      </w:r>
      <w:r>
        <w:t>新土地开发或耕作方式改变；</w:t>
      </w:r>
      <w:r>
        <w:t>(b)</w:t>
      </w:r>
      <w:r>
        <w:t>向新区域大力扩展；</w:t>
      </w:r>
      <w:r>
        <w:t>(c)</w:t>
      </w:r>
      <w:r>
        <w:t>向农业新作物多样化发展；</w:t>
      </w:r>
      <w:r>
        <w:t>(d)</w:t>
      </w:r>
      <w:r>
        <w:t>当前低水平技术体系增强；</w:t>
      </w:r>
      <w:r>
        <w:t>(e)</w:t>
      </w:r>
      <w:r>
        <w:t>计划采购相对危险的病虫害控制产品或方法；</w:t>
      </w:r>
      <w:r>
        <w:t>(f)</w:t>
      </w:r>
      <w:r>
        <w:t>特定环境或健康问题（例如，临近保护区或水产资源；员工安全性）。</w:t>
      </w:r>
    </w:p>
  </w:footnote>
  <w:footnote w:id="23">
    <w:p w:rsidR="008E791F" w:rsidRDefault="008E791F" w:rsidP="008E791F">
      <w:pPr>
        <w:pStyle w:val="FootnoteText"/>
        <w:jc w:val="both"/>
      </w:pPr>
      <w:r>
        <w:rPr>
          <w:rStyle w:val="FootnoteReference"/>
        </w:rPr>
        <w:footnoteRef/>
      </w:r>
      <w:r>
        <w:t xml:space="preserve"> </w:t>
      </w:r>
      <w:r>
        <w:t>上述均是大量病虫害融资过程中需要面对的问题。对于采购或使用浸泡蚊帐，或采购或使用国际公认分类系统认可的杀虫剂在住所内喷洒以防治疟疾，则无须编制病虫害治理计划。</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8" w:rsidRDefault="00344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8E791F" w:rsidRPr="00DC4E5F" w:rsidRDefault="008E791F"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8E791F" w:rsidRDefault="008350CF" w:rsidP="00B9074C">
            <w:pPr>
              <w:pStyle w:val="Header"/>
              <w:jc w:val="both"/>
              <w:rPr>
                <w:sz w:val="32"/>
                <w:szCs w:val="32"/>
              </w:rPr>
            </w:pPr>
          </w:p>
        </w:sdtContent>
      </w:sdt>
    </w:sdtContent>
  </w:sdt>
  <w:p w:rsidR="008E791F" w:rsidRPr="00AD4B41" w:rsidRDefault="008E791F" w:rsidP="00B37073">
    <w:pPr>
      <w:pStyle w:val="Header"/>
      <w:spacing w:before="240" w:after="240"/>
      <w:jc w:val="center"/>
      <w:rPr>
        <w:b/>
        <w:bCs/>
        <w:color w:val="00B050"/>
        <w:sz w:val="10"/>
        <w:szCs w:val="10"/>
      </w:rPr>
    </w:pPr>
    <w:r>
      <w:rPr>
        <w:b/>
        <w:color w:val="00B050"/>
        <w:sz w:val="28"/>
      </w:rPr>
      <w:t>环境与社会标准</w:t>
    </w:r>
    <w:r>
      <w:rPr>
        <w:b/>
        <w:color w:val="00B050"/>
        <w:sz w:val="28"/>
      </w:rPr>
      <w:t>3.</w:t>
    </w:r>
    <w:r>
      <w:rPr>
        <w:b/>
        <w:color w:val="00B050"/>
        <w:sz w:val="28"/>
      </w:rPr>
      <w:t>资源效率与污染防治和管理</w:t>
    </w:r>
  </w:p>
  <w:p w:rsidR="008E791F" w:rsidRPr="00AD4B41" w:rsidRDefault="008E791F"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8E791F" w:rsidRDefault="008E791F" w:rsidP="00252BAB">
            <w:pPr>
              <w:pStyle w:val="Header"/>
              <w:jc w:val="center"/>
              <w:rPr>
                <w:rFonts w:eastAsiaTheme="majorEastAsia" w:cstheme="majorBidi"/>
                <w:b/>
                <w:i/>
                <w:sz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344058" w:rsidRDefault="00344058" w:rsidP="00252BAB">
            <w:pPr>
              <w:pStyle w:val="Header"/>
              <w:jc w:val="center"/>
              <w:rPr>
                <w:rFonts w:eastAsia="SimSun" w:cstheme="majorBidi"/>
                <w:b/>
                <w:i/>
                <w:sz w:val="32"/>
                <w:bdr w:val="single" w:sz="4" w:space="0" w:color="auto"/>
              </w:rPr>
            </w:pPr>
          </w:p>
          <w:p w:rsidR="00344058" w:rsidRPr="00344058" w:rsidRDefault="00344058" w:rsidP="00252BAB">
            <w:pPr>
              <w:pStyle w:val="Header"/>
              <w:jc w:val="center"/>
              <w:rPr>
                <w:rFonts w:eastAsia="SimSun" w:cstheme="majorBidi" w:hint="eastAsia"/>
                <w:b/>
                <w:bCs/>
                <w:i/>
                <w:iCs/>
                <w:sz w:val="32"/>
                <w:szCs w:val="32"/>
              </w:rPr>
            </w:pPr>
            <w:r w:rsidRPr="00344058">
              <w:rPr>
                <w:rFonts w:eastAsia="SimSun" w:cstheme="majorBidi" w:hint="eastAsia"/>
                <w:b/>
                <w:bCs/>
                <w:i/>
                <w:iCs/>
                <w:sz w:val="32"/>
                <w:szCs w:val="32"/>
              </w:rPr>
              <w:t>本草案中的内容仅供磋商使用，且尚未获得国际复兴开发银行和国际开发协会执行董事会的批准。</w:t>
            </w:r>
            <w:bookmarkStart w:id="39" w:name="_GoBack"/>
            <w:bookmarkEnd w:id="39"/>
          </w:p>
          <w:p w:rsidR="008E791F" w:rsidRDefault="008350CF" w:rsidP="00667067">
            <w:pPr>
              <w:pStyle w:val="Header"/>
              <w:jc w:val="both"/>
              <w:rPr>
                <w:sz w:val="32"/>
                <w:szCs w:val="32"/>
              </w:rPr>
            </w:pPr>
          </w:p>
        </w:sdtContent>
      </w:sdt>
    </w:sdtContent>
  </w:sdt>
  <w:p w:rsidR="008E791F" w:rsidRPr="00166539" w:rsidRDefault="008E791F" w:rsidP="00E90422">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1F" w:rsidRDefault="008E79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1F" w:rsidRPr="00C65ACA" w:rsidRDefault="008E791F" w:rsidP="008E791F">
    <w:pPr>
      <w:pStyle w:val="Header"/>
      <w:jc w:val="center"/>
      <w:rPr>
        <w:b/>
        <w:bCs/>
        <w:color w:val="00B05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8E791F" w:rsidRPr="00DC4E5F" w:rsidRDefault="008E791F" w:rsidP="00252BAB">
            <w:pPr>
              <w:pStyle w:val="Header"/>
              <w:jc w:val="center"/>
              <w:rPr>
                <w:rFonts w:eastAsiaTheme="majorEastAsia" w:cstheme="majorBidi"/>
                <w:b/>
                <w:bCs/>
                <w:i/>
                <w:iCs/>
                <w:sz w:val="32"/>
                <w:szCs w:val="32"/>
              </w:rPr>
            </w:pPr>
          </w:p>
          <w:p w:rsidR="008E791F" w:rsidRDefault="008350CF" w:rsidP="00B9074C">
            <w:pPr>
              <w:pStyle w:val="Header"/>
              <w:jc w:val="both"/>
              <w:rPr>
                <w:sz w:val="32"/>
                <w:szCs w:val="32"/>
              </w:rPr>
            </w:pPr>
          </w:p>
        </w:sdtContent>
      </w:sdt>
    </w:sdtContent>
  </w:sdt>
  <w:p w:rsidR="008E791F" w:rsidRPr="007C5E5F" w:rsidRDefault="008E791F"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36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num>
  <w:num w:numId="5">
    <w:abstractNumId w:val="3"/>
    <w:lvlOverride w:ilvl="0">
      <w:startOverride w:val="1"/>
    </w:lvlOverride>
  </w:num>
  <w:num w:numId="6">
    <w:abstractNumId w:val="1"/>
  </w:num>
  <w:num w:numId="7">
    <w:abstractNumId w:val="3"/>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1F"/>
    <w:rsid w:val="000439E6"/>
    <w:rsid w:val="00087927"/>
    <w:rsid w:val="00097685"/>
    <w:rsid w:val="000A3F4F"/>
    <w:rsid w:val="000B37D3"/>
    <w:rsid w:val="001047FA"/>
    <w:rsid w:val="0011052E"/>
    <w:rsid w:val="00155E7B"/>
    <w:rsid w:val="00164285"/>
    <w:rsid w:val="00166B52"/>
    <w:rsid w:val="00184F4D"/>
    <w:rsid w:val="001C6F79"/>
    <w:rsid w:val="001E3A09"/>
    <w:rsid w:val="00205A67"/>
    <w:rsid w:val="002A3809"/>
    <w:rsid w:val="002F4F14"/>
    <w:rsid w:val="0031443B"/>
    <w:rsid w:val="0032742B"/>
    <w:rsid w:val="00344058"/>
    <w:rsid w:val="003A318B"/>
    <w:rsid w:val="003C544C"/>
    <w:rsid w:val="003F4A7A"/>
    <w:rsid w:val="00415EB2"/>
    <w:rsid w:val="00476547"/>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350CF"/>
    <w:rsid w:val="008878BA"/>
    <w:rsid w:val="008E5530"/>
    <w:rsid w:val="008E791F"/>
    <w:rsid w:val="00962A0E"/>
    <w:rsid w:val="00966F74"/>
    <w:rsid w:val="009820F6"/>
    <w:rsid w:val="00987A7D"/>
    <w:rsid w:val="009A1260"/>
    <w:rsid w:val="009C0A20"/>
    <w:rsid w:val="009E4BE5"/>
    <w:rsid w:val="00A3483E"/>
    <w:rsid w:val="00A4537D"/>
    <w:rsid w:val="00A64ECB"/>
    <w:rsid w:val="00A84CB2"/>
    <w:rsid w:val="00AA3D9A"/>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B7CA7"/>
    <w:rsid w:val="00DE23AD"/>
    <w:rsid w:val="00DE6601"/>
    <w:rsid w:val="00E40BC6"/>
    <w:rsid w:val="00E5292D"/>
    <w:rsid w:val="00EA749C"/>
    <w:rsid w:val="00F16203"/>
    <w:rsid w:val="00F53C00"/>
    <w:rsid w:val="00F875F0"/>
    <w:rsid w:val="00F9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7126-06F5-48F5-842D-C85FCCF4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1F"/>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8E791F"/>
    <w:pPr>
      <w:keepNext/>
      <w:keepLines/>
      <w:numPr>
        <w:numId w:val="2"/>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8E791F"/>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8E791F"/>
    <w:pPr>
      <w:keepNext/>
      <w:keepLines/>
      <w:widowControl w:val="0"/>
      <w:numPr>
        <w:ilvl w:val="2"/>
        <w:numId w:val="2"/>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8E791F"/>
    <w:pPr>
      <w:keepNext/>
      <w:keepLines/>
      <w:numPr>
        <w:ilvl w:val="3"/>
        <w:numId w:val="2"/>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8E791F"/>
    <w:pPr>
      <w:widowControl w:val="0"/>
      <w:numPr>
        <w:ilvl w:val="4"/>
        <w:numId w:val="2"/>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8E791F"/>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E791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791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791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1F"/>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8E791F"/>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8E791F"/>
    <w:rPr>
      <w:rFonts w:cs="SimSun"/>
      <w:b/>
      <w:color w:val="00B050"/>
      <w:sz w:val="24"/>
      <w:szCs w:val="26"/>
      <w:lang w:val="zh-CN" w:eastAsia="zh-CN" w:bidi="zh-CN"/>
    </w:rPr>
  </w:style>
  <w:style w:type="character" w:customStyle="1" w:styleId="Heading4Char">
    <w:name w:val="Heading 4 Char"/>
    <w:basedOn w:val="DefaultParagraphFont"/>
    <w:link w:val="Heading4"/>
    <w:rsid w:val="008E791F"/>
    <w:rPr>
      <w:rFonts w:cs="SimSun"/>
      <w:b/>
      <w:i/>
      <w:color w:val="00B050"/>
      <w:szCs w:val="24"/>
      <w:lang w:val="zh-CN" w:eastAsia="zh-CN" w:bidi="zh-CN"/>
    </w:rPr>
  </w:style>
  <w:style w:type="character" w:customStyle="1" w:styleId="Heading5Char">
    <w:name w:val="Heading 5 Char"/>
    <w:basedOn w:val="DefaultParagraphFont"/>
    <w:link w:val="Heading5"/>
    <w:uiPriority w:val="9"/>
    <w:rsid w:val="008E791F"/>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8E791F"/>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8E791F"/>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8E791F"/>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8E791F"/>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8E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1F"/>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8E791F"/>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8E791F"/>
    <w:rPr>
      <w:rFonts w:eastAsiaTheme="minorEastAsia"/>
      <w:sz w:val="20"/>
      <w:szCs w:val="20"/>
      <w:lang w:val="zh-CN" w:eastAsia="zh-CN" w:bidi="zh-CN"/>
    </w:rPr>
  </w:style>
  <w:style w:type="character" w:styleId="FootnoteReference">
    <w:name w:val="footnote reference"/>
    <w:basedOn w:val="DefaultParagraphFont"/>
    <w:uiPriority w:val="99"/>
    <w:unhideWhenUsed/>
    <w:rsid w:val="008E791F"/>
    <w:rPr>
      <w:vertAlign w:val="superscript"/>
    </w:rPr>
  </w:style>
  <w:style w:type="character" w:styleId="Emphasis">
    <w:name w:val="Emphasis"/>
    <w:basedOn w:val="DefaultParagraphFont"/>
    <w:qFormat/>
    <w:rsid w:val="008E791F"/>
    <w:rPr>
      <w:i/>
      <w:iCs/>
    </w:rPr>
  </w:style>
  <w:style w:type="paragraph" w:customStyle="1" w:styleId="PSBodyText">
    <w:name w:val="PS Body Text"/>
    <w:basedOn w:val="Normal"/>
    <w:link w:val="PSBodyTextChar"/>
    <w:autoRedefine/>
    <w:rsid w:val="008E791F"/>
    <w:pPr>
      <w:tabs>
        <w:tab w:val="left" w:pos="360"/>
      </w:tabs>
      <w:autoSpaceDE w:val="0"/>
      <w:autoSpaceDN w:val="0"/>
      <w:adjustRightInd w:val="0"/>
      <w:spacing w:after="0" w:line="240" w:lineRule="exact"/>
      <w:jc w:val="both"/>
    </w:pPr>
    <w:rPr>
      <w:rFonts w:ascii="SimSun" w:eastAsia="SimSun" w:hAnsi="SimSun" w:cs="SimSun"/>
      <w:sz w:val="18"/>
      <w:szCs w:val="18"/>
    </w:rPr>
  </w:style>
  <w:style w:type="character" w:customStyle="1" w:styleId="PSBodyTextChar">
    <w:name w:val="PS Body Text Char"/>
    <w:basedOn w:val="DefaultParagraphFont"/>
    <w:link w:val="PSBodyText"/>
    <w:rsid w:val="008E791F"/>
    <w:rPr>
      <w:rFonts w:ascii="SimSun" w:eastAsia="SimSun" w:hAnsi="SimSun" w:cs="SimSun"/>
      <w:sz w:val="18"/>
      <w:szCs w:val="18"/>
      <w:lang w:val="zh-CN" w:eastAsia="zh-CN" w:bidi="zh-CN"/>
    </w:rPr>
  </w:style>
  <w:style w:type="paragraph" w:customStyle="1" w:styleId="ESSpara">
    <w:name w:val="ESS para"/>
    <w:basedOn w:val="Normal"/>
    <w:link w:val="ESSparaChar"/>
    <w:qFormat/>
    <w:rsid w:val="008E791F"/>
    <w:pPr>
      <w:numPr>
        <w:numId w:val="1"/>
      </w:numPr>
      <w:spacing w:after="240" w:line="240" w:lineRule="auto"/>
      <w:jc w:val="both"/>
    </w:pPr>
  </w:style>
  <w:style w:type="character" w:customStyle="1" w:styleId="ESSparaChar">
    <w:name w:val="ESS para Char"/>
    <w:basedOn w:val="DefaultParagraphFont"/>
    <w:link w:val="ESSpara"/>
    <w:rsid w:val="008E791F"/>
    <w:rPr>
      <w:rFonts w:eastAsiaTheme="minorEastAsia"/>
      <w:lang w:val="zh-CN" w:eastAsia="zh-CN" w:bidi="zh-CN"/>
    </w:rPr>
  </w:style>
  <w:style w:type="paragraph" w:customStyle="1" w:styleId="essbullet">
    <w:name w:val="ess bullet"/>
    <w:basedOn w:val="Normal"/>
    <w:link w:val="essbulletChar"/>
    <w:qFormat/>
    <w:rsid w:val="008E791F"/>
    <w:pPr>
      <w:numPr>
        <w:ilvl w:val="1"/>
        <w:numId w:val="3"/>
      </w:numPr>
      <w:tabs>
        <w:tab w:val="left" w:pos="1080"/>
      </w:tabs>
      <w:spacing w:after="240" w:line="240" w:lineRule="auto"/>
      <w:ind w:left="1080"/>
      <w:jc w:val="both"/>
    </w:pPr>
    <w:rPr>
      <w:rFonts w:cs="SimSun"/>
    </w:rPr>
  </w:style>
  <w:style w:type="character" w:customStyle="1" w:styleId="essbulletChar">
    <w:name w:val="ess bullet Char"/>
    <w:basedOn w:val="DefaultParagraphFont"/>
    <w:link w:val="essbullet"/>
    <w:rsid w:val="008E791F"/>
    <w:rPr>
      <w:rFonts w:eastAsiaTheme="minorEastAsia" w:cs="SimSun"/>
      <w:lang w:val="zh-CN" w:eastAsia="zh-CN" w:bidi="zh-CN"/>
    </w:rPr>
  </w:style>
  <w:style w:type="paragraph" w:customStyle="1" w:styleId="essobjbull">
    <w:name w:val="ess obj bull"/>
    <w:basedOn w:val="essbullet"/>
    <w:link w:val="essobjbullChar"/>
    <w:qFormat/>
    <w:rsid w:val="008E791F"/>
    <w:pPr>
      <w:spacing w:after="120"/>
      <w:ind w:left="360"/>
    </w:pPr>
  </w:style>
  <w:style w:type="character" w:customStyle="1" w:styleId="essobjbullChar">
    <w:name w:val="ess obj bull Char"/>
    <w:basedOn w:val="essbulletChar"/>
    <w:link w:val="essobjbull"/>
    <w:rsid w:val="008E791F"/>
    <w:rPr>
      <w:rFonts w:eastAsiaTheme="minorEastAsia" w:cs="SimSun"/>
      <w:lang w:val="zh-CN" w:eastAsia="zh-CN" w:bidi="zh-CN"/>
    </w:rPr>
  </w:style>
  <w:style w:type="paragraph" w:styleId="Footer">
    <w:name w:val="footer"/>
    <w:basedOn w:val="Normal"/>
    <w:link w:val="FooterChar"/>
    <w:uiPriority w:val="99"/>
    <w:unhideWhenUsed/>
    <w:rsid w:val="008E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1F"/>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4</cp:revision>
  <dcterms:created xsi:type="dcterms:W3CDTF">2015-09-16T17:12:00Z</dcterms:created>
  <dcterms:modified xsi:type="dcterms:W3CDTF">2015-09-16T17:26:00Z</dcterms:modified>
</cp:coreProperties>
</file>