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F8" w:rsidRPr="00E52B22" w:rsidRDefault="00E555F8" w:rsidP="00E555F8">
      <w:pPr>
        <w:pStyle w:val="Heading1"/>
        <w:numPr>
          <w:ilvl w:val="0"/>
          <w:numId w:val="0"/>
        </w:numPr>
        <w:spacing w:before="240" w:after="240" w:line="240" w:lineRule="auto"/>
      </w:pPr>
      <w:bookmarkStart w:id="0" w:name="_Toc394499158"/>
      <w:bookmarkStart w:id="1" w:name="_Toc423449542"/>
      <w:bookmarkStart w:id="2" w:name="_Toc426539765"/>
      <w:bookmarkStart w:id="3" w:name="_GoBack"/>
      <w:bookmarkEnd w:id="3"/>
      <w:r>
        <w:t>环境与社会标准</w:t>
      </w:r>
      <w:r>
        <w:t>4</w:t>
      </w:r>
      <w:r>
        <w:br/>
      </w:r>
      <w:r>
        <w:t>社区健康与安全</w:t>
      </w:r>
      <w:bookmarkEnd w:id="0"/>
      <w:bookmarkEnd w:id="1"/>
      <w:bookmarkEnd w:id="2"/>
    </w:p>
    <w:p w:rsidR="00E555F8" w:rsidRDefault="00E555F8" w:rsidP="00E555F8">
      <w:pPr>
        <w:pStyle w:val="Heading2"/>
      </w:pPr>
      <w:bookmarkStart w:id="4" w:name="_Toc394499159"/>
      <w:bookmarkStart w:id="5" w:name="_Toc423449543"/>
      <w:bookmarkStart w:id="6" w:name="_Toc426539766"/>
      <w:r>
        <w:t>简介</w:t>
      </w:r>
      <w:bookmarkEnd w:id="4"/>
      <w:bookmarkEnd w:id="5"/>
      <w:bookmarkEnd w:id="6"/>
    </w:p>
    <w:p w:rsidR="00E555F8" w:rsidRPr="001A1D8E" w:rsidRDefault="00E555F8" w:rsidP="00E555F8">
      <w:pPr>
        <w:pStyle w:val="ESSpara"/>
        <w:numPr>
          <w:ilvl w:val="0"/>
          <w:numId w:val="4"/>
        </w:numPr>
        <w:ind w:left="0" w:firstLine="0"/>
      </w:pPr>
      <w:r>
        <w:t>《环境与社会标准</w:t>
      </w:r>
      <w:r>
        <w:t>4</w:t>
      </w:r>
      <w:r>
        <w:t>》认识到，项目活动、设备和基础设施建设可能增加对社区的风险和影响。此外，已经受气候变化影响的社区可能还会因项目活动出现影响加速或加重的情况。</w:t>
      </w:r>
      <w:r>
        <w:t xml:space="preserve"> </w:t>
      </w:r>
    </w:p>
    <w:p w:rsidR="00E555F8" w:rsidRPr="001A1D8E" w:rsidRDefault="00E555F8" w:rsidP="00E555F8">
      <w:pPr>
        <w:pStyle w:val="ESSpara"/>
        <w:numPr>
          <w:ilvl w:val="0"/>
          <w:numId w:val="8"/>
        </w:numPr>
        <w:ind w:left="0" w:firstLine="0"/>
      </w:pPr>
      <w:r>
        <w:t>《环境与社会标准</w:t>
      </w:r>
      <w:r>
        <w:t>4</w:t>
      </w:r>
      <w:r>
        <w:t>》针对受项目影响社区的健康和安全风险和影响以及借款国的相应责任，目的是避免或最大程度地减少上述风险和影响，并重点关注因特殊环境而导致的弱势群体。</w:t>
      </w:r>
      <w:r>
        <w:t xml:space="preserve"> </w:t>
      </w:r>
    </w:p>
    <w:p w:rsidR="00E555F8" w:rsidRPr="001A1D8E" w:rsidRDefault="00E555F8" w:rsidP="00E555F8">
      <w:pPr>
        <w:pStyle w:val="Heading2"/>
      </w:pPr>
      <w:bookmarkStart w:id="7" w:name="_Toc394499160"/>
      <w:bookmarkStart w:id="8" w:name="_Toc423449544"/>
      <w:bookmarkStart w:id="9" w:name="_Toc426539767"/>
      <w:r>
        <w:t>目标</w:t>
      </w:r>
      <w:bookmarkEnd w:id="7"/>
      <w:bookmarkEnd w:id="8"/>
      <w:bookmarkEnd w:id="9"/>
    </w:p>
    <w:p w:rsidR="00E555F8" w:rsidRPr="001A1D8E" w:rsidRDefault="00E555F8" w:rsidP="00E555F8">
      <w:pPr>
        <w:pStyle w:val="essobjbull"/>
      </w:pPr>
      <w:r>
        <w:t>预估并避免项目在其周期内因例行和非例行情况对受项目影响社区的健康与安全造成的不利影响。</w:t>
      </w:r>
    </w:p>
    <w:p w:rsidR="00E555F8" w:rsidRPr="001A1D8E" w:rsidRDefault="00E555F8" w:rsidP="00E555F8">
      <w:pPr>
        <w:pStyle w:val="essobjbull"/>
      </w:pPr>
      <w:r>
        <w:t>实施有效的措施来解决突发事件。</w:t>
      </w:r>
    </w:p>
    <w:p w:rsidR="00E555F8" w:rsidRPr="001A1D8E" w:rsidRDefault="00E555F8" w:rsidP="00E555F8">
      <w:pPr>
        <w:pStyle w:val="essobjbull"/>
      </w:pPr>
      <w:r>
        <w:t>保障人员和财产安全，避免或最大限度降低受项目影响社区面临的风险。</w:t>
      </w:r>
      <w:r>
        <w:t xml:space="preserve"> </w:t>
      </w:r>
    </w:p>
    <w:p w:rsidR="00E555F8" w:rsidRPr="001A1D8E" w:rsidRDefault="00E555F8" w:rsidP="00E555F8">
      <w:pPr>
        <w:pStyle w:val="Heading2"/>
      </w:pPr>
      <w:bookmarkStart w:id="10" w:name="_Toc394499161"/>
      <w:bookmarkStart w:id="11" w:name="_Toc423449545"/>
      <w:bookmarkStart w:id="12" w:name="_Toc426539768"/>
      <w:r>
        <w:t>适用范围</w:t>
      </w:r>
      <w:bookmarkEnd w:id="10"/>
      <w:bookmarkEnd w:id="11"/>
      <w:bookmarkEnd w:id="12"/>
    </w:p>
    <w:p w:rsidR="00E555F8" w:rsidRPr="001A1D8E" w:rsidRDefault="00E555F8" w:rsidP="00E555F8">
      <w:pPr>
        <w:pStyle w:val="ESSpara"/>
        <w:numPr>
          <w:ilvl w:val="0"/>
          <w:numId w:val="8"/>
        </w:numPr>
        <w:ind w:left="0" w:firstLine="0"/>
      </w:pPr>
      <w:r>
        <w:t>本《环境与社会标准》的适用性在《环境与社会标准</w:t>
      </w:r>
      <w:r>
        <w:t>1</w:t>
      </w:r>
      <w:r>
        <w:t>》中所述的环境与社会评价期间确定。</w:t>
      </w:r>
      <w:r>
        <w:t xml:space="preserve"> </w:t>
      </w:r>
    </w:p>
    <w:p w:rsidR="00E555F8" w:rsidRPr="001A1D8E" w:rsidRDefault="00E555F8" w:rsidP="00E555F8">
      <w:pPr>
        <w:pStyle w:val="ESSpara"/>
        <w:numPr>
          <w:ilvl w:val="0"/>
          <w:numId w:val="8"/>
        </w:numPr>
        <w:ind w:left="0" w:firstLine="0"/>
      </w:pPr>
      <w:r>
        <w:t>本《环境与社会标准》旨在应对项目活动可能给受影响社区带来的风险和影响。项目工作人员职业健康与安全</w:t>
      </w:r>
      <w:r>
        <w:t>(OHS)</w:t>
      </w:r>
      <w:r>
        <w:t>要求见《环境与社会标准</w:t>
      </w:r>
      <w:r>
        <w:t>2</w:t>
      </w:r>
      <w:r>
        <w:t>》，用于避免或最大程度降低持续性污染和先前已存在的污染给人体健康和环境造成影响的环境标准见《环境与社会标准</w:t>
      </w:r>
      <w:r>
        <w:t>3</w:t>
      </w:r>
      <w:r>
        <w:t>》要求。</w:t>
      </w:r>
      <w:r>
        <w:t xml:space="preserve"> </w:t>
      </w:r>
    </w:p>
    <w:p w:rsidR="00E555F8" w:rsidRPr="001A1D8E" w:rsidRDefault="00E555F8" w:rsidP="00E555F8">
      <w:pPr>
        <w:pStyle w:val="Heading2"/>
      </w:pPr>
      <w:bookmarkStart w:id="13" w:name="_Toc394499162"/>
      <w:bookmarkStart w:id="14" w:name="_Toc423449546"/>
      <w:bookmarkStart w:id="15" w:name="_Toc426539769"/>
      <w:r>
        <w:t>要求</w:t>
      </w:r>
      <w:bookmarkEnd w:id="13"/>
      <w:bookmarkEnd w:id="14"/>
      <w:bookmarkEnd w:id="15"/>
    </w:p>
    <w:p w:rsidR="00E555F8" w:rsidRPr="001A1D8E" w:rsidRDefault="00E555F8" w:rsidP="00E555F8">
      <w:pPr>
        <w:pStyle w:val="Heading3"/>
        <w:ind w:left="0" w:firstLine="0"/>
      </w:pPr>
      <w:bookmarkStart w:id="16" w:name="_Toc394499163"/>
      <w:bookmarkStart w:id="17" w:name="_Toc423449547"/>
      <w:bookmarkStart w:id="18" w:name="_Toc426539770"/>
      <w:r>
        <w:t>社区健康与安全</w:t>
      </w:r>
      <w:bookmarkEnd w:id="16"/>
      <w:bookmarkEnd w:id="17"/>
      <w:bookmarkEnd w:id="18"/>
    </w:p>
    <w:p w:rsidR="00E555F8" w:rsidRPr="0036276C" w:rsidRDefault="00E555F8" w:rsidP="00E555F8">
      <w:pPr>
        <w:pStyle w:val="ESSpara"/>
        <w:numPr>
          <w:ilvl w:val="0"/>
          <w:numId w:val="8"/>
        </w:numPr>
        <w:ind w:left="0" w:firstLine="0"/>
      </w:pPr>
      <w:r>
        <w:t>借款国应对项目周期内对受影响社区的健康与安全所造成的风险和影响进行评估。借款国应根据缓解制度识别风险和影响，提出缓解措施。</w:t>
      </w:r>
    </w:p>
    <w:p w:rsidR="00E555F8" w:rsidRPr="001A1D8E" w:rsidRDefault="00E555F8" w:rsidP="00E555F8">
      <w:pPr>
        <w:pStyle w:val="Heading4"/>
      </w:pPr>
      <w:bookmarkStart w:id="19" w:name="_Toc394499164"/>
      <w:r>
        <w:t>基础设施和设备的设计与安全</w:t>
      </w:r>
      <w:bookmarkEnd w:id="19"/>
    </w:p>
    <w:p w:rsidR="00E555F8" w:rsidRPr="001A1D8E" w:rsidRDefault="00E555F8" w:rsidP="00E555F8">
      <w:pPr>
        <w:pStyle w:val="ESSpara"/>
        <w:numPr>
          <w:ilvl w:val="0"/>
          <w:numId w:val="8"/>
        </w:numPr>
        <w:ind w:left="0" w:firstLine="0"/>
      </w:pPr>
      <w:r>
        <w:t>借款国应根据国家法律要求、《环境、健康与安全指南》和国际行业惯例规范来设计、施工、运行和关闭项目的结构要件或组件，并考虑第三方和受影响社区所受的安全风险。项目的结</w:t>
      </w:r>
      <w:r>
        <w:lastRenderedPageBreak/>
        <w:t>构要件应由有资质的专业人员进行设计和施工，并获得有资质的机构或专业人员的认证或审批</w:t>
      </w:r>
      <w:r>
        <w:rPr>
          <w:rStyle w:val="FootnoteReference"/>
        </w:rPr>
        <w:footnoteReference w:id="1"/>
      </w:r>
      <w:r>
        <w:t>。在技术方面和财务方面可行的情况下，结构设计应考虑可能存在的气候变化因素。</w:t>
      </w:r>
    </w:p>
    <w:p w:rsidR="00E555F8" w:rsidRPr="001A1D8E" w:rsidRDefault="00E555F8" w:rsidP="00E555F8">
      <w:pPr>
        <w:pStyle w:val="ESSpara"/>
        <w:numPr>
          <w:ilvl w:val="0"/>
          <w:numId w:val="8"/>
        </w:numPr>
        <w:ind w:left="0" w:firstLine="0"/>
      </w:pPr>
      <w:r>
        <w:t xml:space="preserve"> </w:t>
      </w:r>
      <w:r>
        <w:t>项目包括新的建筑物和构筑物对公众开放时，借款国应遵循常规原则，考虑公众可能因运行事故和或自然灾害受到的潜在增量风险，包括极端天气事件。</w:t>
      </w:r>
      <w:r>
        <w:t xml:space="preserve">   </w:t>
      </w:r>
      <w:r>
        <w:t>在技术和经济可行的情况下，借款国将对此类新的建筑物和构筑物的设计和建设采用</w:t>
      </w:r>
      <w:r>
        <w:t>“</w:t>
      </w:r>
      <w:r>
        <w:t>人人享有</w:t>
      </w:r>
      <w:r>
        <w:t>”</w:t>
      </w:r>
      <w:r>
        <w:rPr>
          <w:rStyle w:val="FootnoteReference"/>
        </w:rPr>
        <w:footnoteReference w:id="2"/>
      </w:r>
      <w:r>
        <w:t>的原则。</w:t>
      </w:r>
      <w:r>
        <w:t xml:space="preserve"> </w:t>
      </w:r>
    </w:p>
    <w:p w:rsidR="00E555F8" w:rsidRPr="001A1D8E" w:rsidRDefault="00E555F8" w:rsidP="00E555F8">
      <w:pPr>
        <w:pStyle w:val="ESSpara"/>
        <w:numPr>
          <w:ilvl w:val="0"/>
          <w:numId w:val="8"/>
        </w:numPr>
        <w:ind w:left="0" w:firstLine="0"/>
      </w:pPr>
      <w:r>
        <w:t>当项目的结构要件或组件</w:t>
      </w:r>
      <w:r>
        <w:rPr>
          <w:rStyle w:val="FootnoteReference"/>
        </w:rPr>
        <w:footnoteReference w:id="3"/>
      </w:r>
      <w:r>
        <w:t>位于高风险地区，包括极端天气风险或缓慢进展事件，一旦出现故障或者功能失常则可能危及社区安全，借款国应聘请一位或多位在类似项目中有相关及得到认可的经验的外部专家（不同于负责设计和施工的人员），尽早对项目进行评估，并在项目的开发以及项目设计、施工、运行和关闭的整个过程中进行审查。更多水坝安全要求见附件</w:t>
      </w:r>
      <w:r>
        <w:t>1</w:t>
      </w:r>
      <w:r>
        <w:t>。</w:t>
      </w:r>
      <w:r>
        <w:t xml:space="preserve"> </w:t>
      </w:r>
    </w:p>
    <w:p w:rsidR="00E555F8" w:rsidRPr="001A1D8E" w:rsidRDefault="00E555F8" w:rsidP="00E555F8">
      <w:pPr>
        <w:pStyle w:val="Heading4"/>
      </w:pPr>
      <w:bookmarkStart w:id="20" w:name="_Toc394499165"/>
      <w:r>
        <w:t>服务</w:t>
      </w:r>
      <w:bookmarkEnd w:id="20"/>
      <w:r>
        <w:t>安全</w:t>
      </w:r>
    </w:p>
    <w:p w:rsidR="00E555F8" w:rsidRPr="001A1D8E" w:rsidRDefault="00E555F8" w:rsidP="00E555F8">
      <w:pPr>
        <w:pStyle w:val="ESSpara"/>
        <w:numPr>
          <w:ilvl w:val="0"/>
          <w:numId w:val="8"/>
        </w:numPr>
        <w:ind w:left="0" w:firstLine="0"/>
      </w:pPr>
      <w:r>
        <w:t>若项目需要向社区提供服务，则借款国应建立并执行适当的质量管理体系，确保提供的服务不会对社区健康和安全带来风险或产生影响。</w:t>
      </w:r>
    </w:p>
    <w:p w:rsidR="00E555F8" w:rsidRPr="001A1D8E" w:rsidRDefault="00E555F8" w:rsidP="00E555F8">
      <w:pPr>
        <w:pStyle w:val="Heading4"/>
      </w:pPr>
      <w:bookmarkStart w:id="21" w:name="_Toc394499166"/>
      <w:r>
        <w:t>交通与道路安全</w:t>
      </w:r>
      <w:bookmarkEnd w:id="21"/>
      <w:r>
        <w:t xml:space="preserve"> </w:t>
      </w:r>
    </w:p>
    <w:p w:rsidR="00E555F8" w:rsidRPr="001A1D8E" w:rsidRDefault="00E555F8" w:rsidP="00E555F8">
      <w:pPr>
        <w:pStyle w:val="ESSpara"/>
        <w:numPr>
          <w:ilvl w:val="0"/>
          <w:numId w:val="8"/>
        </w:numPr>
        <w:ind w:left="0" w:firstLine="0"/>
      </w:pPr>
      <w:r>
        <w:t>借款国应识别、评价和监测整个项目过程中潜在的交通</w:t>
      </w:r>
      <w:r>
        <w:rPr>
          <w:rStyle w:val="FootnoteReference"/>
        </w:rPr>
        <w:footnoteReference w:id="4"/>
      </w:r>
      <w:r>
        <w:t>和道路安全风险对工作人员和潜在受影响社区的影响，如有必要，应制定相应措施和计划应对上述风险和影响。</w:t>
      </w:r>
    </w:p>
    <w:p w:rsidR="00E555F8" w:rsidRPr="001A1D8E" w:rsidRDefault="00E555F8" w:rsidP="00E555F8">
      <w:pPr>
        <w:pStyle w:val="ESSpara"/>
        <w:numPr>
          <w:ilvl w:val="0"/>
          <w:numId w:val="8"/>
        </w:numPr>
        <w:ind w:left="0" w:firstLine="0"/>
        <w:rPr>
          <w:iCs/>
        </w:rPr>
      </w:pPr>
      <w:r>
        <w:t>借款国应制定道路安全措施，并且在技术和财务上可行的情况下，将道路安全要素纳入项目设计，以便防止并缓解对当地受影响社区造成的潜在道路安全影响。</w:t>
      </w:r>
      <w:r>
        <w:t xml:space="preserve"> </w:t>
      </w:r>
    </w:p>
    <w:p w:rsidR="00E555F8" w:rsidRPr="001A1D8E" w:rsidRDefault="00E555F8" w:rsidP="00E555F8">
      <w:pPr>
        <w:pStyle w:val="ESSpara"/>
        <w:numPr>
          <w:ilvl w:val="0"/>
          <w:numId w:val="8"/>
        </w:numPr>
        <w:ind w:left="0" w:firstLine="0"/>
        <w:rPr>
          <w:iCs/>
        </w:rPr>
      </w:pPr>
      <w:r>
        <w:t>如有必要，借款国应在项目各阶段开展道路安全审计，定期监测事件和事故，并编写此类监控的定期报告。借款国将通过这些报告识别不利的安全趋势，建立并实施措施来解决这些问题。有车辆或车队（拥有或租赁）的借款国应为其人员提供驾驶和车辆安全方面的培训。借款国应确保所有项目车辆定期得到保养。</w:t>
      </w:r>
      <w:r>
        <w:t xml:space="preserve"> </w:t>
      </w:r>
    </w:p>
    <w:p w:rsidR="00E555F8" w:rsidRPr="001A1D8E" w:rsidRDefault="00E555F8" w:rsidP="00E555F8">
      <w:pPr>
        <w:pStyle w:val="ESSpara"/>
        <w:numPr>
          <w:ilvl w:val="0"/>
          <w:numId w:val="8"/>
        </w:numPr>
        <w:ind w:left="0" w:firstLine="0"/>
        <w:rPr>
          <w:iCs/>
        </w:rPr>
      </w:pPr>
      <w:r>
        <w:t>对于需要在公共道路上进行施工或操作移动设备的项目，或者使用的设备会对公共道路或其他公共基础设施造成影响的项目，借款国应力求避免出现与操作此类设备相关的意外事故或对公众造成的人身伤害。</w:t>
      </w:r>
    </w:p>
    <w:p w:rsidR="00E555F8" w:rsidRPr="001A1D8E" w:rsidRDefault="00E555F8" w:rsidP="00E555F8">
      <w:pPr>
        <w:pStyle w:val="Heading4"/>
      </w:pPr>
      <w:bookmarkStart w:id="22" w:name="_Toc394499167"/>
      <w:r>
        <w:lastRenderedPageBreak/>
        <w:t>生态系统服务</w:t>
      </w:r>
      <w:bookmarkEnd w:id="22"/>
      <w:r>
        <w:t>的影响</w:t>
      </w:r>
    </w:p>
    <w:p w:rsidR="00E555F8" w:rsidRPr="001A1D8E" w:rsidRDefault="00E555F8" w:rsidP="00E555F8">
      <w:pPr>
        <w:pStyle w:val="ESSpara"/>
        <w:numPr>
          <w:ilvl w:val="0"/>
          <w:numId w:val="8"/>
        </w:numPr>
        <w:ind w:left="0" w:firstLine="0"/>
      </w:pPr>
      <w:r>
        <w:t>项目对生态系统服务的直接影响可能导致受影响社区的健康和安全存在不利风险和影响</w:t>
      </w:r>
      <w:r>
        <w:rPr>
          <w:rStyle w:val="FootnoteReference"/>
        </w:rPr>
        <w:footnoteReference w:id="5"/>
      </w:r>
      <w:r>
        <w:t>。就本《环境与社会标准》来说，生态系统服务限于准备和规定《环境与社会标准</w:t>
      </w:r>
      <w:r>
        <w:t>6</w:t>
      </w:r>
      <w:r>
        <w:t>》的第</w:t>
      </w:r>
      <w:r>
        <w:t>5</w:t>
      </w:r>
      <w:r>
        <w:t>条定义的服务。如有必要且可行，借款国将确定项目风险和项目对气候变化可能会恶化的生态系统服务的潜在影响。借款国应尽力避免不利影响，如果无法避免，借款国应实施适当的缓解措施。</w:t>
      </w:r>
    </w:p>
    <w:p w:rsidR="00E555F8" w:rsidRPr="001A1D8E" w:rsidRDefault="00E555F8" w:rsidP="00E555F8">
      <w:pPr>
        <w:pStyle w:val="Heading4"/>
      </w:pPr>
      <w:bookmarkStart w:id="23" w:name="_Toc394499168"/>
      <w:r>
        <w:t>社区受</w:t>
      </w:r>
      <w:bookmarkEnd w:id="23"/>
      <w:r>
        <w:t>健康问题影响的风险</w:t>
      </w:r>
    </w:p>
    <w:p w:rsidR="00E555F8" w:rsidRPr="001A1D8E" w:rsidRDefault="00E555F8" w:rsidP="00E555F8">
      <w:pPr>
        <w:pStyle w:val="ESSpara"/>
        <w:numPr>
          <w:ilvl w:val="0"/>
          <w:numId w:val="8"/>
        </w:numPr>
        <w:ind w:left="0" w:firstLine="0"/>
      </w:pPr>
      <w:r>
        <w:t>借款国应避免或在最大程度上降低因项目活动而使社区面临感染各种传染和非传染性疾病的风险，包括通过水传播的、以水为基础的、与水相关的疾病、病媒传播的疾病以及传染性疾病，同时应考虑弱势群体对此类疾病不同的感染风险以及更高的敏感性。如果项目影响社区中存在某种地方性疾病</w:t>
      </w:r>
      <w:r>
        <w:rPr>
          <w:rStyle w:val="FootnoteReference"/>
        </w:rPr>
        <w:footnoteReference w:id="6"/>
      </w:r>
      <w:r>
        <w:t>，借款国应努力在项目过程中寻求机会改善环境状况，最大程度地降低发病率。</w:t>
      </w:r>
    </w:p>
    <w:p w:rsidR="00E555F8" w:rsidRPr="001A1D8E" w:rsidRDefault="00E555F8" w:rsidP="00E555F8">
      <w:pPr>
        <w:pStyle w:val="ESSpara"/>
        <w:numPr>
          <w:ilvl w:val="0"/>
          <w:numId w:val="8"/>
        </w:numPr>
        <w:ind w:left="0" w:firstLine="0"/>
      </w:pPr>
      <w:r>
        <w:t>借款国应采取措施避免或在最大程度上减少因临时性或永久性项目劳动力的流入而造成传染病的传播。</w:t>
      </w:r>
      <w:r>
        <w:t xml:space="preserve"> </w:t>
      </w:r>
    </w:p>
    <w:p w:rsidR="00E555F8" w:rsidRPr="001A1D8E" w:rsidRDefault="00E555F8" w:rsidP="00E555F8">
      <w:pPr>
        <w:pStyle w:val="Heading4"/>
      </w:pPr>
      <w:bookmarkStart w:id="24" w:name="_Toc394499169"/>
      <w:r>
        <w:t>危险品的管理与安全</w:t>
      </w:r>
      <w:bookmarkEnd w:id="24"/>
    </w:p>
    <w:p w:rsidR="00E555F8" w:rsidRPr="001A1D8E" w:rsidRDefault="00E555F8" w:rsidP="00E555F8">
      <w:pPr>
        <w:pStyle w:val="ESSpara"/>
        <w:numPr>
          <w:ilvl w:val="0"/>
          <w:numId w:val="8"/>
        </w:numPr>
        <w:ind w:left="0" w:firstLine="0"/>
      </w:pPr>
      <w:r>
        <w:t>借款国应避免或最大程度上降低由项目所排放的危险材料及物质对社区造成的潜在风险。如果存在可能导致公众（包括工作人员及其家属）面临危险，特别是可能危及生命的情况，借款国应采取特别措施，通过修改、替换或排除可能导致危险的条件或物质避免或在最大程度上降低风险。如果危险品是现有项目基础设施或其组件的一部分，借款国在项目施工和实施（包括停运）过程中应尽量小心谨慎，避免使社区遭受危害。</w:t>
      </w:r>
      <w:r>
        <w:t xml:space="preserve"> </w:t>
      </w:r>
    </w:p>
    <w:p w:rsidR="00E555F8" w:rsidRPr="001A1D8E" w:rsidRDefault="00E555F8" w:rsidP="00E555F8">
      <w:pPr>
        <w:pStyle w:val="ESSpara"/>
        <w:numPr>
          <w:ilvl w:val="0"/>
          <w:numId w:val="8"/>
        </w:numPr>
        <w:ind w:left="0" w:firstLine="0"/>
      </w:pPr>
      <w:r>
        <w:t>借款国应执行措施和活动来保证危险物品递送以及危险废弃物存储、运输和处置过程中的安全，采取措施避免或控制社区遭受危险品的危害。</w:t>
      </w:r>
      <w:r>
        <w:t xml:space="preserve"> </w:t>
      </w:r>
    </w:p>
    <w:p w:rsidR="00E555F8" w:rsidRPr="001A1D8E" w:rsidRDefault="00E555F8" w:rsidP="00E555F8">
      <w:pPr>
        <w:pStyle w:val="Heading4"/>
      </w:pPr>
      <w:bookmarkStart w:id="25" w:name="_Toc394499170"/>
      <w:r>
        <w:t>应急准备和响应</w:t>
      </w:r>
      <w:bookmarkEnd w:id="25"/>
      <w:r>
        <w:t xml:space="preserve"> </w:t>
      </w:r>
    </w:p>
    <w:p w:rsidR="00E555F8" w:rsidRPr="001A1D8E" w:rsidRDefault="00E555F8" w:rsidP="00E555F8">
      <w:pPr>
        <w:pStyle w:val="ESSpara"/>
        <w:numPr>
          <w:ilvl w:val="0"/>
          <w:numId w:val="8"/>
        </w:numPr>
        <w:ind w:left="0" w:firstLine="0"/>
      </w:pPr>
      <w:r>
        <w:t>借款国应确定并实施相关措施应对这些紧急事件。紧急事件是指自然产生或人为引起的不可预期事件，通常表现为火灾、爆炸、泄露。这些事件原因各异，包括未能实施设计用于防止事故、极端天气或缺少预警的操作程序。借款国应制定相应措施，协调、迅速地解决紧急事件，防止不可预期事件对社区的健康和安全造成伤害，缓解可能的影响并将其降至最小，并提供相应补偿。</w:t>
      </w:r>
    </w:p>
    <w:p w:rsidR="00E555F8" w:rsidRPr="001A1D8E" w:rsidRDefault="00E555F8" w:rsidP="00E555F8">
      <w:pPr>
        <w:pStyle w:val="ESSpara"/>
        <w:numPr>
          <w:ilvl w:val="0"/>
          <w:numId w:val="8"/>
        </w:numPr>
        <w:ind w:left="0" w:firstLine="0"/>
      </w:pPr>
      <w:r>
        <w:t>如果借款国参与的项目发生紧急事件，借款国应开展风险与危险性评价，作为《环境与社会标准</w:t>
      </w:r>
      <w:r>
        <w:t>1</w:t>
      </w:r>
      <w:r>
        <w:t>》下环境与社会评价的一部分。借款国应根据风险与危险性评价的结果，与当地相关机</w:t>
      </w:r>
      <w:r>
        <w:lastRenderedPageBreak/>
        <w:t>构和受影响社区合作编制应急预案，并将按照《环境与社会标准</w:t>
      </w:r>
      <w:r>
        <w:t>2</w:t>
      </w:r>
      <w:r>
        <w:t>》考虑紧急预防、防备和应对安排，将项目工作人员落实到位。</w:t>
      </w:r>
      <w:r>
        <w:rPr>
          <w:rStyle w:val="FootnoteReference"/>
        </w:rPr>
        <w:footnoteReference w:id="7"/>
      </w:r>
    </w:p>
    <w:p w:rsidR="00E555F8" w:rsidRPr="001A1D8E" w:rsidRDefault="00E555F8" w:rsidP="00E555F8">
      <w:pPr>
        <w:pStyle w:val="ESSpara"/>
        <w:numPr>
          <w:ilvl w:val="0"/>
          <w:numId w:val="8"/>
        </w:numPr>
        <w:ind w:left="0" w:firstLine="0"/>
      </w:pPr>
      <w:r>
        <w:t>应急预案应至少包含：</w:t>
      </w:r>
      <w:r>
        <w:t>(a)</w:t>
      </w:r>
      <w:r>
        <w:t>与危险的性质和规模相匹配的工程性控制措施（例如污染、自动报警和关闭系统）；</w:t>
      </w:r>
      <w:r>
        <w:t>(b)</w:t>
      </w:r>
      <w:r>
        <w:t>确定项目场地和附近区域可用应急设备的安全使用通道；</w:t>
      </w:r>
      <w:r>
        <w:t>(c)</w:t>
      </w:r>
      <w:r>
        <w:t>指定应急人员的通知程序；</w:t>
      </w:r>
      <w:r>
        <w:t xml:space="preserve">(d) </w:t>
      </w:r>
      <w:r>
        <w:t>通知受影响社区和其他利益相关方的不同媒体渠道；</w:t>
      </w:r>
      <w:r>
        <w:t>(e)</w:t>
      </w:r>
      <w:r>
        <w:t>应急人员的培训计划，包括定期演练；</w:t>
      </w:r>
      <w:r>
        <w:t>(f)</w:t>
      </w:r>
      <w:r>
        <w:t>公众疏散程序；</w:t>
      </w:r>
      <w:r>
        <w:t>(g)</w:t>
      </w:r>
      <w:r>
        <w:t>指定的应急预案执行协调人员；</w:t>
      </w:r>
      <w:r>
        <w:t>(h)</w:t>
      </w:r>
      <w:r>
        <w:t>重大事故后的环境恢复和清理措施。</w:t>
      </w:r>
    </w:p>
    <w:p w:rsidR="00E555F8" w:rsidRPr="001A1D8E" w:rsidRDefault="00E555F8" w:rsidP="00E555F8">
      <w:pPr>
        <w:pStyle w:val="ESSpara"/>
        <w:numPr>
          <w:ilvl w:val="0"/>
          <w:numId w:val="8"/>
        </w:numPr>
        <w:ind w:left="0" w:firstLine="0"/>
      </w:pPr>
      <w:r>
        <w:t>借款国应将其应急准备和响应活动、资源以及所负责任记录备案，并向受影响的社区、相关政府机构和其他相关方披露适当信息和后续材料变更情况。借款国将协助受影响社区，并与受影响社区、相关政府机构和其他相关方进行协作以为有效响应紧急事件作出准备，尤其是当其参与和协作是有效响应的重要组成部分时。</w:t>
      </w:r>
      <w:r>
        <w:t xml:space="preserve"> </w:t>
      </w:r>
    </w:p>
    <w:p w:rsidR="00E555F8" w:rsidRPr="001A1D8E" w:rsidRDefault="00E555F8" w:rsidP="00E555F8">
      <w:pPr>
        <w:pStyle w:val="ESSpara"/>
        <w:numPr>
          <w:ilvl w:val="0"/>
          <w:numId w:val="8"/>
        </w:numPr>
        <w:ind w:left="0" w:firstLine="0"/>
      </w:pPr>
      <w:r>
        <w:t>借款国将定期审查应急预案，以确保它仍然能够处理可能出现的与项目有关的紧急事件。借款国将通过培训和协作对受影响社区、相关政府机构和其他相关方提供支持，并将确保此类培训作为《环境与社会标准</w:t>
      </w:r>
      <w:r>
        <w:t>2</w:t>
      </w:r>
      <w:r>
        <w:t>》中职业健康与安全要求的一部分，与提供给项目工作人员的培训结合进行。</w:t>
      </w:r>
      <w:r>
        <w:t xml:space="preserve"> </w:t>
      </w:r>
    </w:p>
    <w:p w:rsidR="00E555F8" w:rsidRPr="001A1D8E" w:rsidRDefault="00E555F8" w:rsidP="00E555F8">
      <w:pPr>
        <w:pStyle w:val="Heading3"/>
        <w:ind w:left="0" w:firstLine="0"/>
      </w:pPr>
      <w:bookmarkStart w:id="26" w:name="_Toc394499171"/>
      <w:bookmarkStart w:id="27" w:name="_Toc423449548"/>
      <w:bookmarkStart w:id="28" w:name="_Toc426539771"/>
      <w:r>
        <w:t>安保人员</w:t>
      </w:r>
      <w:bookmarkEnd w:id="26"/>
      <w:bookmarkEnd w:id="27"/>
      <w:bookmarkEnd w:id="28"/>
    </w:p>
    <w:p w:rsidR="00E555F8" w:rsidRPr="001A1D8E" w:rsidRDefault="00E555F8" w:rsidP="00E555F8">
      <w:pPr>
        <w:pStyle w:val="ESSpara"/>
        <w:numPr>
          <w:ilvl w:val="0"/>
          <w:numId w:val="8"/>
        </w:numPr>
        <w:ind w:left="0" w:firstLine="0"/>
      </w:pPr>
      <w:bookmarkStart w:id="29" w:name="_Ref391770475"/>
      <w:r>
        <w:t>如果借款国直接聘用工作人员或合同工为其人员和财产提供安保，应评估这些安保安排给项目场地内外人员带来的风险。在作此类安排时，借款国应本着比例适当的原则，遵循与此类安保工作人员的雇用、行为准则、培训、装备以及监测相关的良好国际行业惯例和适用的法律。</w:t>
      </w:r>
      <w:bookmarkStart w:id="30" w:name="_Ref391770486"/>
      <w:bookmarkEnd w:id="29"/>
      <w:r>
        <w:t>除了根据所受威胁的性质和严重程度而采取相应的预防和防御措施之外，借款国不得批准任何通过提供安保工作的直接或签约工作人员使用武力的行动。</w:t>
      </w:r>
      <w:r>
        <w:t xml:space="preserve"> </w:t>
      </w:r>
    </w:p>
    <w:bookmarkEnd w:id="30"/>
    <w:p w:rsidR="00E555F8" w:rsidRPr="001A1D8E" w:rsidRDefault="00E555F8" w:rsidP="00E555F8">
      <w:pPr>
        <w:pStyle w:val="ESSpara"/>
        <w:numPr>
          <w:ilvl w:val="0"/>
          <w:numId w:val="8"/>
        </w:numPr>
        <w:ind w:left="0" w:firstLine="0"/>
      </w:pPr>
      <w:r>
        <w:t>借款国应力求确保聘请负责提供安保服务的政府安保人员按照上述第</w:t>
      </w:r>
      <w:r>
        <w:t>24</w:t>
      </w:r>
      <w:r>
        <w:t>条的要求行事，并鼓励相关机关在优先考虑到不影响安全的前提条件下向公众披露针对相关设施作出的安保安排。</w:t>
      </w:r>
    </w:p>
    <w:p w:rsidR="00E555F8" w:rsidRPr="001A1D8E" w:rsidRDefault="00E555F8" w:rsidP="00E555F8">
      <w:pPr>
        <w:pStyle w:val="ESSpara"/>
        <w:numPr>
          <w:ilvl w:val="0"/>
          <w:numId w:val="8"/>
        </w:numPr>
        <w:ind w:left="0" w:firstLine="0"/>
      </w:pPr>
      <w:r>
        <w:t>借款国应</w:t>
      </w:r>
      <w:r>
        <w:t>(i)</w:t>
      </w:r>
      <w:r>
        <w:t>进行合理的调查以确保借款国提供安保的直接或签约的工作人员没有前科；</w:t>
      </w:r>
      <w:r>
        <w:t>(ii)</w:t>
      </w:r>
      <w:r>
        <w:t>对安保人员进行充分的培训（或通过适当方法确定他们经过良好培训），确保其合理地使用武力（包括在适宜的情况下使用枪支）并且在与工作人员及受影响的社区接触时行为恰当；</w:t>
      </w:r>
      <w:r>
        <w:t>(iii)</w:t>
      </w:r>
      <w:r>
        <w:t>借款国应要求安保人员遵守适用的法律。</w:t>
      </w:r>
      <w:r>
        <w:t xml:space="preserve"> </w:t>
      </w:r>
    </w:p>
    <w:p w:rsidR="00E555F8" w:rsidRDefault="00E555F8" w:rsidP="00E555F8">
      <w:pPr>
        <w:pStyle w:val="ESSpara"/>
        <w:numPr>
          <w:ilvl w:val="0"/>
          <w:numId w:val="8"/>
        </w:numPr>
        <w:ind w:left="0" w:firstLine="0"/>
      </w:pPr>
      <w:r>
        <w:t>如果收到有关安保人员非法或滥用武力的指控，借款国应审查所有这些指控，采取行动（或督促相应的责任方采取行动）防止类似情况再次发生，并在必要时将非法和滥用武力的行为上报有关部门。</w:t>
      </w:r>
    </w:p>
    <w:p w:rsidR="00E555F8" w:rsidRDefault="00E555F8" w:rsidP="00E555F8">
      <w:pPr>
        <w:pStyle w:val="PSBodyText"/>
        <w:spacing w:line="240" w:lineRule="auto"/>
        <w:rPr>
          <w:rFonts w:asciiTheme="minorHAnsi" w:hAnsiTheme="minorHAnsi"/>
          <w:sz w:val="22"/>
          <w:szCs w:val="22"/>
        </w:rPr>
        <w:sectPr w:rsidR="00E555F8" w:rsidSect="00FE7D10">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E555F8" w:rsidRDefault="00E555F8" w:rsidP="00E555F8">
      <w:pPr>
        <w:pStyle w:val="Heading2"/>
      </w:pPr>
      <w:bookmarkStart w:id="31" w:name="_Toc394499172"/>
      <w:bookmarkStart w:id="32" w:name="_Toc423449549"/>
      <w:bookmarkStart w:id="33" w:name="_Toc426539772"/>
      <w:r>
        <w:lastRenderedPageBreak/>
        <w:t xml:space="preserve">ESS4 – </w:t>
      </w:r>
      <w:r>
        <w:t>附件</w:t>
      </w:r>
      <w:r>
        <w:t>1.</w:t>
      </w:r>
      <w:r>
        <w:t>大坝安全</w:t>
      </w:r>
      <w:bookmarkEnd w:id="31"/>
      <w:bookmarkEnd w:id="32"/>
      <w:bookmarkEnd w:id="33"/>
    </w:p>
    <w:p w:rsidR="00E555F8" w:rsidRPr="00246C69" w:rsidRDefault="00E555F8" w:rsidP="00E555F8">
      <w:pPr>
        <w:pStyle w:val="Heading3"/>
        <w:ind w:hanging="450"/>
      </w:pPr>
      <w:bookmarkStart w:id="34" w:name="_Toc394499173"/>
      <w:bookmarkStart w:id="35" w:name="_Toc418171799"/>
      <w:bookmarkStart w:id="36" w:name="_Toc423449550"/>
      <w:bookmarkStart w:id="37" w:name="_Toc426539773"/>
      <w:r>
        <w:t>新建水坝</w:t>
      </w:r>
      <w:bookmarkEnd w:id="34"/>
      <w:bookmarkEnd w:id="35"/>
      <w:bookmarkEnd w:id="36"/>
      <w:bookmarkEnd w:id="37"/>
    </w:p>
    <w:p w:rsidR="00E555F8" w:rsidRDefault="00E555F8" w:rsidP="00E555F8">
      <w:pPr>
        <w:pStyle w:val="ESSpara"/>
        <w:tabs>
          <w:tab w:val="left" w:pos="360"/>
        </w:tabs>
        <w:ind w:left="360"/>
      </w:pPr>
      <w:r>
        <w:t>借款国应确保由有经验、有资质的专业人员监督新水坝的设计和施工，且水坝的所有者在水坝和相关工程设计、招标、施工、运行和维护过程中采取并实施水坝安全措施。</w:t>
      </w:r>
    </w:p>
    <w:p w:rsidR="00E555F8" w:rsidRPr="00246C69" w:rsidRDefault="00E555F8" w:rsidP="00E555F8">
      <w:pPr>
        <w:pStyle w:val="ESSpara"/>
        <w:numPr>
          <w:ilvl w:val="0"/>
          <w:numId w:val="8"/>
        </w:numPr>
        <w:tabs>
          <w:tab w:val="left" w:pos="360"/>
        </w:tabs>
        <w:ind w:left="0" w:firstLine="0"/>
      </w:pPr>
      <w:bookmarkStart w:id="38" w:name="_Ref391775305"/>
      <w:r>
        <w:t>本附件</w:t>
      </w:r>
      <w:r>
        <w:rPr>
          <w:rStyle w:val="FootnoteReference"/>
        </w:rPr>
        <w:footnoteReference w:id="8"/>
      </w:r>
      <w:r>
        <w:t>中所列水坝安全要求适用于：</w:t>
      </w:r>
      <w:bookmarkEnd w:id="38"/>
    </w:p>
    <w:p w:rsidR="00E555F8" w:rsidRDefault="00E555F8" w:rsidP="00E555F8">
      <w:pPr>
        <w:pStyle w:val="essalpha"/>
        <w:numPr>
          <w:ilvl w:val="0"/>
          <w:numId w:val="5"/>
        </w:numPr>
      </w:pPr>
      <w:bookmarkStart w:id="39" w:name="_Ref391775315"/>
      <w:r>
        <w:t>“</w:t>
      </w:r>
      <w:r>
        <w:t>大坝</w:t>
      </w:r>
      <w:r>
        <w:t>”</w:t>
      </w:r>
      <w:r>
        <w:t>指的是从水坝最底部到顶部的高度为</w:t>
      </w:r>
      <w:r>
        <w:t>15</w:t>
      </w:r>
      <w:r>
        <w:t>米或以上，或高度在</w:t>
      </w:r>
      <w:r>
        <w:t>5-15</w:t>
      </w:r>
      <w:r>
        <w:t>米之间且蓄水量超过</w:t>
      </w:r>
      <w:r>
        <w:t>300</w:t>
      </w:r>
      <w:r>
        <w:t>万立方米的水坝。</w:t>
      </w:r>
      <w:bookmarkEnd w:id="39"/>
      <w:r>
        <w:t xml:space="preserve"> </w:t>
      </w:r>
    </w:p>
    <w:p w:rsidR="00E555F8" w:rsidRPr="00246C69" w:rsidRDefault="00E555F8" w:rsidP="00E555F8">
      <w:pPr>
        <w:pStyle w:val="essalpha"/>
        <w:numPr>
          <w:ilvl w:val="0"/>
          <w:numId w:val="5"/>
        </w:numPr>
      </w:pPr>
      <w:r>
        <w:t>所有其他可能引起安全风险的水坝（或称为</w:t>
      </w:r>
      <w:r>
        <w:t>“</w:t>
      </w:r>
      <w:r>
        <w:t>小坝</w:t>
      </w:r>
      <w:r>
        <w:t>”</w:t>
      </w:r>
      <w:r>
        <w:t>），例如异常高的蓄洪要求、强地震活动位置、复杂且施工准备困难的基地、有毒材料的储存或潜在的重大下游影响。这些水坝可能包括田间蓄水塘、当地淤地坝和低路堤池塘；</w:t>
      </w:r>
    </w:p>
    <w:p w:rsidR="00E555F8" w:rsidRDefault="00E555F8" w:rsidP="00E555F8">
      <w:pPr>
        <w:pStyle w:val="essalpha"/>
        <w:numPr>
          <w:ilvl w:val="0"/>
          <w:numId w:val="5"/>
        </w:numPr>
      </w:pPr>
      <w:bookmarkStart w:id="40" w:name="_Ref391775326"/>
      <w:r>
        <w:t>在使用过程中可能变成大坝的小坝。</w:t>
      </w:r>
      <w:bookmarkEnd w:id="40"/>
      <w:r>
        <w:t xml:space="preserve"> </w:t>
      </w:r>
    </w:p>
    <w:p w:rsidR="00E555F8" w:rsidRPr="00246C69" w:rsidRDefault="00E555F8" w:rsidP="00E555F8">
      <w:pPr>
        <w:pStyle w:val="ESSpara"/>
        <w:numPr>
          <w:ilvl w:val="0"/>
          <w:numId w:val="8"/>
        </w:numPr>
        <w:ind w:left="360"/>
      </w:pPr>
      <w:bookmarkStart w:id="41" w:name="_Ref391852839"/>
      <w:r>
        <w:t>大坝要求：</w:t>
      </w:r>
      <w:bookmarkEnd w:id="41"/>
    </w:p>
    <w:p w:rsidR="00E555F8" w:rsidRPr="00246C69" w:rsidRDefault="00E555F8" w:rsidP="00E555F8">
      <w:pPr>
        <w:pStyle w:val="essalpha"/>
        <w:numPr>
          <w:ilvl w:val="0"/>
          <w:numId w:val="6"/>
        </w:numPr>
      </w:pPr>
      <w:bookmarkStart w:id="42" w:name="_Ref391852855"/>
      <w:r>
        <w:t>由独立的专家小组（简称专家组）负责审核大坝的考察、设计、施工和投入运行。</w:t>
      </w:r>
      <w:bookmarkEnd w:id="42"/>
    </w:p>
    <w:p w:rsidR="00E555F8" w:rsidRPr="00246C69" w:rsidRDefault="00E555F8" w:rsidP="00E555F8">
      <w:pPr>
        <w:pStyle w:val="essalpha"/>
        <w:numPr>
          <w:ilvl w:val="0"/>
          <w:numId w:val="6"/>
        </w:numPr>
      </w:pPr>
      <w:bookmarkStart w:id="43" w:name="_Ref391852829"/>
      <w:r>
        <w:t>详细计划的制定和实施：工程监造和质量保证计划、测量示意图、运行和维护计划和应急准备计划。计划详情如下所示（</w:t>
      </w:r>
      <w:r>
        <w:t>“</w:t>
      </w:r>
      <w:r>
        <w:t>大坝安全报告：内容与时机把握</w:t>
      </w:r>
      <w:r>
        <w:t>”</w:t>
      </w:r>
      <w:r>
        <w:t>）；</w:t>
      </w:r>
      <w:bookmarkEnd w:id="43"/>
    </w:p>
    <w:p w:rsidR="00E555F8" w:rsidRPr="00246C69" w:rsidRDefault="00E555F8" w:rsidP="00E555F8">
      <w:pPr>
        <w:pStyle w:val="essalpha"/>
        <w:numPr>
          <w:ilvl w:val="0"/>
          <w:numId w:val="6"/>
        </w:numPr>
      </w:pPr>
      <w:r>
        <w:t>采购和招标时的投标人资格预审；</w:t>
      </w:r>
    </w:p>
    <w:p w:rsidR="00E555F8" w:rsidRDefault="00E555F8" w:rsidP="00E555F8">
      <w:pPr>
        <w:pStyle w:val="essalpha"/>
        <w:numPr>
          <w:ilvl w:val="0"/>
          <w:numId w:val="6"/>
        </w:numPr>
      </w:pPr>
      <w:r>
        <w:t>竣工后大坝的定期安全检查。</w:t>
      </w:r>
    </w:p>
    <w:p w:rsidR="00E555F8" w:rsidRDefault="00E555F8" w:rsidP="00E555F8">
      <w:pPr>
        <w:pStyle w:val="ESSpara"/>
        <w:numPr>
          <w:ilvl w:val="0"/>
          <w:numId w:val="8"/>
        </w:numPr>
        <w:tabs>
          <w:tab w:val="left" w:pos="360"/>
        </w:tabs>
        <w:ind w:left="360"/>
      </w:pPr>
      <w:bookmarkStart w:id="44" w:name="_Ref391852887"/>
      <w:r>
        <w:t>专家组由三个或以上专家组成，由借款国任命并经过世界银行许可。这些专家应在水坝安全相关的不同领域具有专业技能。</w:t>
      </w:r>
      <w:r>
        <w:rPr>
          <w:vertAlign w:val="superscript"/>
        </w:rPr>
        <w:footnoteReference w:id="9"/>
      </w:r>
      <w:r>
        <w:t>专家组负责审核水坝安全和其他重要方面（附属结构、集水面积、水库周边地区和下游地区）的相关事宜并为借款国提供意见。通常，除了水坝安全以外的内容外，借款国还将专家组的组成和职责范围扩展到项目拟定、技术设计、施工程序等领域。对于贮水坝而言，专家租的职责范围还包括电力设施、施工期导流、升船机和鱼梯等附属工程。</w:t>
      </w:r>
      <w:bookmarkEnd w:id="44"/>
    </w:p>
    <w:p w:rsidR="00E555F8" w:rsidRPr="00246C69" w:rsidRDefault="00E555F8" w:rsidP="00E555F8">
      <w:pPr>
        <w:pStyle w:val="ESSpara"/>
        <w:numPr>
          <w:ilvl w:val="0"/>
          <w:numId w:val="8"/>
        </w:numPr>
        <w:tabs>
          <w:tab w:val="left" w:pos="360"/>
        </w:tabs>
        <w:ind w:left="360"/>
      </w:pPr>
      <w:r>
        <w:lastRenderedPageBreak/>
        <w:t>借款国与专家组签署服务合同，并为其工作提供行政支持。在项目准备阶段，借款国就应尽早安排定期专家组会议和审核。这些会议和审核应贯穿水坝考察、设计、施工、初次申请备案和启动阶段。</w:t>
      </w:r>
      <w:r>
        <w:rPr>
          <w:vertAlign w:val="superscript"/>
        </w:rPr>
        <w:footnoteReference w:id="10"/>
      </w:r>
      <w:r>
        <w:t>借款国应提前告知世界银行专家组会议的时间，通常世界银行会派观察员参会。每次会议后，专家组应向借款国提交一份由各与会成员签名的书面报告，阐明会议的主要结论和建议。借款国应向世界银行提交一份报告副本。水库蓄满且水坝启动之后，世界银行开始审核专家组的结论和建议。如果在水坝的蓄水和启动过程中未遇重大困难，借款国可以解散专家组。</w:t>
      </w:r>
    </w:p>
    <w:p w:rsidR="00E555F8" w:rsidRPr="00246C69" w:rsidRDefault="00E555F8" w:rsidP="00E555F8">
      <w:pPr>
        <w:pStyle w:val="Heading3"/>
      </w:pPr>
      <w:bookmarkStart w:id="45" w:name="_Toc394499174"/>
      <w:bookmarkStart w:id="46" w:name="_Toc418171800"/>
      <w:bookmarkStart w:id="47" w:name="_Toc423449551"/>
      <w:bookmarkStart w:id="48" w:name="_Toc426539774"/>
      <w:r>
        <w:t>现有水坝和在建水坝</w:t>
      </w:r>
      <w:bookmarkEnd w:id="45"/>
      <w:bookmarkEnd w:id="46"/>
      <w:bookmarkEnd w:id="47"/>
      <w:bookmarkEnd w:id="48"/>
    </w:p>
    <w:p w:rsidR="00E555F8" w:rsidRDefault="00E555F8" w:rsidP="00E555F8">
      <w:pPr>
        <w:pStyle w:val="ESSpara"/>
        <w:numPr>
          <w:ilvl w:val="0"/>
          <w:numId w:val="8"/>
        </w:numPr>
        <w:ind w:left="360"/>
      </w:pPr>
      <w:bookmarkStart w:id="49" w:name="_Ref391852927"/>
      <w:r>
        <w:t>如果一个项目实施需要依靠借款国领地内一个现有水坝或在建水坝，则借款国应安排一个或多个独立水坝专家负责：</w:t>
      </w:r>
      <w:r>
        <w:t>(a)</w:t>
      </w:r>
      <w:r>
        <w:t>检查并评估现有水坝或在建水坝及其附属结构的安全状况和使用历史；</w:t>
      </w:r>
      <w:r>
        <w:t>(b)</w:t>
      </w:r>
      <w:r>
        <w:t>审核并评估水坝所有者的运行和维护程序；</w:t>
      </w:r>
      <w:r>
        <w:t>(c)</w:t>
      </w:r>
      <w:r>
        <w:t>提供书面报告，说明补救工程的结论和建议，或说明将现有水坝或在建水坝升级到可接受安全等级所需的相关安全措施。</w:t>
      </w:r>
      <w:bookmarkEnd w:id="49"/>
    </w:p>
    <w:p w:rsidR="00E555F8" w:rsidRDefault="00E555F8" w:rsidP="00E555F8">
      <w:pPr>
        <w:pStyle w:val="ESSpara"/>
        <w:numPr>
          <w:ilvl w:val="0"/>
          <w:numId w:val="8"/>
        </w:numPr>
        <w:ind w:left="360"/>
      </w:pPr>
      <w:r>
        <w:t>这些项目包括，例如直接从现有水坝或在建水坝所控制水库取水的电站或供水系统；现有水坝或在建水坝下游的分水坝或水工建筑物，若上游水坝出现故障可能引起项目设施大规模毁坏或故障；依赖现有水坝或在建水坝储存和运行提供水源的灌溉或供水项目，如果水坝出现故障，这些项目无法继续实施。此外，项目还包括需要提高现有水坝容量、改变蓄水材料性能的项目，若现有水坝出现故障，可能导致上述项目设施的大规模毁坏或故障。</w:t>
      </w:r>
    </w:p>
    <w:p w:rsidR="00E555F8" w:rsidRDefault="00E555F8" w:rsidP="00E555F8">
      <w:pPr>
        <w:pStyle w:val="ESSpara"/>
        <w:numPr>
          <w:ilvl w:val="0"/>
          <w:numId w:val="8"/>
        </w:numPr>
        <w:ind w:left="360"/>
      </w:pPr>
      <w:r>
        <w:t>在以下情况下，借款国可以使用之前准备的水坝安全评估或建议实施现有水坝或在建水坝所需的改良：</w:t>
      </w:r>
      <w:r>
        <w:t>(a)</w:t>
      </w:r>
      <w:r>
        <w:t>已有有效的水坝安全项目正在使用；</w:t>
      </w:r>
      <w:r>
        <w:t>(b)</w:t>
      </w:r>
      <w:r>
        <w:t>现有水坝或在建水坝的全方位检查和水坝安全评估已经开始并备案，且世界银行对此表示满意。</w:t>
      </w:r>
    </w:p>
    <w:p w:rsidR="00E555F8" w:rsidRPr="00162EA5" w:rsidRDefault="00E555F8" w:rsidP="00E555F8">
      <w:pPr>
        <w:pStyle w:val="ESSpara"/>
        <w:numPr>
          <w:ilvl w:val="0"/>
          <w:numId w:val="8"/>
        </w:numPr>
        <w:ind w:left="360"/>
      </w:pPr>
      <w:bookmarkStart w:id="50" w:name="_Ref391852930"/>
      <w:r>
        <w:t>如果项目需要其他的水坝安全措施或补救工程，则借款国应保证：</w:t>
      </w:r>
      <w:r>
        <w:t>(a)</w:t>
      </w:r>
      <w:r>
        <w:t>水坝的设计和建造由胜任的专业人士监督；</w:t>
      </w:r>
      <w:r>
        <w:t>(b)</w:t>
      </w:r>
      <w:r>
        <w:t>新建水坝所需的报告和计划已制定并实施（见本附件的第</w:t>
      </w:r>
      <w:r>
        <w:t>3(b)</w:t>
      </w:r>
      <w:r>
        <w:t>款）。如果高危等级的项目需要大量复杂的补救工程，借款国也应聘请独立的专家小组，与新建水坝的要求相同（见本附件的第</w:t>
      </w:r>
      <w:r>
        <w:t>3(a)</w:t>
      </w:r>
      <w:r>
        <w:t>和</w:t>
      </w:r>
      <w:r>
        <w:t>4</w:t>
      </w:r>
      <w:r>
        <w:t>款）。</w:t>
      </w:r>
      <w:bookmarkEnd w:id="50"/>
    </w:p>
    <w:p w:rsidR="00E555F8" w:rsidRDefault="00E555F8" w:rsidP="00E555F8">
      <w:pPr>
        <w:pStyle w:val="ESSpara"/>
        <w:numPr>
          <w:ilvl w:val="0"/>
          <w:numId w:val="8"/>
        </w:numPr>
        <w:ind w:left="360"/>
      </w:pPr>
      <w:r>
        <w:t>如果现有水坝或在建水坝的所有者并非借款国，则借款国应订立合约或作出安排，要求水坝所有者采取本附件第</w:t>
      </w:r>
      <w:r>
        <w:t>6-9</w:t>
      </w:r>
      <w:r>
        <w:t>款中所规定的措施。</w:t>
      </w:r>
    </w:p>
    <w:p w:rsidR="00E555F8" w:rsidRPr="00210FA4" w:rsidRDefault="00E555F8" w:rsidP="00E555F8">
      <w:pPr>
        <w:pStyle w:val="ESSpara"/>
        <w:numPr>
          <w:ilvl w:val="0"/>
          <w:numId w:val="8"/>
        </w:numPr>
        <w:ind w:left="360"/>
      </w:pPr>
      <w:r>
        <w:t>在适当情况下，借款国可与世界银行讨论必要的措施，以便加强该国水坝安全计划的制度、法律和法规框架。</w:t>
      </w:r>
    </w:p>
    <w:p w:rsidR="00E555F8" w:rsidRDefault="00E555F8" w:rsidP="00E555F8">
      <w:pPr>
        <w:pStyle w:val="Heading3"/>
        <w:spacing w:after="240"/>
      </w:pPr>
      <w:bookmarkStart w:id="51" w:name="_Toc394499175"/>
      <w:bookmarkStart w:id="52" w:name="_Toc418171801"/>
      <w:bookmarkStart w:id="53" w:name="_Toc423449552"/>
      <w:bookmarkStart w:id="54" w:name="_Toc426539775"/>
      <w:r>
        <w:t>大坝安全报告：内容与时机把握</w:t>
      </w:r>
      <w:bookmarkEnd w:id="51"/>
      <w:bookmarkEnd w:id="52"/>
      <w:bookmarkEnd w:id="53"/>
      <w:bookmarkEnd w:id="54"/>
    </w:p>
    <w:p w:rsidR="00E555F8" w:rsidRPr="00E738CB" w:rsidRDefault="00E555F8" w:rsidP="00E555F8">
      <w:pPr>
        <w:pStyle w:val="ESSpara"/>
        <w:numPr>
          <w:ilvl w:val="0"/>
          <w:numId w:val="8"/>
        </w:numPr>
        <w:ind w:left="360"/>
      </w:pPr>
      <w:r>
        <w:t>水坝安全报告应包含如下内容：</w:t>
      </w:r>
    </w:p>
    <w:p w:rsidR="00E555F8" w:rsidRPr="00057E0A" w:rsidRDefault="00E555F8" w:rsidP="00E555F8">
      <w:pPr>
        <w:pStyle w:val="essalpha"/>
        <w:numPr>
          <w:ilvl w:val="0"/>
          <w:numId w:val="7"/>
        </w:numPr>
      </w:pPr>
      <w:r>
        <w:lastRenderedPageBreak/>
        <w:t>施工监理和质量保证计划。该计划涵盖对在建水坝或现有水坝的补救工程施工进行监理所需的组织、人员、程序、设备和资质。对于贮水坝以外的水坝，本计划考虑一般长施工期，随着水坝高度不断增加，建筑材料或蓄水材料性质将随着时间推移变化，因此要求对施工进行监理。</w:t>
      </w:r>
    </w:p>
    <w:p w:rsidR="00E555F8" w:rsidRPr="00057E0A" w:rsidRDefault="00E555F8" w:rsidP="00E555F8">
      <w:pPr>
        <w:pStyle w:val="essalpha"/>
        <w:numPr>
          <w:ilvl w:val="0"/>
          <w:numId w:val="7"/>
        </w:numPr>
      </w:pPr>
      <w:r>
        <w:t>仪器安装示意图。下图为监控和记录设备安装详细示意图，所述设备主要负责监控和记录水坝行为、相关水文气象、结构和地震因素。仪器安装示意图应在投标前设计制作完毕，并提交给独立专家组。</w:t>
      </w:r>
      <w:r>
        <w:t xml:space="preserve"> </w:t>
      </w:r>
    </w:p>
    <w:p w:rsidR="00E555F8" w:rsidRDefault="00E555F8" w:rsidP="00E555F8">
      <w:pPr>
        <w:pStyle w:val="essalpha"/>
        <w:numPr>
          <w:ilvl w:val="0"/>
          <w:numId w:val="7"/>
        </w:numPr>
      </w:pPr>
      <w:r>
        <w:t>运行和维护计划。本详细运行和维护计划包括组织结构、人员配备、技术专长和必要培训、水坝运行和维护必需设备和设施、运行和维护程序，以及运行和维护资金安排，包括长期维护和安全检查。需要特别指出的是，贮水坝以外水坝的运行和维护计划反映了水坝构造和贮水材料性质在未来一段时间内可能的变化。为敲定计划和启动运行开展的必要工作，其经费一般从项目列支。</w:t>
      </w:r>
      <w:r>
        <w:t xml:space="preserve"> </w:t>
      </w:r>
    </w:p>
    <w:p w:rsidR="00E555F8" w:rsidRDefault="00E555F8" w:rsidP="00E555F8">
      <w:pPr>
        <w:pStyle w:val="essalpha"/>
        <w:numPr>
          <w:ilvl w:val="0"/>
          <w:numId w:val="7"/>
        </w:numPr>
      </w:pPr>
      <w:r>
        <w:t>应急预案。本预案规定，当水坝故障即将出现，或当泄流操作有可能影响威胁下游居民、财产或依赖河流水位的经济实体时，各负责方应起到的作用。应急预案包括下列事项：水坝运行决策和相关应急沟通的明确责任声明、表明紧急情况下淹没水位的地图、洪水预警系统特点以及疏散受威胁区域和派驻应急人员和设备的程序。本预案可在项目实施期间制定，但不得晚于水库首次注水日期前一年。</w:t>
      </w:r>
    </w:p>
    <w:p w:rsidR="00E555F8" w:rsidRDefault="00E555F8" w:rsidP="00E555F8">
      <w:pPr>
        <w:pStyle w:val="Heading1"/>
        <w:numPr>
          <w:ilvl w:val="0"/>
          <w:numId w:val="0"/>
        </w:numPr>
        <w:spacing w:line="240" w:lineRule="auto"/>
        <w:jc w:val="left"/>
        <w:sectPr w:rsidR="00E555F8" w:rsidSect="009A666F">
          <w:headerReference w:type="even" r:id="rId9"/>
          <w:headerReference w:type="default" r:id="rId10"/>
          <w:headerReference w:type="first" r:id="rId11"/>
          <w:footnotePr>
            <w:numRestart w:val="eachSect"/>
          </w:footnotePr>
          <w:pgSz w:w="12240" w:h="15840"/>
          <w:pgMar w:top="1440" w:right="1440" w:bottom="1440" w:left="1440" w:header="720" w:footer="720" w:gutter="0"/>
          <w:cols w:space="720"/>
          <w:docGrid w:linePitch="360"/>
        </w:sectPr>
      </w:pPr>
    </w:p>
    <w:p w:rsidR="00DF26A9" w:rsidRDefault="00DF26A9"/>
    <w:sectPr w:rsidR="00DF2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F0" w:rsidRDefault="008532F0" w:rsidP="00E555F8">
      <w:pPr>
        <w:spacing w:after="0" w:line="240" w:lineRule="auto"/>
      </w:pPr>
      <w:r>
        <w:separator/>
      </w:r>
    </w:p>
  </w:endnote>
  <w:endnote w:type="continuationSeparator" w:id="0">
    <w:p w:rsidR="008532F0" w:rsidRDefault="008532F0" w:rsidP="00E5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ITC Franklin Gothic Std Me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F0" w:rsidRDefault="008532F0" w:rsidP="00E555F8">
      <w:pPr>
        <w:spacing w:after="0" w:line="240" w:lineRule="auto"/>
      </w:pPr>
      <w:r>
        <w:separator/>
      </w:r>
    </w:p>
  </w:footnote>
  <w:footnote w:type="continuationSeparator" w:id="0">
    <w:p w:rsidR="008532F0" w:rsidRDefault="008532F0" w:rsidP="00E555F8">
      <w:pPr>
        <w:spacing w:after="0" w:line="240" w:lineRule="auto"/>
      </w:pPr>
      <w:r>
        <w:continuationSeparator/>
      </w:r>
    </w:p>
  </w:footnote>
  <w:footnote w:id="1">
    <w:p w:rsidR="00E555F8" w:rsidRDefault="00E555F8" w:rsidP="00E555F8">
      <w:pPr>
        <w:pStyle w:val="FootnoteText"/>
        <w:jc w:val="both"/>
      </w:pPr>
      <w:r>
        <w:rPr>
          <w:rStyle w:val="FootnoteReference"/>
        </w:rPr>
        <w:footnoteRef/>
      </w:r>
      <w:r>
        <w:t xml:space="preserve"> </w:t>
      </w:r>
      <w:r>
        <w:t>这包括，在适当情况下，应对现有公共建筑、试用或使用前的新建筑开展第三方人身和消防安全审计。</w:t>
      </w:r>
    </w:p>
  </w:footnote>
  <w:footnote w:id="2">
    <w:p w:rsidR="00E555F8" w:rsidRDefault="00E555F8" w:rsidP="00E555F8">
      <w:pPr>
        <w:pStyle w:val="FootnoteText"/>
        <w:jc w:val="both"/>
      </w:pPr>
      <w:r>
        <w:rPr>
          <w:rStyle w:val="FootnoteReference"/>
        </w:rPr>
        <w:footnoteRef/>
      </w:r>
      <w:r>
        <w:t xml:space="preserve"> </w:t>
      </w:r>
      <w:r>
        <w:t>人人享有是指不同年龄、不同能力的人群在不同的环境中对服务的自由享有。</w:t>
      </w:r>
    </w:p>
  </w:footnote>
  <w:footnote w:id="3">
    <w:p w:rsidR="00E555F8" w:rsidRDefault="00E555F8" w:rsidP="00E555F8">
      <w:pPr>
        <w:pStyle w:val="FootnoteText"/>
        <w:jc w:val="both"/>
      </w:pPr>
      <w:r>
        <w:rPr>
          <w:rStyle w:val="FootnoteReference"/>
        </w:rPr>
        <w:footnoteRef/>
      </w:r>
      <w:r>
        <w:t xml:space="preserve"> </w:t>
      </w:r>
      <w:r>
        <w:t>如水坝、尾矿坝或贮灰场。</w:t>
      </w:r>
      <w:r>
        <w:t xml:space="preserve"> </w:t>
      </w:r>
    </w:p>
  </w:footnote>
  <w:footnote w:id="4">
    <w:p w:rsidR="00E555F8" w:rsidRDefault="00E555F8" w:rsidP="00E555F8">
      <w:pPr>
        <w:pStyle w:val="FootnoteText"/>
      </w:pPr>
      <w:r>
        <w:rPr>
          <w:rStyle w:val="FootnoteReference"/>
        </w:rPr>
        <w:footnoteRef/>
      </w:r>
      <w:r>
        <w:t xml:space="preserve"> </w:t>
      </w:r>
      <w:r>
        <w:t>可能包括与项目有关的所有机动运输。</w:t>
      </w:r>
    </w:p>
  </w:footnote>
  <w:footnote w:id="5">
    <w:p w:rsidR="00E555F8" w:rsidRDefault="00E555F8" w:rsidP="00E555F8">
      <w:pPr>
        <w:pStyle w:val="FootnoteText"/>
      </w:pPr>
      <w:r>
        <w:rPr>
          <w:rStyle w:val="FootnoteReference"/>
        </w:rPr>
        <w:footnoteRef/>
      </w:r>
      <w:r>
        <w:t xml:space="preserve"> </w:t>
      </w:r>
      <w:r>
        <w:t>例如，土地使用变化或诸如湿地、红树林和高地森林等能够减轻洪水、滑坡和火灾等自然灾害影响的自然缓冲区的消失，可能加剧脆弱性以及社区安全方面的风险和影响。自然资源的减少或退化，对淡水质量、数量和可用性的负面影响，可能导致健康方面的风险和影响。</w:t>
      </w:r>
    </w:p>
  </w:footnote>
  <w:footnote w:id="6">
    <w:p w:rsidR="00E555F8" w:rsidRDefault="00E555F8" w:rsidP="00E555F8">
      <w:pPr>
        <w:pStyle w:val="FootnoteText"/>
      </w:pPr>
      <w:r>
        <w:rPr>
          <w:rStyle w:val="FootnoteReference"/>
        </w:rPr>
        <w:footnoteRef/>
      </w:r>
      <w:r>
        <w:t xml:space="preserve"> </w:t>
      </w:r>
      <w:r>
        <w:t>例如疟疾。</w:t>
      </w:r>
    </w:p>
  </w:footnote>
  <w:footnote w:id="7">
    <w:p w:rsidR="00E555F8" w:rsidRDefault="00E555F8" w:rsidP="00E555F8">
      <w:pPr>
        <w:pStyle w:val="FootnoteText"/>
      </w:pPr>
      <w:r>
        <w:rPr>
          <w:rStyle w:val="FootnoteReference"/>
        </w:rPr>
        <w:footnoteRef/>
      </w:r>
      <w:r>
        <w:t xml:space="preserve"> </w:t>
      </w:r>
      <w:r>
        <w:t>见《环境与社会标准</w:t>
      </w:r>
      <w:r>
        <w:t>2</w:t>
      </w:r>
      <w:r>
        <w:t>》第</w:t>
      </w:r>
      <w:r>
        <w:t>25</w:t>
      </w:r>
      <w:r>
        <w:t>条。</w:t>
      </w:r>
    </w:p>
  </w:footnote>
  <w:footnote w:id="8">
    <w:p w:rsidR="00E555F8" w:rsidRDefault="00E555F8" w:rsidP="00E555F8">
      <w:pPr>
        <w:pStyle w:val="FootnoteText"/>
        <w:jc w:val="both"/>
      </w:pPr>
      <w:r>
        <w:rPr>
          <w:rStyle w:val="FootnoteReference"/>
        </w:rPr>
        <w:footnoteRef/>
      </w:r>
      <w:r>
        <w:t xml:space="preserve"> </w:t>
      </w:r>
      <w:r>
        <w:t>第</w:t>
      </w:r>
      <w:r>
        <w:t>2</w:t>
      </w:r>
      <w:r>
        <w:t>条</w:t>
      </w:r>
      <w:r>
        <w:t>(a)-(c)</w:t>
      </w:r>
      <w:r>
        <w:t>中未提及的水坝需要采取合格工程师设计的一般水坝安全措施。</w:t>
      </w:r>
    </w:p>
  </w:footnote>
  <w:footnote w:id="9">
    <w:p w:rsidR="00E555F8" w:rsidRPr="003C39E9" w:rsidRDefault="00E555F8" w:rsidP="00E555F8">
      <w:pPr>
        <w:pStyle w:val="FootnoteText"/>
        <w:jc w:val="both"/>
        <w:rPr>
          <w:rFonts w:cstheme="minorHAnsi"/>
        </w:rPr>
      </w:pPr>
      <w:r>
        <w:rPr>
          <w:rStyle w:val="FootnoteReference"/>
          <w:rFonts w:cstheme="minorHAnsi"/>
        </w:rPr>
        <w:footnoteRef/>
      </w:r>
      <w:r>
        <w:t xml:space="preserve"> </w:t>
      </w:r>
      <w:r>
        <w:t>专家组成员的数量、职业广度、技术特长和经验应与待审核水坝的大小、复杂性和潜在危险性相适应。对于高危水坝而言，专家组成员应是各自领域的国际知名专家。</w:t>
      </w:r>
    </w:p>
  </w:footnote>
  <w:footnote w:id="10">
    <w:p w:rsidR="00E555F8" w:rsidRPr="003C39E9" w:rsidRDefault="00E555F8" w:rsidP="00E555F8">
      <w:pPr>
        <w:pStyle w:val="FootnoteText"/>
        <w:jc w:val="both"/>
        <w:rPr>
          <w:rFonts w:cstheme="minorHAnsi"/>
        </w:rPr>
      </w:pPr>
      <w:r>
        <w:rPr>
          <w:rStyle w:val="FootnoteReference"/>
          <w:rFonts w:cstheme="minorHAnsi"/>
        </w:rPr>
        <w:footnoteRef/>
      </w:r>
      <w:r>
        <w:t xml:space="preserve"> </w:t>
      </w:r>
      <w:r>
        <w:t>如果世界银行在项目准备之后才介入，专家组应尽可能马上成立，立即开始审核已经开展的项目内容。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35866156"/>
      <w:docPartObj>
        <w:docPartGallery w:val="Watermarks"/>
        <w:docPartUnique/>
      </w:docPartObj>
    </w:sdtPr>
    <w:sdtEndPr>
      <w:rPr>
        <w:b w:val="0"/>
        <w:bCs w:val="0"/>
      </w:rPr>
    </w:sdtEndPr>
    <w:sdtContent>
      <w:sdt>
        <w:sdtPr>
          <w:rPr>
            <w:b/>
            <w:bCs/>
            <w:sz w:val="32"/>
            <w:szCs w:val="32"/>
          </w:rPr>
          <w:id w:val="1342742231"/>
          <w:docPartObj>
            <w:docPartGallery w:val="Watermarks"/>
            <w:docPartUnique/>
          </w:docPartObj>
        </w:sdtPr>
        <w:sdtEndPr/>
        <w:sdtContent>
          <w:p w:rsidR="00E555F8" w:rsidRPr="00DC4E5F" w:rsidRDefault="00E555F8"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E555F8" w:rsidRDefault="008532F0" w:rsidP="00B9074C">
            <w:pPr>
              <w:pStyle w:val="Header"/>
              <w:jc w:val="both"/>
              <w:rPr>
                <w:sz w:val="32"/>
                <w:szCs w:val="32"/>
              </w:rPr>
            </w:pPr>
          </w:p>
        </w:sdtContent>
      </w:sdt>
    </w:sdtContent>
  </w:sdt>
  <w:p w:rsidR="00E555F8" w:rsidRPr="00C65ACA" w:rsidRDefault="00E555F8" w:rsidP="00B37073">
    <w:pPr>
      <w:pStyle w:val="Header"/>
      <w:spacing w:before="240" w:after="240"/>
      <w:jc w:val="center"/>
      <w:rPr>
        <w:b/>
        <w:bCs/>
        <w:color w:val="00B050"/>
        <w:sz w:val="28"/>
        <w:szCs w:val="28"/>
      </w:rPr>
    </w:pPr>
    <w:r>
      <w:rPr>
        <w:b/>
        <w:color w:val="00B050"/>
        <w:sz w:val="28"/>
      </w:rPr>
      <w:t xml:space="preserve"> </w:t>
    </w:r>
    <w:r>
      <w:rPr>
        <w:b/>
        <w:color w:val="00B050"/>
        <w:sz w:val="28"/>
      </w:rPr>
      <w:t>环境与社会标准</w:t>
    </w:r>
    <w:r>
      <w:rPr>
        <w:b/>
        <w:color w:val="00B050"/>
        <w:sz w:val="28"/>
      </w:rPr>
      <w:t>4.</w:t>
    </w:r>
    <w:r>
      <w:rPr>
        <w:b/>
        <w:color w:val="00B050"/>
        <w:sz w:val="28"/>
      </w:rPr>
      <w:t>社区健康与安全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EndPr/>
        <w:sdtContent>
          <w:p w:rsidR="00E555F8" w:rsidRDefault="00E555F8" w:rsidP="00252BAB">
            <w:pPr>
              <w:pStyle w:val="Header"/>
              <w:jc w:val="center"/>
              <w:rPr>
                <w:rFonts w:eastAsiaTheme="majorEastAsia" w:cstheme="majorBidi"/>
                <w:b/>
                <w:i/>
                <w:sz w:val="32"/>
                <w:bdr w:val="single" w:sz="4" w:space="0" w:color="auto"/>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8175F5" w:rsidRDefault="008175F5" w:rsidP="008175F5">
            <w:pPr>
              <w:pStyle w:val="Default"/>
            </w:pPr>
          </w:p>
          <w:p w:rsidR="008175F5" w:rsidRPr="008175F5" w:rsidRDefault="008175F5" w:rsidP="008175F5">
            <w:pPr>
              <w:pStyle w:val="Header"/>
              <w:jc w:val="center"/>
              <w:rPr>
                <w:rFonts w:eastAsia="SimSun" w:cstheme="majorBidi"/>
                <w:b/>
                <w:bCs/>
                <w:i/>
                <w:iCs/>
                <w:sz w:val="32"/>
                <w:szCs w:val="32"/>
              </w:rPr>
            </w:pPr>
            <w:r>
              <w:t xml:space="preserve"> </w:t>
            </w:r>
            <w:r>
              <w:rPr>
                <w:rFonts w:ascii="MS Mincho" w:hAnsi="MS Mincho" w:cs="MS Mincho"/>
                <w:sz w:val="32"/>
                <w:szCs w:val="32"/>
              </w:rPr>
              <w:t>本草案中的内容</w:t>
            </w:r>
            <w:r>
              <w:rPr>
                <w:rFonts w:ascii="PMingLiU" w:eastAsia="PMingLiU" w:hAnsi="PMingLiU" w:cs="PMingLiU" w:hint="eastAsia"/>
                <w:sz w:val="32"/>
                <w:szCs w:val="32"/>
              </w:rPr>
              <w:t>仅供磋商使用，且尚未获得国际复兴开发银行和国</w:t>
            </w:r>
            <w:r>
              <w:rPr>
                <w:sz w:val="32"/>
                <w:szCs w:val="32"/>
              </w:rPr>
              <w:t xml:space="preserve"> </w:t>
            </w:r>
            <w:r>
              <w:rPr>
                <w:rFonts w:ascii="PMingLiU" w:eastAsia="PMingLiU" w:hAnsi="PMingLiU" w:cs="PMingLiU" w:hint="eastAsia"/>
                <w:sz w:val="32"/>
                <w:szCs w:val="32"/>
              </w:rPr>
              <w:t>际开发协会执行</w:t>
            </w:r>
            <w:r>
              <w:rPr>
                <w:rFonts w:ascii="MS Mincho" w:hAnsi="MS Mincho" w:cs="MS Mincho"/>
                <w:sz w:val="32"/>
                <w:szCs w:val="32"/>
              </w:rPr>
              <w:t>董事会的批准</w:t>
            </w:r>
          </w:p>
          <w:p w:rsidR="00E555F8" w:rsidRDefault="008532F0" w:rsidP="00B9074C">
            <w:pPr>
              <w:pStyle w:val="Header"/>
              <w:jc w:val="both"/>
              <w:rPr>
                <w:sz w:val="32"/>
                <w:szCs w:val="32"/>
              </w:rPr>
            </w:pPr>
          </w:p>
        </w:sdtContent>
      </w:sdt>
    </w:sdtContent>
  </w:sdt>
  <w:p w:rsidR="00E555F8" w:rsidRPr="007C5E5F" w:rsidRDefault="00E555F8" w:rsidP="007C5E5F">
    <w:pPr>
      <w:pStyle w:val="Header"/>
      <w:jc w:val="both"/>
      <w:rPr>
        <w:sz w:val="6"/>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8" w:rsidRDefault="00E555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62446784"/>
      <w:docPartObj>
        <w:docPartGallery w:val="Watermarks"/>
        <w:docPartUnique/>
      </w:docPartObj>
    </w:sdtPr>
    <w:sdtEndPr>
      <w:rPr>
        <w:b w:val="0"/>
        <w:bCs w:val="0"/>
      </w:rPr>
    </w:sdtEndPr>
    <w:sdtContent>
      <w:sdt>
        <w:sdtPr>
          <w:rPr>
            <w:b/>
            <w:bCs/>
            <w:sz w:val="32"/>
            <w:szCs w:val="32"/>
          </w:rPr>
          <w:id w:val="-52546194"/>
          <w:docPartObj>
            <w:docPartGallery w:val="Watermarks"/>
            <w:docPartUnique/>
          </w:docPartObj>
        </w:sdtPr>
        <w:sdtEndPr/>
        <w:sdtContent>
          <w:p w:rsidR="00E555F8" w:rsidRPr="00DC4E5F" w:rsidRDefault="00E555F8"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E555F8" w:rsidRDefault="008532F0" w:rsidP="008356C9">
            <w:pPr>
              <w:pStyle w:val="Header"/>
              <w:jc w:val="both"/>
              <w:rPr>
                <w:sz w:val="32"/>
                <w:szCs w:val="32"/>
              </w:rPr>
            </w:pPr>
          </w:p>
        </w:sdtContent>
      </w:sdt>
    </w:sdtContent>
  </w:sdt>
  <w:p w:rsidR="00E555F8" w:rsidRPr="00FD342C" w:rsidRDefault="00E555F8" w:rsidP="00B37073">
    <w:pPr>
      <w:pStyle w:val="Header"/>
      <w:spacing w:before="240" w:after="240"/>
      <w:jc w:val="center"/>
      <w:rPr>
        <w:b/>
        <w:bCs/>
        <w:color w:val="00B050"/>
        <w:sz w:val="10"/>
        <w:szCs w:val="10"/>
      </w:rPr>
    </w:pPr>
    <w:r>
      <w:rPr>
        <w:b/>
        <w:color w:val="00B050"/>
        <w:sz w:val="28"/>
      </w:rPr>
      <w:t>环境与社会标准</w:t>
    </w:r>
    <w:r>
      <w:rPr>
        <w:b/>
        <w:color w:val="00B050"/>
        <w:sz w:val="28"/>
      </w:rPr>
      <w:t>4.</w:t>
    </w:r>
    <w:r>
      <w:rPr>
        <w:b/>
        <w:color w:val="00B050"/>
        <w:sz w:val="28"/>
      </w:rPr>
      <w:t>社区健康与安全</w:t>
    </w:r>
  </w:p>
  <w:p w:rsidR="00E555F8" w:rsidRPr="00FD342C" w:rsidRDefault="00E555F8" w:rsidP="007C5E5F">
    <w:pPr>
      <w:pStyle w:val="Header"/>
      <w:jc w:val="center"/>
      <w:rPr>
        <w:rFonts w:eastAsiaTheme="minorHAnsi" w:cs="ITC Franklin Gothic Std Med"/>
        <w:b/>
        <w:color w:val="00B050"/>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8" w:rsidRPr="00FD342C" w:rsidRDefault="00E555F8" w:rsidP="009A666F">
    <w:pPr>
      <w:pStyle w:val="Header"/>
      <w:jc w:val="center"/>
      <w:rPr>
        <w:b/>
        <w:bCs/>
        <w:color w:val="00B050"/>
        <w:sz w:val="10"/>
        <w:szCs w:val="10"/>
      </w:rPr>
    </w:pPr>
    <w:r>
      <w:rPr>
        <w:b/>
        <w:color w:val="00B050"/>
        <w:sz w:val="28"/>
      </w:rPr>
      <w:t>环境与社会标准</w:t>
    </w:r>
    <w:r>
      <w:rPr>
        <w:b/>
        <w:color w:val="00B050"/>
        <w:sz w:val="28"/>
      </w:rPr>
      <w:t>4.</w:t>
    </w:r>
    <w:r>
      <w:rPr>
        <w:b/>
        <w:color w:val="00B050"/>
        <w:sz w:val="28"/>
      </w:rPr>
      <w:t>社区健康与安全</w:t>
    </w:r>
  </w:p>
  <w:p w:rsidR="00E555F8" w:rsidRPr="00FD342C" w:rsidRDefault="00E555F8" w:rsidP="009A666F">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num>
  <w:num w:numId="4">
    <w:abstractNumId w:val="5"/>
    <w:lvlOverride w:ilvl="0">
      <w:startOverride w:val="1"/>
    </w:lvlOverride>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F8"/>
    <w:rsid w:val="008175F5"/>
    <w:rsid w:val="00827CB6"/>
    <w:rsid w:val="008532F0"/>
    <w:rsid w:val="00DF26A9"/>
    <w:rsid w:val="00E5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E086D-83DD-46CE-B624-797C2353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F8"/>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E555F8"/>
    <w:pPr>
      <w:keepNext/>
      <w:keepLines/>
      <w:numPr>
        <w:numId w:val="1"/>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E555F8"/>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E555F8"/>
    <w:pPr>
      <w:keepNext/>
      <w:keepLines/>
      <w:widowControl w:val="0"/>
      <w:numPr>
        <w:ilvl w:val="2"/>
        <w:numId w:val="1"/>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E555F8"/>
    <w:pPr>
      <w:keepNext/>
      <w:keepLines/>
      <w:numPr>
        <w:ilvl w:val="3"/>
        <w:numId w:val="1"/>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E555F8"/>
    <w:pPr>
      <w:widowControl w:val="0"/>
      <w:numPr>
        <w:ilvl w:val="4"/>
        <w:numId w:val="1"/>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E555F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55F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55F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55F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5F8"/>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E555F8"/>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E555F8"/>
    <w:rPr>
      <w:rFonts w:cs="SimSun"/>
      <w:b/>
      <w:color w:val="00B050"/>
      <w:sz w:val="24"/>
      <w:szCs w:val="26"/>
      <w:lang w:val="zh-CN" w:eastAsia="zh-CN" w:bidi="zh-CN"/>
    </w:rPr>
  </w:style>
  <w:style w:type="character" w:customStyle="1" w:styleId="Heading4Char">
    <w:name w:val="Heading 4 Char"/>
    <w:basedOn w:val="DefaultParagraphFont"/>
    <w:link w:val="Heading4"/>
    <w:rsid w:val="00E555F8"/>
    <w:rPr>
      <w:rFonts w:cs="SimSun"/>
      <w:b/>
      <w:i/>
      <w:color w:val="00B050"/>
      <w:szCs w:val="24"/>
      <w:lang w:val="zh-CN" w:eastAsia="zh-CN" w:bidi="zh-CN"/>
    </w:rPr>
  </w:style>
  <w:style w:type="character" w:customStyle="1" w:styleId="Heading5Char">
    <w:name w:val="Heading 5 Char"/>
    <w:basedOn w:val="DefaultParagraphFont"/>
    <w:link w:val="Heading5"/>
    <w:uiPriority w:val="9"/>
    <w:rsid w:val="00E555F8"/>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E555F8"/>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E555F8"/>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E555F8"/>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E555F8"/>
    <w:rPr>
      <w:rFonts w:asciiTheme="majorHAnsi" w:eastAsiaTheme="majorEastAsia" w:hAnsiTheme="majorHAnsi" w:cstheme="majorBidi"/>
      <w:i/>
      <w:iCs/>
      <w:color w:val="404040" w:themeColor="text1" w:themeTint="BF"/>
      <w:sz w:val="20"/>
      <w:szCs w:val="20"/>
      <w:lang w:val="zh-CN" w:eastAsia="zh-CN" w:bidi="zh-CN"/>
    </w:rPr>
  </w:style>
  <w:style w:type="paragraph" w:styleId="Header">
    <w:name w:val="header"/>
    <w:basedOn w:val="Normal"/>
    <w:link w:val="HeaderChar"/>
    <w:uiPriority w:val="99"/>
    <w:unhideWhenUsed/>
    <w:rsid w:val="00E5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F8"/>
    <w:rPr>
      <w:rFonts w:eastAsiaTheme="minorEastAsia"/>
      <w:lang w:val="zh-CN" w:eastAsia="zh-CN" w:bidi="zh-CN"/>
    </w:rPr>
  </w:style>
  <w:style w:type="paragraph" w:styleId="FootnoteText">
    <w:name w:val="footnote text"/>
    <w:aliases w:val="fn,single space,footnote text"/>
    <w:basedOn w:val="Normal"/>
    <w:link w:val="FootnoteTextChar"/>
    <w:uiPriority w:val="99"/>
    <w:unhideWhenUsed/>
    <w:rsid w:val="00E555F8"/>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E555F8"/>
    <w:rPr>
      <w:rFonts w:eastAsiaTheme="minorEastAsia"/>
      <w:sz w:val="20"/>
      <w:szCs w:val="20"/>
      <w:lang w:val="zh-CN" w:eastAsia="zh-CN" w:bidi="zh-CN"/>
    </w:rPr>
  </w:style>
  <w:style w:type="character" w:styleId="FootnoteReference">
    <w:name w:val="footnote reference"/>
    <w:basedOn w:val="DefaultParagraphFont"/>
    <w:uiPriority w:val="99"/>
    <w:unhideWhenUsed/>
    <w:rsid w:val="00E555F8"/>
    <w:rPr>
      <w:vertAlign w:val="superscript"/>
    </w:rPr>
  </w:style>
  <w:style w:type="paragraph" w:customStyle="1" w:styleId="PSBodyText">
    <w:name w:val="PS Body Text"/>
    <w:basedOn w:val="Normal"/>
    <w:link w:val="PSBodyTextChar"/>
    <w:autoRedefine/>
    <w:rsid w:val="00E555F8"/>
    <w:pPr>
      <w:tabs>
        <w:tab w:val="left" w:pos="360"/>
      </w:tabs>
      <w:autoSpaceDE w:val="0"/>
      <w:autoSpaceDN w:val="0"/>
      <w:adjustRightInd w:val="0"/>
      <w:spacing w:after="0" w:line="240" w:lineRule="exact"/>
      <w:jc w:val="both"/>
    </w:pPr>
    <w:rPr>
      <w:rFonts w:ascii="SimSun" w:eastAsia="SimSun" w:hAnsi="SimSun" w:cs="SimSun"/>
      <w:sz w:val="18"/>
      <w:szCs w:val="18"/>
    </w:rPr>
  </w:style>
  <w:style w:type="character" w:customStyle="1" w:styleId="PSBodyTextChar">
    <w:name w:val="PS Body Text Char"/>
    <w:basedOn w:val="DefaultParagraphFont"/>
    <w:link w:val="PSBodyText"/>
    <w:rsid w:val="00E555F8"/>
    <w:rPr>
      <w:rFonts w:ascii="SimSun" w:eastAsia="SimSun" w:hAnsi="SimSun" w:cs="SimSun"/>
      <w:sz w:val="18"/>
      <w:szCs w:val="18"/>
      <w:lang w:val="zh-CN" w:eastAsia="zh-CN" w:bidi="zh-CN"/>
    </w:rPr>
  </w:style>
  <w:style w:type="paragraph" w:customStyle="1" w:styleId="ESSpara">
    <w:name w:val="ESS para"/>
    <w:basedOn w:val="Normal"/>
    <w:link w:val="ESSparaChar"/>
    <w:qFormat/>
    <w:rsid w:val="00E555F8"/>
    <w:pPr>
      <w:numPr>
        <w:numId w:val="3"/>
      </w:numPr>
      <w:spacing w:after="240" w:line="240" w:lineRule="auto"/>
      <w:jc w:val="both"/>
    </w:pPr>
  </w:style>
  <w:style w:type="character" w:customStyle="1" w:styleId="ESSparaChar">
    <w:name w:val="ESS para Char"/>
    <w:basedOn w:val="DefaultParagraphFont"/>
    <w:link w:val="ESSpara"/>
    <w:rsid w:val="00E555F8"/>
    <w:rPr>
      <w:rFonts w:eastAsiaTheme="minorEastAsia"/>
      <w:lang w:val="zh-CN" w:eastAsia="zh-CN" w:bidi="zh-CN"/>
    </w:rPr>
  </w:style>
  <w:style w:type="paragraph" w:customStyle="1" w:styleId="essalpha">
    <w:name w:val="ess alpha"/>
    <w:basedOn w:val="ListParagraph"/>
    <w:link w:val="essalphaChar"/>
    <w:qFormat/>
    <w:rsid w:val="00E555F8"/>
    <w:pPr>
      <w:spacing w:after="240" w:line="240" w:lineRule="auto"/>
      <w:ind w:left="0"/>
      <w:contextualSpacing w:val="0"/>
      <w:jc w:val="both"/>
    </w:pPr>
    <w:rPr>
      <w:rFonts w:cs="SimSun"/>
    </w:rPr>
  </w:style>
  <w:style w:type="character" w:customStyle="1" w:styleId="essalphaChar">
    <w:name w:val="ess alpha Char"/>
    <w:basedOn w:val="DefaultParagraphFont"/>
    <w:link w:val="essalpha"/>
    <w:rsid w:val="00E555F8"/>
    <w:rPr>
      <w:rFonts w:eastAsiaTheme="minorEastAsia" w:cs="SimSun"/>
      <w:lang w:val="zh-CN" w:eastAsia="zh-CN" w:bidi="zh-CN"/>
    </w:rPr>
  </w:style>
  <w:style w:type="paragraph" w:customStyle="1" w:styleId="essbullet">
    <w:name w:val="ess bullet"/>
    <w:basedOn w:val="essalpha"/>
    <w:qFormat/>
    <w:rsid w:val="00E555F8"/>
    <w:pPr>
      <w:numPr>
        <w:ilvl w:val="1"/>
        <w:numId w:val="2"/>
      </w:numPr>
      <w:tabs>
        <w:tab w:val="left" w:pos="1080"/>
      </w:tabs>
      <w:ind w:left="1080"/>
    </w:pPr>
  </w:style>
  <w:style w:type="paragraph" w:customStyle="1" w:styleId="essobjbull">
    <w:name w:val="ess obj bull"/>
    <w:basedOn w:val="essbullet"/>
    <w:link w:val="essobjbullChar"/>
    <w:qFormat/>
    <w:rsid w:val="00E555F8"/>
    <w:pPr>
      <w:spacing w:after="120"/>
      <w:ind w:left="360"/>
    </w:pPr>
  </w:style>
  <w:style w:type="character" w:customStyle="1" w:styleId="essobjbullChar">
    <w:name w:val="ess obj bull Char"/>
    <w:basedOn w:val="DefaultParagraphFont"/>
    <w:link w:val="essobjbull"/>
    <w:rsid w:val="00E555F8"/>
    <w:rPr>
      <w:rFonts w:eastAsiaTheme="minorEastAsia" w:cs="SimSun"/>
      <w:lang w:val="zh-CN" w:eastAsia="zh-CN" w:bidi="zh-CN"/>
    </w:rPr>
  </w:style>
  <w:style w:type="paragraph" w:styleId="ListParagraph">
    <w:name w:val="List Paragraph"/>
    <w:basedOn w:val="Normal"/>
    <w:uiPriority w:val="34"/>
    <w:qFormat/>
    <w:rsid w:val="00E555F8"/>
    <w:pPr>
      <w:ind w:left="720"/>
      <w:contextualSpacing/>
    </w:pPr>
  </w:style>
  <w:style w:type="paragraph" w:styleId="Footer">
    <w:name w:val="footer"/>
    <w:basedOn w:val="Normal"/>
    <w:link w:val="FooterChar"/>
    <w:uiPriority w:val="99"/>
    <w:unhideWhenUsed/>
    <w:rsid w:val="00817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F5"/>
    <w:rPr>
      <w:rFonts w:eastAsiaTheme="minorEastAsia"/>
      <w:lang w:val="zh-CN" w:eastAsia="zh-CN" w:bidi="zh-CN"/>
    </w:rPr>
  </w:style>
  <w:style w:type="paragraph" w:customStyle="1" w:styleId="Default">
    <w:name w:val="Default"/>
    <w:rsid w:val="008175F5"/>
    <w:pPr>
      <w:autoSpaceDE w:val="0"/>
      <w:autoSpaceDN w:val="0"/>
      <w:adjustRightInd w:val="0"/>
      <w:spacing w:after="0" w:line="240" w:lineRule="auto"/>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Jennifer Chato</cp:lastModifiedBy>
  <cp:revision>2</cp:revision>
  <dcterms:created xsi:type="dcterms:W3CDTF">2015-11-03T17:49:00Z</dcterms:created>
  <dcterms:modified xsi:type="dcterms:W3CDTF">2015-11-03T17:49:00Z</dcterms:modified>
</cp:coreProperties>
</file>