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FE3" w:rsidRPr="00E52B22" w:rsidRDefault="00157FE3" w:rsidP="00157FE3">
      <w:pPr>
        <w:pStyle w:val="Heading1"/>
        <w:numPr>
          <w:ilvl w:val="0"/>
          <w:numId w:val="0"/>
        </w:numPr>
        <w:spacing w:before="240" w:after="240" w:line="240" w:lineRule="auto"/>
      </w:pPr>
      <w:bookmarkStart w:id="0" w:name="_Toc385926307"/>
      <w:bookmarkStart w:id="1" w:name="_Toc394499192"/>
      <w:bookmarkStart w:id="2" w:name="_Toc423449566"/>
      <w:bookmarkStart w:id="3" w:name="_Toc426539789"/>
      <w:r>
        <w:t>环境与社会标准</w:t>
      </w:r>
      <w:r>
        <w:t>6</w:t>
      </w:r>
      <w:r>
        <w:br/>
      </w:r>
      <w:r>
        <w:t>生物多样性保护和生物自然资源的可持续管理</w:t>
      </w:r>
      <w:bookmarkEnd w:id="0"/>
      <w:bookmarkEnd w:id="1"/>
      <w:bookmarkEnd w:id="2"/>
      <w:bookmarkEnd w:id="3"/>
    </w:p>
    <w:p w:rsidR="00157FE3" w:rsidRPr="00811E2A" w:rsidRDefault="00157FE3" w:rsidP="00157FE3">
      <w:pPr>
        <w:pStyle w:val="Heading2"/>
      </w:pPr>
      <w:bookmarkStart w:id="4" w:name="_Toc394499193"/>
      <w:bookmarkStart w:id="5" w:name="_Toc423449567"/>
      <w:bookmarkStart w:id="6" w:name="_Toc426539790"/>
      <w:r>
        <w:t>简介</w:t>
      </w:r>
      <w:bookmarkEnd w:id="4"/>
      <w:bookmarkEnd w:id="5"/>
      <w:bookmarkEnd w:id="6"/>
    </w:p>
    <w:p w:rsidR="00157FE3" w:rsidRDefault="00157FE3" w:rsidP="00157FE3">
      <w:pPr>
        <w:pStyle w:val="ESSpara"/>
        <w:numPr>
          <w:ilvl w:val="0"/>
          <w:numId w:val="4"/>
        </w:numPr>
        <w:ind w:left="0" w:firstLine="0"/>
      </w:pPr>
      <w:r>
        <w:t>《环境与社会标准</w:t>
      </w:r>
      <w:r>
        <w:t>6</w:t>
      </w:r>
      <w:r>
        <w:t>》认识到，保护生物多样性及生物自然资源的可持续性管理是实现可持续发展的根本所在。本《环境与社会标准》解决了生物多样性保护问题，规定指来自所有资源，特别是陆地、海洋和其他水生生态系统的生物及其所属生态综合体的变化性；生物多样性包括物种内、物种间及生态系统的多样性。</w:t>
      </w:r>
      <w:r>
        <w:t xml:space="preserve"> </w:t>
      </w:r>
    </w:p>
    <w:p w:rsidR="00157FE3" w:rsidRDefault="00157FE3" w:rsidP="00157FE3">
      <w:pPr>
        <w:pStyle w:val="ESSpara"/>
        <w:ind w:left="0" w:firstLine="0"/>
      </w:pPr>
      <w:r>
        <w:t>本《环境与社会标准》还涉及自然生物资源的可持续管理，这些自然生物资源定义为因人类或动物消费和使用而产生或收货的植物和动物。这些资源来自多种来源，包括各类林业、生物质、农业，包括一年生和多年生作物和畜牧业，包括牲畜；及野生和捕捞渔业，包括所有类型的海洋和淡水生物。</w:t>
      </w:r>
      <w:r>
        <w:t xml:space="preserve"> </w:t>
      </w:r>
    </w:p>
    <w:p w:rsidR="00157FE3" w:rsidRPr="00CE5193" w:rsidRDefault="00157FE3" w:rsidP="00157FE3">
      <w:pPr>
        <w:pStyle w:val="ESSpara"/>
        <w:ind w:left="0" w:firstLine="0"/>
      </w:pPr>
      <w:r>
        <w:t>《环境与社会标准</w:t>
      </w:r>
      <w:r>
        <w:t>6</w:t>
      </w:r>
      <w:r>
        <w:t>》认识到以下几方面的重要性：维持栖息地及其生物多样性的核心生态功能的重要性；所有栖息地支持生物有机体的复杂性，而这种复杂性因物种多样性、丰富性和重要性的不同而有所差异。</w:t>
      </w:r>
      <w:r>
        <w:t xml:space="preserve"> </w:t>
      </w:r>
    </w:p>
    <w:p w:rsidR="00157FE3" w:rsidRDefault="00157FE3" w:rsidP="00157FE3">
      <w:pPr>
        <w:pStyle w:val="ESSpara"/>
        <w:ind w:left="0" w:firstLine="0"/>
      </w:pPr>
      <w:r>
        <w:t>《环境与社会标准</w:t>
      </w:r>
      <w:r>
        <w:t>6</w:t>
      </w:r>
      <w:r>
        <w:t>》还考虑了受影响社区（包括土著居民）的生计需求，以及生物多样性、生态系统服务、生物自然资源的获取和利用方面的需求。考虑受影响社区（包括土著居民）在生物多样性保护和生物自然资源的可持续性管理方面所扮演的潜在积极角色。</w:t>
      </w:r>
      <w:r>
        <w:t xml:space="preserve"> </w:t>
      </w:r>
    </w:p>
    <w:p w:rsidR="00157FE3" w:rsidRDefault="00157FE3" w:rsidP="00157FE3">
      <w:pPr>
        <w:pStyle w:val="ESSpara"/>
        <w:ind w:left="0" w:firstLine="0"/>
      </w:pPr>
      <w:r>
        <w:t>生态系统服务是人们从生态系统获取的收益。生态系统服务可以分为四个类型：</w:t>
      </w:r>
      <w:r>
        <w:t xml:space="preserve">(i) </w:t>
      </w:r>
      <w:r>
        <w:t>供给服务，人类从生态系统中获取的产品，可能包括食品、淡水、木材、纤维、药用植物；</w:t>
      </w:r>
      <w:r>
        <w:t xml:space="preserve">(ii) </w:t>
      </w:r>
      <w:r>
        <w:t>调节服务，人类通过生态系统过程的调节功能而获得的益惠，可能包括地表水净化、碳储存和碳封存、气候调节、防止自然灾害；</w:t>
      </w:r>
      <w:r>
        <w:t xml:space="preserve">(iii) </w:t>
      </w:r>
      <w:r>
        <w:t>文化服务，人类从生态系统中获取的非物质益惠，可能包括成为圣地及重要娱乐和观光区域的自然区域；及</w:t>
      </w:r>
      <w:r>
        <w:t xml:space="preserve"> (iv) </w:t>
      </w:r>
      <w:r>
        <w:t>支持服务，维持其他服务的自然过程，可能包括土壤形成、养分循环和初级生产。</w:t>
      </w:r>
      <w:r>
        <w:t xml:space="preserve"> </w:t>
      </w:r>
    </w:p>
    <w:p w:rsidR="00157FE3" w:rsidRPr="0005257F" w:rsidRDefault="00157FE3" w:rsidP="00157FE3">
      <w:pPr>
        <w:pStyle w:val="ESSpara"/>
        <w:ind w:left="0" w:firstLine="0"/>
      </w:pPr>
      <w:r>
        <w:t>人类重视的生态系统服务往往是以生物多样性为基础的。因此，生物多样性通常会对生态系统服务的提供产生不利影响。本《环境与社会标准》解决了借款人如何在整个项目生命周期内持续地管理和缓解对生物多样性和生态系统服务的影响。</w:t>
      </w:r>
    </w:p>
    <w:p w:rsidR="00157FE3" w:rsidRPr="0005257F" w:rsidRDefault="00157FE3" w:rsidP="00157FE3">
      <w:pPr>
        <w:pStyle w:val="Heading2"/>
      </w:pPr>
      <w:bookmarkStart w:id="7" w:name="_Toc394499194"/>
      <w:bookmarkStart w:id="8" w:name="_Toc423449568"/>
      <w:bookmarkStart w:id="9" w:name="_Toc426539791"/>
      <w:r>
        <w:t>目标</w:t>
      </w:r>
      <w:bookmarkEnd w:id="7"/>
      <w:bookmarkEnd w:id="8"/>
      <w:bookmarkEnd w:id="9"/>
    </w:p>
    <w:p w:rsidR="00157FE3" w:rsidRPr="0005257F" w:rsidRDefault="00157FE3" w:rsidP="00157FE3">
      <w:pPr>
        <w:pStyle w:val="essobjbull"/>
      </w:pPr>
      <w:r>
        <w:t>通过预防途径对生物多样性及其多元价值加以保护和保存。</w:t>
      </w:r>
    </w:p>
    <w:p w:rsidR="00157FE3" w:rsidRDefault="00157FE3" w:rsidP="00157FE3">
      <w:pPr>
        <w:pStyle w:val="essobjbull"/>
      </w:pPr>
      <w:r>
        <w:t>维持因对生物多样性和自然生物资源的可持续管理而从生态系统服务获得的收益。</w:t>
      </w:r>
    </w:p>
    <w:p w:rsidR="00157FE3" w:rsidRPr="00CE5193" w:rsidRDefault="00157FE3" w:rsidP="00157FE3">
      <w:pPr>
        <w:pStyle w:val="essobjbull"/>
      </w:pPr>
      <w:r>
        <w:t>兼顾保护与发展，促进物自然资源的可持续管理以支持当地的生计和包容性经济发展。</w:t>
      </w:r>
    </w:p>
    <w:p w:rsidR="00157FE3" w:rsidRPr="00811E2A" w:rsidRDefault="00157FE3" w:rsidP="00157FE3">
      <w:pPr>
        <w:pStyle w:val="Heading2"/>
      </w:pPr>
      <w:bookmarkStart w:id="10" w:name="_Toc394499195"/>
      <w:bookmarkStart w:id="11" w:name="_Toc423449569"/>
      <w:bookmarkStart w:id="12" w:name="_Toc426539792"/>
      <w:r>
        <w:lastRenderedPageBreak/>
        <w:t>适用范围</w:t>
      </w:r>
      <w:bookmarkEnd w:id="10"/>
      <w:bookmarkEnd w:id="11"/>
      <w:bookmarkEnd w:id="12"/>
      <w:r>
        <w:t xml:space="preserve"> </w:t>
      </w:r>
    </w:p>
    <w:p w:rsidR="00157FE3" w:rsidRPr="00CE5193" w:rsidRDefault="00157FE3" w:rsidP="00157FE3">
      <w:pPr>
        <w:pStyle w:val="ESSpara"/>
        <w:ind w:left="0" w:firstLine="0"/>
      </w:pPr>
      <w:r>
        <w:t>本《环境与社会标准》的适用性在《环境与社会标准</w:t>
      </w:r>
      <w:r>
        <w:t>1</w:t>
      </w:r>
      <w:r>
        <w:t>》中所述的环境与社会评价期间确定。</w:t>
      </w:r>
    </w:p>
    <w:p w:rsidR="00157FE3" w:rsidRDefault="00157FE3" w:rsidP="00157FE3">
      <w:pPr>
        <w:pStyle w:val="ESSpara"/>
        <w:ind w:left="0" w:firstLine="0"/>
      </w:pPr>
      <w:r>
        <w:t>根据环境与社会评价，本《环境与社会标准》的要求适用于所有可能对生物多样性或支持生物多样性栖息地产生潜在积极或消极影响的项目。</w:t>
      </w:r>
    </w:p>
    <w:p w:rsidR="00157FE3" w:rsidRPr="00531DE8" w:rsidRDefault="00157FE3" w:rsidP="00157FE3">
      <w:pPr>
        <w:pStyle w:val="ESSpara"/>
        <w:ind w:left="0" w:firstLine="0"/>
      </w:pPr>
      <w:r>
        <w:t>本《环境与社会标准》还适用于涉及生物自然资源初级生产和</w:t>
      </w:r>
      <w:r>
        <w:t>/</w:t>
      </w:r>
      <w:r>
        <w:t>或利用的项目。</w:t>
      </w:r>
      <w:r>
        <w:t xml:space="preserve"> </w:t>
      </w:r>
    </w:p>
    <w:p w:rsidR="00157FE3" w:rsidRPr="00811E2A" w:rsidRDefault="00157FE3" w:rsidP="00157FE3">
      <w:pPr>
        <w:pStyle w:val="Heading2"/>
      </w:pPr>
      <w:bookmarkStart w:id="13" w:name="_Toc394499196"/>
      <w:bookmarkStart w:id="14" w:name="_Toc423449570"/>
      <w:bookmarkStart w:id="15" w:name="_Toc426539793"/>
      <w:r>
        <w:t>要求</w:t>
      </w:r>
      <w:bookmarkEnd w:id="13"/>
      <w:bookmarkEnd w:id="14"/>
      <w:bookmarkEnd w:id="15"/>
      <w:r>
        <w:t xml:space="preserve"> </w:t>
      </w:r>
    </w:p>
    <w:p w:rsidR="00157FE3" w:rsidRPr="00D92782" w:rsidRDefault="00157FE3" w:rsidP="00157FE3">
      <w:pPr>
        <w:pStyle w:val="Heading3"/>
        <w:ind w:left="0" w:firstLine="0"/>
      </w:pPr>
      <w:bookmarkStart w:id="16" w:name="_Toc394499197"/>
      <w:bookmarkStart w:id="17" w:name="_Toc423449571"/>
      <w:bookmarkStart w:id="18" w:name="_Toc426539794"/>
      <w:r>
        <w:t>综述</w:t>
      </w:r>
      <w:bookmarkEnd w:id="16"/>
      <w:bookmarkEnd w:id="17"/>
      <w:bookmarkEnd w:id="18"/>
    </w:p>
    <w:p w:rsidR="00157FE3" w:rsidRPr="00CE5193" w:rsidRDefault="00157FE3" w:rsidP="00157FE3">
      <w:pPr>
        <w:pStyle w:val="ESSpara"/>
        <w:ind w:left="0" w:firstLine="0"/>
      </w:pPr>
      <w:r>
        <w:t>《环境与社会标准</w:t>
      </w:r>
      <w:r>
        <w:t>1</w:t>
      </w:r>
      <w:r>
        <w:t>》所列的环境与社会评价将考虑项目对生物多样性的直接和间接影响。本过程将考虑对生物多样性的威胁，例如栖息地丧失、生态系统退化和破碎化、外来物种入侵、过度开采、环境污染和临时捕获，以及预期气候变化影响。本过程还将考虑受影响社区和其他利益相关方在生物多样性方面的不同附加值。</w:t>
      </w:r>
      <w:r>
        <w:t xml:space="preserve"> </w:t>
      </w:r>
    </w:p>
    <w:p w:rsidR="00157FE3" w:rsidRDefault="00157FE3" w:rsidP="00157FE3">
      <w:pPr>
        <w:pStyle w:val="ESSpara"/>
        <w:ind w:left="0" w:firstLine="0"/>
      </w:pPr>
      <w:r>
        <w:t>借款国将避免对生物多样性的不利影响。若无法避免对生物多样性的不利影响，借款国将实施适当措施，尽可能减少消极影响，恢复生物多样性。借款国将确保采用充分的生物多样性专业知识进行环境与社会评价，帮助建立符合本《环境与社会标准》的缓解机制，保证缓解措施的实施。在合适的情况下，借款国将制定《生物多样性管理计划》。</w:t>
      </w:r>
    </w:p>
    <w:p w:rsidR="00157FE3" w:rsidRPr="00182139" w:rsidRDefault="00157FE3" w:rsidP="00157FE3">
      <w:pPr>
        <w:pStyle w:val="Heading4"/>
      </w:pPr>
      <w:bookmarkStart w:id="19" w:name="_Toc394499198"/>
      <w:r>
        <w:t>风险和影响评估</w:t>
      </w:r>
      <w:bookmarkEnd w:id="19"/>
    </w:p>
    <w:p w:rsidR="00157FE3" w:rsidRPr="00CE5193" w:rsidRDefault="00157FE3" w:rsidP="00157FE3">
      <w:pPr>
        <w:pStyle w:val="ESSpara"/>
        <w:ind w:left="0" w:firstLine="0"/>
      </w:pPr>
      <w:r>
        <w:t>通过环境与社会评价，借款国将确定潜在项目风险和项目对栖息地及其生态多样性的影响。不论栖息地保护状态如何，不论栖息地当前的混乱或退还</w:t>
      </w:r>
      <w:r>
        <w:rPr>
          <w:rStyle w:val="FootnoteReference"/>
        </w:rPr>
        <w:footnoteReference w:id="1"/>
      </w:r>
      <w:r>
        <w:t>程度如何，借款国进行的环境与社会评价均应考虑项目对栖息地生态完整性的潜在风险和影响。评估程序应充分基于风险和影响的可能性、重要性和严重性确定其特征，反映可能受影响区域和其他利益相关方（若相关）的利害关系。</w:t>
      </w:r>
      <w:r>
        <w:t xml:space="preserve"> </w:t>
      </w:r>
    </w:p>
    <w:p w:rsidR="00157FE3" w:rsidRPr="00CE5193" w:rsidRDefault="00157FE3" w:rsidP="00157FE3">
      <w:pPr>
        <w:pStyle w:val="ESSpara"/>
        <w:ind w:left="0" w:firstLine="0"/>
      </w:pPr>
      <w:r>
        <w:t>借款国的评估将包括基线条件，其在某种程度上与预期风险和影响的重要性相关且具有特定关系。计划和进行生物多样性相关的基线和影响评估时，借款国应参考相关良好国际行业惯例，按要求采用计算机和实地考察方法。若需要进一步调查潜在影响的重要性，借款国将在实施可能对受影响栖息地及栖息地生物多样性造成重大不利影响的项目活动前进行额外研究和</w:t>
      </w:r>
      <w:r>
        <w:t>/</w:t>
      </w:r>
      <w:r>
        <w:t>或监测。</w:t>
      </w:r>
    </w:p>
    <w:p w:rsidR="00157FE3" w:rsidRPr="00CE5193" w:rsidRDefault="00157FE3" w:rsidP="00157FE3">
      <w:pPr>
        <w:pStyle w:val="ESSpara"/>
        <w:ind w:left="0" w:firstLine="0"/>
      </w:pPr>
      <w:r>
        <w:t>在适用的情况下，评估将考虑居住在项目区域内或周边的受影响社区（包括土著居民）对生物自然资源的使用和依赖性，而他们对生物多样性资源的使用可能受到项目影响，及他们在生物多样性保护和可持续使用方面所扮演的角色。</w:t>
      </w:r>
    </w:p>
    <w:p w:rsidR="00157FE3" w:rsidRDefault="00157FE3" w:rsidP="00157FE3">
      <w:pPr>
        <w:pStyle w:val="ESSpara"/>
        <w:ind w:left="0" w:firstLine="0"/>
      </w:pPr>
      <w:r>
        <w:lastRenderedPageBreak/>
        <w:t>若评估已确定项目对生物多样性的潜在影响，借款国应依据缓解制度和良好国际行业惯例应对这些影响。借款国还应采用预防途径和适应性管理实践，实施缓解和管理措施，应对条件变化和项目监测结果。</w:t>
      </w:r>
      <w:r>
        <w:t xml:space="preserve"> </w:t>
      </w:r>
    </w:p>
    <w:p w:rsidR="00157FE3" w:rsidRPr="00182139" w:rsidRDefault="00157FE3" w:rsidP="00157FE3">
      <w:pPr>
        <w:pStyle w:val="Heading4"/>
      </w:pPr>
      <w:bookmarkStart w:id="20" w:name="_Toc394499199"/>
      <w:r>
        <w:t>生物多样性保护</w:t>
      </w:r>
      <w:bookmarkEnd w:id="20"/>
    </w:p>
    <w:p w:rsidR="00157FE3" w:rsidRDefault="00157FE3" w:rsidP="00157FE3">
      <w:pPr>
        <w:pStyle w:val="ESSpara"/>
        <w:ind w:left="0" w:firstLine="0"/>
      </w:pPr>
      <w:bookmarkStart w:id="21" w:name="_Ref391773543"/>
      <w:r>
        <w:t>“</w:t>
      </w:r>
      <w:r>
        <w:t>栖息地</w:t>
      </w:r>
      <w:r>
        <w:t>”</w:t>
      </w:r>
      <w:r>
        <w:t>是指可供多种生命有机体共同生存、并与周围的非生物环境相互影响的陆地、淡水或海洋等地理单元或空中区域。栖息地在对影响的敏感性及社会赋予其的各种价值方面有所差异。</w:t>
      </w:r>
      <w:r>
        <w:t xml:space="preserve"> </w:t>
      </w:r>
    </w:p>
    <w:p w:rsidR="00157FE3" w:rsidRDefault="00157FE3" w:rsidP="00157FE3">
      <w:pPr>
        <w:pStyle w:val="ESSpara"/>
        <w:ind w:left="0" w:firstLine="0"/>
      </w:pPr>
      <w:r>
        <w:t>本《环境与社会标准》要求基于上述敏感性和价值对栖息地采取不同的风险管理方法。本《环境与社会标准》的要求适用于所有栖息地，包括</w:t>
      </w:r>
      <w:r>
        <w:t>“</w:t>
      </w:r>
      <w:r>
        <w:t>被改变的栖息地</w:t>
      </w:r>
      <w:r>
        <w:t>”</w:t>
      </w:r>
      <w:r>
        <w:t>、</w:t>
      </w:r>
      <w:r>
        <w:t>“</w:t>
      </w:r>
      <w:r>
        <w:t>自然栖息地</w:t>
      </w:r>
      <w:r>
        <w:t>”</w:t>
      </w:r>
      <w:r>
        <w:t>和</w:t>
      </w:r>
      <w:r>
        <w:t>“</w:t>
      </w:r>
      <w:r>
        <w:t>关键栖息地</w:t>
      </w:r>
      <w:r>
        <w:t>”</w:t>
      </w:r>
      <w:r>
        <w:t>，以及</w:t>
      </w:r>
      <w:r>
        <w:t>“</w:t>
      </w:r>
      <w:r>
        <w:t>法律保护及国际和地区公认的生物多样性价值区域</w:t>
      </w:r>
      <w:r>
        <w:t>”</w:t>
      </w:r>
      <w:r>
        <w:t>。</w:t>
      </w:r>
    </w:p>
    <w:p w:rsidR="00157FE3" w:rsidRDefault="00157FE3" w:rsidP="00157FE3">
      <w:pPr>
        <w:pStyle w:val="ESSpara"/>
        <w:ind w:left="0" w:firstLine="0"/>
      </w:pPr>
      <w:r>
        <w:t>为了保护和保存生物多样性，缓解机制中应包括生物多样性补偿措施，只有在采取了适当的避免、减少和恢复措施后剩余不利影响仍然存在，万不得已才可能考虑补偿措施。</w:t>
      </w:r>
      <w:r>
        <w:rPr>
          <w:rStyle w:val="FootnoteReference"/>
        </w:rPr>
        <w:footnoteReference w:id="2"/>
      </w:r>
      <w:r>
        <w:t>生物多样性补偿方案的设计和实施目的是为了获得可衡量的、附加的、长期的保护结果</w:t>
      </w:r>
      <w:r>
        <w:rPr>
          <w:rStyle w:val="FootnoteReference"/>
        </w:rPr>
        <w:footnoteReference w:id="3"/>
      </w:r>
      <w:r>
        <w:t>，而基于合理预测，这些结果能够不造成生物多样性净损失</w:t>
      </w:r>
      <w:r>
        <w:rPr>
          <w:rStyle w:val="FootnoteReference"/>
        </w:rPr>
        <w:footnoteReference w:id="4"/>
      </w:r>
      <w:r>
        <w:t>，并且最好是能够带来净收益；若为重要栖息地，必须为净收益</w:t>
      </w:r>
      <w:r>
        <w:rPr>
          <w:rStyle w:val="FootnoteReference"/>
        </w:rPr>
        <w:footnoteReference w:id="5"/>
      </w:r>
      <w:r>
        <w:t>。生物多样性补偿方案的设计必须遵循</w:t>
      </w:r>
      <w:r>
        <w:t>“</w:t>
      </w:r>
      <w:r>
        <w:t>相似或更好</w:t>
      </w:r>
      <w:r>
        <w:t>”</w:t>
      </w:r>
      <w:r>
        <w:t>的原则</w:t>
      </w:r>
      <w:r>
        <w:rPr>
          <w:rStyle w:val="FootnoteReference"/>
        </w:rPr>
        <w:footnoteReference w:id="6"/>
      </w:r>
      <w:r>
        <w:t>，而且必须根据良好国际行业惯例来实施。如果借款国正在考虑制定一项补偿方案作为缓解制度的一部分，借款国将聘请具有补偿设计和实施经验的资深专家。</w:t>
      </w:r>
      <w:bookmarkEnd w:id="21"/>
      <w:r>
        <w:t>某些不利的残余影响无法补偿，特别是当受影响区域从生物多样性角度而言是唯一且不可代替时。在这种情况下，借款国将不会继续项目，直到被重新设计后可避免此类补偿的需求并满足本《环境与社会标准》的要求。</w:t>
      </w:r>
      <w:r>
        <w:t xml:space="preserve"> </w:t>
      </w:r>
    </w:p>
    <w:p w:rsidR="00157FE3" w:rsidRPr="007124FC" w:rsidRDefault="00157FE3" w:rsidP="00157FE3">
      <w:pPr>
        <w:pStyle w:val="ESSpara"/>
        <w:numPr>
          <w:ilvl w:val="0"/>
          <w:numId w:val="0"/>
        </w:numPr>
        <w:rPr>
          <w:b/>
          <w:i/>
        </w:rPr>
      </w:pPr>
      <w:r>
        <w:rPr>
          <w:b/>
          <w:i/>
        </w:rPr>
        <w:t>修造栖息地</w:t>
      </w:r>
    </w:p>
    <w:p w:rsidR="00157FE3" w:rsidRPr="007124FC" w:rsidRDefault="00157FE3" w:rsidP="00157FE3">
      <w:pPr>
        <w:pStyle w:val="ESSpara"/>
        <w:ind w:left="0" w:firstLine="0"/>
      </w:pPr>
      <w:r>
        <w:lastRenderedPageBreak/>
        <w:t>被改变的栖息地是指可能包含很大比例的非本地原生植物和</w:t>
      </w:r>
      <w:r>
        <w:t>/</w:t>
      </w:r>
      <w:r>
        <w:t>或动物物种的地区，以及</w:t>
      </w:r>
      <w:r>
        <w:t>/</w:t>
      </w:r>
      <w:r>
        <w:t>或人类活动已大幅改变了当地主要生态功能和物种构成</w:t>
      </w:r>
      <w:r>
        <w:rPr>
          <w:vertAlign w:val="superscript"/>
        </w:rPr>
        <w:footnoteReference w:id="7"/>
      </w:r>
      <w:r>
        <w:t>的地区。被改变的栖息地可能包括农业区、人工林、人工填造</w:t>
      </w:r>
      <w:r>
        <w:rPr>
          <w:vertAlign w:val="superscript"/>
        </w:rPr>
        <w:footnoteReference w:id="8"/>
      </w:r>
      <w:r>
        <w:t>的沿海区域以及人工开垦的湿地。</w:t>
      </w:r>
    </w:p>
    <w:p w:rsidR="00157FE3" w:rsidRPr="007124FC" w:rsidRDefault="00157FE3" w:rsidP="00157FE3">
      <w:pPr>
        <w:pStyle w:val="ESSpara"/>
        <w:ind w:left="0" w:firstLine="0"/>
      </w:pPr>
      <w:r>
        <w:t>本《环境与社会标准》适用于包含具有重要生物多样性价值的被改变的栖息地，其重要性在《环境与社会标准</w:t>
      </w:r>
      <w:r>
        <w:t>1</w:t>
      </w:r>
      <w:r>
        <w:t>》要求的风险和影响确认过程中确定。借款国应将对这类生物多样性的影响降至最低，并在适当情况下采取缓解措施。</w:t>
      </w:r>
    </w:p>
    <w:p w:rsidR="00157FE3" w:rsidRPr="007124FC" w:rsidRDefault="00157FE3" w:rsidP="00157FE3">
      <w:pPr>
        <w:pStyle w:val="ESSpara"/>
        <w:numPr>
          <w:ilvl w:val="0"/>
          <w:numId w:val="0"/>
        </w:numPr>
        <w:rPr>
          <w:b/>
          <w:i/>
        </w:rPr>
      </w:pPr>
      <w:r>
        <w:rPr>
          <w:b/>
          <w:i/>
        </w:rPr>
        <w:t>自然栖息地</w:t>
      </w:r>
    </w:p>
    <w:p w:rsidR="00157FE3" w:rsidRDefault="00157FE3" w:rsidP="00157FE3">
      <w:pPr>
        <w:pStyle w:val="ESSpara"/>
        <w:ind w:left="0" w:firstLine="0"/>
      </w:pPr>
      <w:r>
        <w:t>自然栖息地是指大部分生存的植物和</w:t>
      </w:r>
      <w:r>
        <w:t>/</w:t>
      </w:r>
      <w:r>
        <w:t>或动物物种均为本地原生的地区，并且</w:t>
      </w:r>
      <w:r>
        <w:t>/</w:t>
      </w:r>
      <w:r>
        <w:t>或者人类活动未从实质上改变当地主要生态功能和物种构成的地区。</w:t>
      </w:r>
    </w:p>
    <w:p w:rsidR="00157FE3" w:rsidRPr="00CE5193" w:rsidRDefault="00157FE3" w:rsidP="00157FE3">
      <w:pPr>
        <w:pStyle w:val="ESSpara"/>
        <w:ind w:left="0" w:firstLine="0"/>
      </w:pPr>
      <w:r>
        <w:t>如果评估确定自然居住地作为其一部分，那么借款国将依据缓解制度避免对首要生物多样性特征的不利影响。若项目有可能对自然居住地产生不利影响，借款国不会实施任何项目相关活动，除非：</w:t>
      </w:r>
    </w:p>
    <w:p w:rsidR="00157FE3" w:rsidRPr="00CE5193" w:rsidRDefault="00157FE3" w:rsidP="00157FE3">
      <w:pPr>
        <w:pStyle w:val="essalpha"/>
        <w:numPr>
          <w:ilvl w:val="0"/>
          <w:numId w:val="5"/>
        </w:numPr>
      </w:pPr>
      <w:r>
        <w:t>没有其他技术上或经济上可行的替代方法；</w:t>
      </w:r>
    </w:p>
    <w:p w:rsidR="00157FE3" w:rsidRDefault="00157FE3" w:rsidP="00157FE3">
      <w:pPr>
        <w:pStyle w:val="essalpha"/>
        <w:numPr>
          <w:ilvl w:val="0"/>
          <w:numId w:val="5"/>
        </w:numPr>
      </w:pPr>
      <w:r>
        <w:t>借款国应根据缓解制度制定适当的缓解措施，确保今后生物多样性无净损失且最好实现净收益，或者在利益相关者的支持下（若适用），确保重要性等级更高的生物多样性的保护。若存在任何剩余不利影响，借款国应执行补偿措施，例如生物多样性补偿计划（若适用）。</w:t>
      </w:r>
    </w:p>
    <w:p w:rsidR="00157FE3" w:rsidRPr="007124FC" w:rsidRDefault="00157FE3" w:rsidP="00157FE3">
      <w:pPr>
        <w:pStyle w:val="ESSpara"/>
        <w:numPr>
          <w:ilvl w:val="0"/>
          <w:numId w:val="0"/>
        </w:numPr>
        <w:rPr>
          <w:b/>
          <w:i/>
        </w:rPr>
      </w:pPr>
      <w:bookmarkStart w:id="22" w:name="_Ref391773597"/>
      <w:r>
        <w:rPr>
          <w:b/>
          <w:i/>
        </w:rPr>
        <w:t>重要栖息地</w:t>
      </w:r>
    </w:p>
    <w:p w:rsidR="00157FE3" w:rsidRDefault="00157FE3" w:rsidP="00157FE3">
      <w:pPr>
        <w:pStyle w:val="ESSpara"/>
        <w:ind w:left="0" w:firstLine="0"/>
      </w:pPr>
      <w:r>
        <w:t>重要栖息地是具有高度生物多样性价值的区域，包括：</w:t>
      </w:r>
    </w:p>
    <w:p w:rsidR="00157FE3" w:rsidRDefault="00157FE3" w:rsidP="00157FE3">
      <w:pPr>
        <w:pStyle w:val="ESSpara"/>
        <w:numPr>
          <w:ilvl w:val="0"/>
          <w:numId w:val="7"/>
        </w:numPr>
      </w:pPr>
      <w:r>
        <w:t>高危或独特的生态系统；</w:t>
      </w:r>
      <w:r>
        <w:t xml:space="preserve"> </w:t>
      </w:r>
    </w:p>
    <w:p w:rsidR="00157FE3" w:rsidRDefault="00157FE3" w:rsidP="00157FE3">
      <w:pPr>
        <w:pStyle w:val="ESSpara"/>
        <w:numPr>
          <w:ilvl w:val="0"/>
          <w:numId w:val="7"/>
        </w:numPr>
      </w:pPr>
      <w:r>
        <w:t>《世界自然保护联盟</w:t>
      </w:r>
      <w:r>
        <w:t>(IUCN)</w:t>
      </w:r>
      <w:r>
        <w:t>濒危物种红色名录》或国家法律所列濒危和极危物种的栖息地；</w:t>
      </w:r>
      <w:r>
        <w:t xml:space="preserve"> </w:t>
      </w:r>
    </w:p>
    <w:p w:rsidR="00157FE3" w:rsidRDefault="00157FE3" w:rsidP="00157FE3">
      <w:pPr>
        <w:pStyle w:val="ESSpara"/>
        <w:numPr>
          <w:ilvl w:val="0"/>
          <w:numId w:val="7"/>
        </w:numPr>
      </w:pPr>
      <w:r>
        <w:t>对地方特有的或有限范围内物种具有重要意义的栖息地；</w:t>
      </w:r>
      <w:r>
        <w:t xml:space="preserve"> </w:t>
      </w:r>
    </w:p>
    <w:p w:rsidR="00157FE3" w:rsidRDefault="00157FE3" w:rsidP="00157FE3">
      <w:pPr>
        <w:pStyle w:val="ESSpara"/>
        <w:numPr>
          <w:ilvl w:val="0"/>
          <w:numId w:val="7"/>
        </w:numPr>
      </w:pPr>
      <w:r>
        <w:t>对全球或国家重要的集中迁徙物种或集中聚居物种具有重要意义的栖息地；</w:t>
      </w:r>
      <w:r>
        <w:t xml:space="preserve"> </w:t>
      </w:r>
    </w:p>
    <w:p w:rsidR="00157FE3" w:rsidRPr="007124FC" w:rsidRDefault="00157FE3" w:rsidP="00157FE3">
      <w:pPr>
        <w:pStyle w:val="ESSpara"/>
        <w:numPr>
          <w:ilvl w:val="0"/>
          <w:numId w:val="7"/>
        </w:numPr>
      </w:pPr>
      <w:r>
        <w:t>其生态功能或特征对维持上述</w:t>
      </w:r>
      <w:r>
        <w:t>(a)</w:t>
      </w:r>
      <w:r>
        <w:t>至</w:t>
      </w:r>
      <w:r>
        <w:t>(d)</w:t>
      </w:r>
      <w:r>
        <w:t>之生物多样性特征至关重要的栖息地。</w:t>
      </w:r>
    </w:p>
    <w:p w:rsidR="00157FE3" w:rsidRPr="00CE5193" w:rsidRDefault="00157FE3" w:rsidP="00157FE3">
      <w:pPr>
        <w:pStyle w:val="ESSpara"/>
        <w:ind w:left="0" w:firstLine="0"/>
      </w:pPr>
      <w:r>
        <w:t>借款国不会在重要栖息地地区实施任何项目活动，除非满足下列所有条件：</w:t>
      </w:r>
      <w:bookmarkEnd w:id="22"/>
    </w:p>
    <w:p w:rsidR="00157FE3" w:rsidRDefault="00157FE3" w:rsidP="00157FE3">
      <w:pPr>
        <w:pStyle w:val="essalpha"/>
        <w:numPr>
          <w:ilvl w:val="0"/>
          <w:numId w:val="6"/>
        </w:numPr>
      </w:pPr>
      <w:r>
        <w:lastRenderedPageBreak/>
        <w:t>所在区域内不存在其他可行替代方案，使其在生物多样性价值较低的栖息地开发项目；</w:t>
      </w:r>
    </w:p>
    <w:p w:rsidR="00157FE3" w:rsidRPr="00CE5193" w:rsidRDefault="00157FE3" w:rsidP="00157FE3">
      <w:pPr>
        <w:pStyle w:val="essalpha"/>
        <w:numPr>
          <w:ilvl w:val="0"/>
          <w:numId w:val="6"/>
        </w:numPr>
      </w:pPr>
      <w:r>
        <w:t>符合所有正当程序，即国际义务或国家法律要求国家批准重要栖息地内或周边项目活动前必须进行的正当程序；</w:t>
      </w:r>
    </w:p>
    <w:p w:rsidR="00157FE3" w:rsidRPr="0005257F" w:rsidRDefault="00157FE3" w:rsidP="00157FE3">
      <w:pPr>
        <w:pStyle w:val="essalpha"/>
        <w:numPr>
          <w:ilvl w:val="0"/>
          <w:numId w:val="6"/>
        </w:numPr>
      </w:pPr>
      <w:r>
        <w:t>项目活动对栖息地的潜在不利影响或影响可能性不会导致指定的关键栖息地的生物多样性价值产生可衡量的不利影响；</w:t>
      </w:r>
    </w:p>
    <w:p w:rsidR="00157FE3" w:rsidRPr="0005257F" w:rsidRDefault="00157FE3" w:rsidP="00157FE3">
      <w:pPr>
        <w:pStyle w:val="essalpha"/>
        <w:numPr>
          <w:ilvl w:val="0"/>
          <w:numId w:val="6"/>
        </w:numPr>
      </w:pPr>
      <w:r>
        <w:t>项目旨在使项目区域相关的重要栖息地实现净收益；</w:t>
      </w:r>
    </w:p>
    <w:p w:rsidR="00157FE3" w:rsidRDefault="00157FE3" w:rsidP="00157FE3">
      <w:pPr>
        <w:pStyle w:val="essalpha"/>
        <w:numPr>
          <w:ilvl w:val="0"/>
          <w:numId w:val="6"/>
        </w:numPr>
      </w:pPr>
      <w:r>
        <w:t>该项目不会导致任何极危、濒危或范围受限的易危物种的数量</w:t>
      </w:r>
      <w:r>
        <w:rPr>
          <w:rStyle w:val="FootnoteReference"/>
        </w:rPr>
        <w:footnoteReference w:id="9"/>
      </w:r>
      <w:r>
        <w:t>在合理时间段内净减损；</w:t>
      </w:r>
      <w:r>
        <w:rPr>
          <w:rStyle w:val="FootnoteReference"/>
        </w:rPr>
        <w:footnoteReference w:id="10"/>
      </w:r>
      <w:r>
        <w:t xml:space="preserve"> </w:t>
      </w:r>
    </w:p>
    <w:p w:rsidR="00157FE3" w:rsidRDefault="00157FE3" w:rsidP="00157FE3">
      <w:pPr>
        <w:pStyle w:val="essalpha"/>
        <w:numPr>
          <w:ilvl w:val="0"/>
          <w:numId w:val="6"/>
        </w:numPr>
      </w:pPr>
      <w:r>
        <w:t>新的或更新的林业或农业种植园不会转变任何重要栖息地或使其退化，无论现场、相邻或下游地区的栖息地；</w:t>
      </w:r>
      <w:r>
        <w:t xml:space="preserve"> </w:t>
      </w:r>
    </w:p>
    <w:p w:rsidR="00157FE3" w:rsidRPr="00CE5193" w:rsidRDefault="00157FE3" w:rsidP="00157FE3">
      <w:pPr>
        <w:pStyle w:val="essalpha"/>
        <w:numPr>
          <w:ilvl w:val="0"/>
          <w:numId w:val="6"/>
        </w:numPr>
      </w:pPr>
      <w:r>
        <w:t>该项目将不涉及重要栖息地的显著转变或退化，包括森林地区；及</w:t>
      </w:r>
    </w:p>
    <w:p w:rsidR="00157FE3" w:rsidRPr="00CE5193" w:rsidRDefault="00157FE3" w:rsidP="00157FE3">
      <w:pPr>
        <w:pStyle w:val="essalpha"/>
        <w:numPr>
          <w:ilvl w:val="0"/>
          <w:numId w:val="6"/>
        </w:numPr>
      </w:pPr>
      <w:r>
        <w:t>借款国的管理计划已纳入强有力、设计得当的长期生物多样性监测和评价计划。</w:t>
      </w:r>
    </w:p>
    <w:p w:rsidR="00157FE3" w:rsidRPr="00745AF4" w:rsidRDefault="00157FE3" w:rsidP="00157FE3">
      <w:pPr>
        <w:pStyle w:val="ESSpara"/>
        <w:ind w:left="0" w:firstLine="0"/>
      </w:pPr>
      <w:r>
        <w:t>若借款国已满足第</w:t>
      </w:r>
      <w:r>
        <w:t>24</w:t>
      </w:r>
      <w:r>
        <w:t>条规定的条件，那么项目缓解策略将列入《生物多样性管理计划》和法律协议（包括环境和社会承诺计划）之中。</w:t>
      </w:r>
    </w:p>
    <w:p w:rsidR="00157FE3" w:rsidRPr="00745AF4" w:rsidRDefault="00157FE3" w:rsidP="00157FE3">
      <w:pPr>
        <w:pStyle w:val="ESSpara"/>
        <w:ind w:left="0" w:firstLine="0"/>
      </w:pPr>
      <w:bookmarkStart w:id="23" w:name="_Ref391773557"/>
      <w:r>
        <w:t>若生物多样性补偿被提议作为缓解制度的一部分，借款国应通过评估证明项目在生物多样性方面剩余的重大不利影响可适当缓解，以满足第</w:t>
      </w:r>
      <w:r>
        <w:t>18-24</w:t>
      </w:r>
      <w:r>
        <w:t>条的要求。</w:t>
      </w:r>
      <w:bookmarkEnd w:id="23"/>
    </w:p>
    <w:p w:rsidR="00157FE3" w:rsidRPr="00182139" w:rsidRDefault="00157FE3" w:rsidP="00157FE3">
      <w:pPr>
        <w:pStyle w:val="Heading4"/>
      </w:pPr>
      <w:bookmarkStart w:id="24" w:name="_Toc394499200"/>
      <w:r>
        <w:t>法定保护区和国际认可具有生物多样性价值的区域</w:t>
      </w:r>
      <w:bookmarkEnd w:id="24"/>
    </w:p>
    <w:p w:rsidR="00157FE3" w:rsidRPr="00CE5193" w:rsidRDefault="00157FE3" w:rsidP="00157FE3">
      <w:pPr>
        <w:pStyle w:val="ESSpara"/>
        <w:ind w:left="0" w:firstLine="0"/>
      </w:pPr>
      <w:r>
        <w:t>若项目发生在法定保护区</w:t>
      </w:r>
      <w:r>
        <w:rPr>
          <w:rStyle w:val="FootnoteReference"/>
        </w:rPr>
        <w:footnoteReference w:id="11"/>
      </w:r>
      <w:r>
        <w:t>，或者地区或国际认可或指定的保护区，或项目可能对这些区域产生不利影响，借款国将确保从事的所有活动符合本地区法定保护状态和管理目标。借款国还</w:t>
      </w:r>
      <w:r>
        <w:lastRenderedPageBreak/>
        <w:t>将确定和评估项目的潜在不利影响，并实施缓解制度，预防或缓解项目的不利影响，例如对该区域完整性、保护目的或生物多样性重要性的危害。</w:t>
      </w:r>
    </w:p>
    <w:p w:rsidR="00157FE3" w:rsidRPr="00CE5193" w:rsidRDefault="00157FE3" w:rsidP="00157FE3">
      <w:pPr>
        <w:pStyle w:val="ESSpara"/>
        <w:ind w:left="0" w:firstLine="0"/>
      </w:pPr>
      <w:r>
        <w:t>借款国将满足本《环境与社会标准》第</w:t>
      </w:r>
      <w:r>
        <w:t>16</w:t>
      </w:r>
      <w:r>
        <w:t>至第</w:t>
      </w:r>
      <w:r>
        <w:t>26</w:t>
      </w:r>
      <w:r>
        <w:t>条要求。另外，借款国应：</w:t>
      </w:r>
    </w:p>
    <w:p w:rsidR="00157FE3" w:rsidRPr="00CE5193" w:rsidRDefault="00157FE3" w:rsidP="00157FE3">
      <w:pPr>
        <w:pStyle w:val="essalpha"/>
        <w:numPr>
          <w:ilvl w:val="0"/>
          <w:numId w:val="8"/>
        </w:numPr>
      </w:pPr>
      <w:r>
        <w:t>证明此类区域中的拟开发项目已获得法律许可；</w:t>
      </w:r>
    </w:p>
    <w:p w:rsidR="00157FE3" w:rsidRPr="00CE5193" w:rsidRDefault="00157FE3" w:rsidP="00157FE3">
      <w:pPr>
        <w:pStyle w:val="essalpha"/>
        <w:numPr>
          <w:ilvl w:val="0"/>
          <w:numId w:val="8"/>
        </w:numPr>
      </w:pPr>
      <w:r>
        <w:t>项目操作方式应与政府认可的此类区域管理计划保持一致；</w:t>
      </w:r>
    </w:p>
    <w:p w:rsidR="00157FE3" w:rsidRPr="00CE5193" w:rsidRDefault="00157FE3" w:rsidP="00157FE3">
      <w:pPr>
        <w:pStyle w:val="essalpha"/>
        <w:numPr>
          <w:ilvl w:val="0"/>
          <w:numId w:val="8"/>
        </w:numPr>
      </w:pPr>
      <w:r>
        <w:t>在适当的情况下，就计划、设计、执行、监控和评价拟定的项目与保护区的主办方和管理方、受影响社区（包括土著居民以及其他利益相关方）进行磋商；</w:t>
      </w:r>
    </w:p>
    <w:p w:rsidR="00157FE3" w:rsidRDefault="00157FE3" w:rsidP="00157FE3">
      <w:pPr>
        <w:pStyle w:val="essalpha"/>
        <w:numPr>
          <w:ilvl w:val="0"/>
          <w:numId w:val="8"/>
        </w:numPr>
      </w:pPr>
      <w:r>
        <w:t>酌情实施额外计划，以促进和加强该区域的目标保护和有效管理。</w:t>
      </w:r>
    </w:p>
    <w:p w:rsidR="00157FE3" w:rsidRPr="00182139" w:rsidRDefault="00157FE3" w:rsidP="00157FE3">
      <w:pPr>
        <w:pStyle w:val="Heading4"/>
      </w:pPr>
      <w:bookmarkStart w:id="25" w:name="_Toc394499201"/>
      <w:r>
        <w:t>外来入侵物种</w:t>
      </w:r>
      <w:bookmarkEnd w:id="25"/>
    </w:p>
    <w:p w:rsidR="00157FE3" w:rsidRPr="00CE5193" w:rsidRDefault="00157FE3" w:rsidP="00157FE3">
      <w:pPr>
        <w:pStyle w:val="ESSpara"/>
        <w:ind w:left="0" w:firstLine="0"/>
      </w:pPr>
      <w:r>
        <w:t>有意或无意地向某一区域引入该区域不常见的外来或非本地动植物物种，可能会对生物多样性造成重大威胁，因为某些外来物种可能具有侵略性、快速繁衍性，进而淘汰本地物种。</w:t>
      </w:r>
    </w:p>
    <w:p w:rsidR="00157FE3" w:rsidRPr="00CE5193" w:rsidRDefault="00157FE3" w:rsidP="00157FE3">
      <w:pPr>
        <w:pStyle w:val="ESSpara"/>
        <w:ind w:left="0" w:firstLine="0"/>
      </w:pPr>
      <w:r>
        <w:t>借款国不得故意引入任何新的外来物种（目前还未出现在项目所在国家或区域），除非该行为符合现有物种引入监管框架。尽管有上述规定，借款国不得故意引入任何具有高入侵风险的外来物种，不论这类引入是否为现有监管框架所允许。所有外来物种引入必须进行风险评估（作为借款国环境与社会评价的一部分），确定该物种是否具有潜在侵略性。借款国应采取措施避免可能的偶然或无意的物种引入，包括可能滋生外来物种的培养基和生物媒介（例如土壤、道碴及植物材料）运输。</w:t>
      </w:r>
    </w:p>
    <w:p w:rsidR="00157FE3" w:rsidRDefault="00157FE3" w:rsidP="00157FE3">
      <w:pPr>
        <w:pStyle w:val="ESSpara"/>
        <w:ind w:left="0" w:firstLine="0"/>
      </w:pPr>
      <w:bookmarkStart w:id="26" w:name="_Ref391773571"/>
      <w:r>
        <w:t>如果拟议项目所在的国家或地区已经存在外来入侵物种，借款国应尽力确保这些物种不扩散到其未到达区域。在可行的情况下，借款国应采取措施将这些物种从借款国具有管理控制权的自然栖息地中清除。</w:t>
      </w:r>
      <w:bookmarkEnd w:id="26"/>
    </w:p>
    <w:p w:rsidR="00157FE3" w:rsidRDefault="00157FE3" w:rsidP="00157FE3">
      <w:pPr>
        <w:pStyle w:val="Heading4"/>
      </w:pPr>
      <w:bookmarkStart w:id="27" w:name="_Toc394499202"/>
      <w:r>
        <w:t>生物自然资源的可持续管理</w:t>
      </w:r>
      <w:bookmarkEnd w:id="27"/>
    </w:p>
    <w:p w:rsidR="00157FE3" w:rsidRDefault="00157FE3" w:rsidP="00157FE3">
      <w:pPr>
        <w:pStyle w:val="ESSpara"/>
        <w:ind w:left="0" w:firstLine="0"/>
      </w:pPr>
      <w:bookmarkStart w:id="28" w:name="_Ref391773167"/>
      <w:r>
        <w:t>对于涉及初级生产或生物自然资源使用的项目，借款国将评估这些资源及其使用的可持续性，以及此类生产或使用对当地、附近或生态相关栖息地、生物多样性和社区包括土著居民的潜在影响。</w:t>
      </w:r>
      <w:r>
        <w:t xml:space="preserve">  </w:t>
      </w:r>
    </w:p>
    <w:p w:rsidR="00157FE3" w:rsidRPr="00CE5193" w:rsidRDefault="00157FE3" w:rsidP="00157FE3">
      <w:pPr>
        <w:pStyle w:val="ESSpara"/>
        <w:ind w:left="0" w:firstLine="0"/>
      </w:pPr>
      <w:r>
        <w:lastRenderedPageBreak/>
        <w:t>借款国将通过良好管理惯例和现有技术，以可持续方式对生物自然资源进行管理。如果这些初级生产惯例已纳入全球、地区或国家认可</w:t>
      </w:r>
      <w:r>
        <w:rPr>
          <w:rStyle w:val="FootnoteReference"/>
        </w:rPr>
        <w:footnoteReference w:id="12"/>
      </w:r>
      <w:r>
        <w:t>的标准条文中，特别是对于行业规模的经营，借款国应遵照这些标准来实施可持续的生产管理。</w:t>
      </w:r>
      <w:bookmarkEnd w:id="28"/>
    </w:p>
    <w:p w:rsidR="00157FE3" w:rsidRDefault="00157FE3" w:rsidP="00157FE3">
      <w:pPr>
        <w:pStyle w:val="ESSpara"/>
        <w:ind w:left="0" w:firstLine="0"/>
      </w:pPr>
      <w:r>
        <w:t>如果存在相关可靠标准，但借款国尚未获得这些标准的独立认证，那么借款国应对适用标准的符合性进行预评估，并采取适当行动争取在世界银行接受的时间内获得认证。</w:t>
      </w:r>
    </w:p>
    <w:p w:rsidR="00157FE3" w:rsidRDefault="00157FE3" w:rsidP="00157FE3">
      <w:pPr>
        <w:pStyle w:val="ESSpara"/>
        <w:ind w:left="0" w:firstLine="0"/>
      </w:pPr>
      <w:r>
        <w:t>如果项目所在国家没有适用于特定生物自然资源的相关、可靠全球、地区或国家标准，借款国应承诺采用良好国际行业惯例。</w:t>
      </w:r>
    </w:p>
    <w:p w:rsidR="00157FE3" w:rsidRDefault="00157FE3" w:rsidP="00157FE3">
      <w:pPr>
        <w:pStyle w:val="ESSpara"/>
        <w:ind w:left="0" w:firstLine="0"/>
      </w:pPr>
      <w:r>
        <w:t>若项目包括基于土地的商业性农业和林业种植（特别是涉及土地清理或造林的项目），借款国应将此类项目定位于已转换或高度退耕的土地（不包括任何因预计项目发生而退耕的土地）。鉴于种植项目有可能造成外来物种入侵，威胁生物多样性，因此这类项目设计时将避免并缓解项目对自然生境的潜在威胁。当借款国投资自然森林的林业生产时，将对森林进行可持续管理。</w:t>
      </w:r>
    </w:p>
    <w:p w:rsidR="00157FE3" w:rsidRDefault="00157FE3" w:rsidP="00157FE3">
      <w:pPr>
        <w:pStyle w:val="ESSpara"/>
        <w:ind w:left="0" w:firstLine="0"/>
      </w:pPr>
      <w:r>
        <w:t>如果这些采伐作业可以由小型生产者、社区森林管理范围内的当地社区或执行联合森林管理安排的实体实施，且这些作业不会直接关系到行业规模运营，则借款国将确保他们：</w:t>
      </w:r>
      <w:r>
        <w:t>(a)</w:t>
      </w:r>
      <w:r>
        <w:t>已达到为确保当地受影响社区有效参与而制定的森林管理标准，符合第</w:t>
      </w:r>
      <w:r>
        <w:t>36</w:t>
      </w:r>
      <w:r>
        <w:t>条规定的负责森林管理标准的原则和标准，即使其并未经正式证明；或</w:t>
      </w:r>
      <w:r>
        <w:t>(b)</w:t>
      </w:r>
      <w:r>
        <w:t>遵守实现这类标准的限时行动计划。借款国必须制定世界银行认可的行动计划，确保社区有效参与。借款国应对当地受影响社区有效参与的所有作业活动进行监测。</w:t>
      </w:r>
      <w:r>
        <w:t xml:space="preserve"> </w:t>
      </w:r>
    </w:p>
    <w:p w:rsidR="00157FE3" w:rsidRPr="00CE5193" w:rsidRDefault="00157FE3" w:rsidP="00157FE3">
      <w:pPr>
        <w:pStyle w:val="ESSpara"/>
        <w:ind w:left="0" w:firstLine="0"/>
      </w:pPr>
      <w:r>
        <w:t>如果世界银行资助的非森林项目，包括任何不符合本《环境与社会标准》第</w:t>
      </w:r>
      <w:r>
        <w:t>33</w:t>
      </w:r>
      <w:r>
        <w:t>条款规定的全球、地区或国家认可的标准进行土地开垦和相关拯救性砍伐，借款国应确保尽可能减少采伐区域，同时要求采伐区域符合项目技术要求，且遵循相关国家法律和其他相关标准。</w:t>
      </w:r>
      <w:r>
        <w:t xml:space="preserve"> </w:t>
      </w:r>
    </w:p>
    <w:p w:rsidR="00157FE3" w:rsidRDefault="00157FE3" w:rsidP="00157FE3">
      <w:pPr>
        <w:pStyle w:val="ESSpara"/>
        <w:spacing w:after="0"/>
        <w:ind w:left="0" w:firstLine="0"/>
      </w:pPr>
      <w:bookmarkStart w:id="29" w:name="_Ref391773176"/>
      <w:r>
        <w:t>若项目涉及农作物和畜牧行业生产，借款国将遵循良好国际行业惯例，避免或尽可能减少不利影响和资源消耗。若项目涉及大规模商业畜养动物以生产肉制品或其他动物产品（例如牛奶、鸡蛋、羊毛），借款国将采用符合良好国际行业惯例的动物畜养方法，并适当考虑宗教和文化原则。</w:t>
      </w:r>
      <w:r>
        <w:t xml:space="preserve">  </w:t>
      </w:r>
    </w:p>
    <w:bookmarkEnd w:id="29"/>
    <w:p w:rsidR="00157FE3" w:rsidRDefault="00157FE3" w:rsidP="00157FE3">
      <w:pPr>
        <w:pStyle w:val="ESSpara"/>
        <w:numPr>
          <w:ilvl w:val="0"/>
          <w:numId w:val="0"/>
        </w:numPr>
        <w:spacing w:after="0"/>
      </w:pPr>
      <w:r>
        <w:t xml:space="preserve"> </w:t>
      </w:r>
    </w:p>
    <w:p w:rsidR="00157FE3" w:rsidRPr="00017A86" w:rsidRDefault="00157FE3" w:rsidP="00157FE3">
      <w:pPr>
        <w:pStyle w:val="Heading3"/>
        <w:spacing w:before="120"/>
        <w:ind w:left="0" w:firstLine="0"/>
      </w:pPr>
      <w:bookmarkStart w:id="30" w:name="_Toc423449572"/>
      <w:bookmarkStart w:id="31" w:name="_Toc426539795"/>
      <w:r>
        <w:t>主要供应商</w:t>
      </w:r>
      <w:bookmarkEnd w:id="30"/>
      <w:bookmarkEnd w:id="31"/>
    </w:p>
    <w:p w:rsidR="00157FE3" w:rsidRDefault="00157FE3" w:rsidP="00157FE3">
      <w:pPr>
        <w:pStyle w:val="ESSpara"/>
        <w:ind w:left="0" w:firstLine="0"/>
      </w:pPr>
      <w:r>
        <w:t>若借款国购买的初级产成品（包括食品、木材和纤维商品）来自自然或关键栖息地可能存在重大转用或退化风险的地区，借款国的环境与社会评价将包括主要供应商使用的评估系统和验证实践。</w:t>
      </w:r>
      <w:r>
        <w:rPr>
          <w:rStyle w:val="FootnoteReference"/>
        </w:rPr>
        <w:footnoteReference w:id="13"/>
      </w:r>
      <w:r>
        <w:rPr>
          <w:rStyle w:val="FootnoteReference"/>
        </w:rPr>
        <w:t xml:space="preserve"> </w:t>
      </w:r>
    </w:p>
    <w:p w:rsidR="00157FE3" w:rsidRDefault="00157FE3" w:rsidP="00157FE3">
      <w:pPr>
        <w:pStyle w:val="ESSpara"/>
        <w:ind w:left="0" w:firstLine="0"/>
      </w:pPr>
      <w:r>
        <w:lastRenderedPageBreak/>
        <w:t>借款国将建立系统和验证实践：</w:t>
      </w:r>
      <w:r>
        <w:t xml:space="preserve"> </w:t>
      </w:r>
    </w:p>
    <w:p w:rsidR="00157FE3" w:rsidRDefault="00157FE3" w:rsidP="00157FE3">
      <w:pPr>
        <w:pStyle w:val="ESSpara"/>
        <w:numPr>
          <w:ilvl w:val="0"/>
          <w:numId w:val="0"/>
        </w:numPr>
        <w:ind w:left="990" w:hanging="270"/>
      </w:pPr>
      <w:r>
        <w:t>(a)</w:t>
      </w:r>
      <w:r>
        <w:t>确定供应来源和源地区的栖息地类型；</w:t>
      </w:r>
      <w:r>
        <w:t xml:space="preserve"> </w:t>
      </w:r>
    </w:p>
    <w:p w:rsidR="00157FE3" w:rsidRDefault="00157FE3" w:rsidP="00157FE3">
      <w:pPr>
        <w:pStyle w:val="ESSpara"/>
        <w:numPr>
          <w:ilvl w:val="0"/>
          <w:numId w:val="0"/>
        </w:numPr>
        <w:ind w:left="990" w:hanging="270"/>
      </w:pPr>
      <w:r>
        <w:t>(b)</w:t>
      </w:r>
      <w:r>
        <w:t>对客户主要供应商的持续审核；</w:t>
      </w:r>
      <w:r>
        <w:t xml:space="preserve"> </w:t>
      </w:r>
    </w:p>
    <w:p w:rsidR="00157FE3" w:rsidRDefault="00157FE3" w:rsidP="00157FE3">
      <w:pPr>
        <w:pStyle w:val="ESSpara"/>
        <w:numPr>
          <w:ilvl w:val="0"/>
          <w:numId w:val="0"/>
        </w:numPr>
        <w:ind w:left="990" w:hanging="270"/>
      </w:pPr>
      <w:r>
        <w:t>(c)</w:t>
      </w:r>
      <w:r>
        <w:t>仅从那些可以证明</w:t>
      </w:r>
      <w:r>
        <w:rPr>
          <w:rStyle w:val="FootnoteReference"/>
        </w:rPr>
        <w:footnoteReference w:id="14"/>
      </w:r>
      <w:r>
        <w:t>其不会促使自然或关键栖息地的重大转用或退化的供应商采购产品；</w:t>
      </w:r>
      <w:r>
        <w:t xml:space="preserve"> </w:t>
      </w:r>
    </w:p>
    <w:p w:rsidR="00157FE3" w:rsidRDefault="00157FE3" w:rsidP="00157FE3">
      <w:pPr>
        <w:pStyle w:val="ESSpara"/>
        <w:numPr>
          <w:ilvl w:val="0"/>
          <w:numId w:val="0"/>
        </w:numPr>
        <w:ind w:left="990" w:hanging="270"/>
      </w:pPr>
      <w:r>
        <w:t>(d)</w:t>
      </w:r>
      <w:r>
        <w:t>如有可能，应采取措施，促使借款国的主要供应商逐步那些能够证明其不会对这些地区造成重大不利影响的供应商。</w:t>
      </w:r>
      <w:r>
        <w:t xml:space="preserve"> </w:t>
      </w:r>
    </w:p>
    <w:p w:rsidR="00157FE3" w:rsidRDefault="00157FE3" w:rsidP="00157FE3">
      <w:pPr>
        <w:pStyle w:val="ESSpara"/>
        <w:numPr>
          <w:ilvl w:val="0"/>
          <w:numId w:val="9"/>
        </w:numPr>
        <w:ind w:left="0" w:firstLine="0"/>
      </w:pPr>
      <w:r>
        <w:t>借款国能否具有完全应对这些风险的能力，将取决于借款国对其主要供应商的管理控制或影响程度。</w:t>
      </w:r>
      <w:r>
        <w:t xml:space="preserve"> </w:t>
      </w:r>
    </w:p>
    <w:p w:rsidR="00157FE3" w:rsidRDefault="00157FE3" w:rsidP="00157FE3">
      <w:pPr>
        <w:pStyle w:val="Heading1"/>
        <w:numPr>
          <w:ilvl w:val="0"/>
          <w:numId w:val="0"/>
        </w:numPr>
        <w:spacing w:line="240" w:lineRule="auto"/>
        <w:jc w:val="left"/>
        <w:sectPr w:rsidR="00157FE3" w:rsidSect="00890A5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5B3CCD" w:rsidRDefault="003C6F76"/>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F76" w:rsidRDefault="003C6F76" w:rsidP="00157FE3">
      <w:pPr>
        <w:spacing w:after="0" w:line="240" w:lineRule="auto"/>
      </w:pPr>
      <w:r>
        <w:separator/>
      </w:r>
    </w:p>
  </w:endnote>
  <w:endnote w:type="continuationSeparator" w:id="0">
    <w:p w:rsidR="003C6F76" w:rsidRDefault="003C6F76" w:rsidP="0015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21F" w:rsidRDefault="00FC42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21F" w:rsidRDefault="00FC42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21F" w:rsidRDefault="00FC4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F76" w:rsidRDefault="003C6F76" w:rsidP="00157FE3">
      <w:pPr>
        <w:spacing w:after="0" w:line="240" w:lineRule="auto"/>
      </w:pPr>
      <w:r>
        <w:separator/>
      </w:r>
    </w:p>
  </w:footnote>
  <w:footnote w:type="continuationSeparator" w:id="0">
    <w:p w:rsidR="003C6F76" w:rsidRDefault="003C6F76" w:rsidP="00157FE3">
      <w:pPr>
        <w:spacing w:after="0" w:line="240" w:lineRule="auto"/>
      </w:pPr>
      <w:r>
        <w:continuationSeparator/>
      </w:r>
    </w:p>
  </w:footnote>
  <w:footnote w:id="1">
    <w:p w:rsidR="00157FE3" w:rsidRDefault="00157FE3" w:rsidP="00157FE3">
      <w:pPr>
        <w:pStyle w:val="FootnoteText"/>
      </w:pPr>
      <w:r>
        <w:rPr>
          <w:rStyle w:val="FootnoteReference"/>
        </w:rPr>
        <w:footnoteRef/>
      </w:r>
      <w:r>
        <w:t xml:space="preserve"> </w:t>
      </w:r>
      <w:r>
        <w:t>项目前期。</w:t>
      </w:r>
    </w:p>
  </w:footnote>
  <w:footnote w:id="2">
    <w:p w:rsidR="00157FE3" w:rsidRPr="003C39E9" w:rsidRDefault="00157FE3" w:rsidP="00157FE3">
      <w:pPr>
        <w:pStyle w:val="FootnoteText"/>
        <w:jc w:val="both"/>
        <w:rPr>
          <w:rFonts w:cstheme="minorHAnsi"/>
        </w:rPr>
      </w:pPr>
      <w:r>
        <w:rPr>
          <w:rStyle w:val="FootnoteReference"/>
          <w:rFonts w:cstheme="minorHAnsi"/>
        </w:rPr>
        <w:footnoteRef/>
      </w:r>
      <w:r>
        <w:t xml:space="preserve"> </w:t>
      </w:r>
      <w:r>
        <w:t>生物多样性补偿方案旨在通过一系列行动实现可衡量的长期保护结果，这些行动旨在对在采取适当避免、减少和恢复措施后仍存在的项目对生物多样性的不利影响进行补偿。生物多样性补偿方案应遵循良好国际行业惯例，并与利益相关者一同制定。</w:t>
      </w:r>
    </w:p>
  </w:footnote>
  <w:footnote w:id="3">
    <w:p w:rsidR="00157FE3" w:rsidRPr="003C39E9" w:rsidRDefault="00157FE3" w:rsidP="00157FE3">
      <w:pPr>
        <w:pStyle w:val="FootnoteText"/>
        <w:jc w:val="both"/>
        <w:rPr>
          <w:rFonts w:cstheme="minorHAnsi"/>
        </w:rPr>
      </w:pPr>
      <w:r>
        <w:rPr>
          <w:rStyle w:val="FootnoteReference"/>
          <w:rFonts w:cstheme="minorHAnsi"/>
        </w:rPr>
        <w:footnoteRef/>
      </w:r>
      <w:r>
        <w:t xml:space="preserve"> </w:t>
      </w:r>
      <w:r>
        <w:t>可衡量的生物多样性保护结果必须在当地（现场）和适当的地理范围内得意证明（如地方性、全国性和地区性范围）。</w:t>
      </w:r>
    </w:p>
  </w:footnote>
  <w:footnote w:id="4">
    <w:p w:rsidR="00157FE3" w:rsidRDefault="00157FE3" w:rsidP="00157FE3">
      <w:pPr>
        <w:pStyle w:val="FootnoteText"/>
        <w:jc w:val="both"/>
      </w:pPr>
      <w:r>
        <w:rPr>
          <w:rStyle w:val="FootnoteReference"/>
        </w:rPr>
        <w:footnoteRef/>
      </w:r>
      <w:r>
        <w:t xml:space="preserve"> </w:t>
      </w:r>
      <w:r>
        <w:t>无净损失是指，在通过采取措施以避免和减少项目影响，以及进行原地恢复并最终在适当的地理范围内抵消任何重大残余影响之后，项目对生物多样性的相关影响得到平衡。</w:t>
      </w:r>
      <w:r>
        <w:t xml:space="preserve">   </w:t>
      </w:r>
    </w:p>
  </w:footnote>
  <w:footnote w:id="5">
    <w:p w:rsidR="00157FE3" w:rsidRPr="00465552" w:rsidRDefault="00157FE3" w:rsidP="00157FE3">
      <w:pPr>
        <w:pStyle w:val="FootnoteText"/>
        <w:jc w:val="both"/>
      </w:pPr>
      <w:r>
        <w:rPr>
          <w:rStyle w:val="FootnoteReference"/>
        </w:rPr>
        <w:footnoteRef/>
      </w:r>
      <w:r>
        <w:t xml:space="preserve"> </w:t>
      </w:r>
      <w:r>
        <w:t>净收益指重要生境中能够实现的生物多样性价值的额外保护成果。净收益可通过生物多样性补偿计划的制定得以实现，且</w:t>
      </w:r>
      <w:r>
        <w:t>/</w:t>
      </w:r>
      <w:r>
        <w:t>或通过实施现场项目（当地）来强化生境、保护生物多样性，前提条件是借款国无需生物多样性补偿方案即可满足本《环境与社会标准》第</w:t>
      </w:r>
      <w:r>
        <w:t>24</w:t>
      </w:r>
      <w:r>
        <w:t>条要求。</w:t>
      </w:r>
    </w:p>
  </w:footnote>
  <w:footnote w:id="6">
    <w:p w:rsidR="00157FE3" w:rsidRPr="00A628AE" w:rsidRDefault="00157FE3" w:rsidP="00157FE3">
      <w:pPr>
        <w:pStyle w:val="FootnoteText"/>
        <w:jc w:val="both"/>
        <w:rPr>
          <w:rFonts w:cstheme="minorHAnsi"/>
        </w:rPr>
      </w:pPr>
      <w:r>
        <w:rPr>
          <w:rStyle w:val="FootnoteReference"/>
          <w:rFonts w:cstheme="minorHAnsi"/>
        </w:rPr>
        <w:footnoteRef/>
      </w:r>
      <w:r>
        <w:t xml:space="preserve"> “</w:t>
      </w:r>
      <w:r>
        <w:t>相似或更好</w:t>
      </w:r>
      <w:r>
        <w:t>”</w:t>
      </w:r>
      <w:r>
        <w:t>的原则是指，生物多样性补偿的设计，必须保存与项目影响下的同等的生物多样性价值（同质补偿）。但在某些情况下，项目所影响的生物多样性领域可能既不是国家也不是地方的优先考虑事项，而且可能其它有类似价值的生物多样性领域具有更高的保护和可持续使用优先级别，并面临紧迫的威胁、急需保护或急需有效管理。在这些情况下，考虑</w:t>
      </w:r>
      <w:r>
        <w:t>“</w:t>
      </w:r>
      <w:r>
        <w:t>升级</w:t>
      </w:r>
      <w:r>
        <w:t>”</w:t>
      </w:r>
      <w:r>
        <w:t>（即补偿的对象为具有更高优先级别的生物多样性，而不是受到项目影响的生物多样性）的</w:t>
      </w:r>
      <w:r>
        <w:t>“</w:t>
      </w:r>
      <w:r>
        <w:t>异质</w:t>
      </w:r>
      <w:r>
        <w:t>”</w:t>
      </w:r>
      <w:r>
        <w:t>补偿可能较为适宜，其适用重要生境，将满足本《环境与社会标准》第</w:t>
      </w:r>
      <w:r>
        <w:t>24</w:t>
      </w:r>
      <w:r>
        <w:t>条要求。</w:t>
      </w:r>
    </w:p>
  </w:footnote>
  <w:footnote w:id="7">
    <w:p w:rsidR="00157FE3" w:rsidRDefault="00157FE3" w:rsidP="00157FE3">
      <w:pPr>
        <w:pStyle w:val="FootnoteText"/>
      </w:pPr>
      <w:r>
        <w:rPr>
          <w:rStyle w:val="FootnoteReference"/>
        </w:rPr>
        <w:footnoteRef/>
      </w:r>
      <w:r>
        <w:t xml:space="preserve"> </w:t>
      </w:r>
      <w:r>
        <w:t>不包括因预计将来启动某项目而已经被转变的栖息地。</w:t>
      </w:r>
    </w:p>
  </w:footnote>
  <w:footnote w:id="8">
    <w:p w:rsidR="00157FE3" w:rsidRDefault="00157FE3" w:rsidP="00157FE3">
      <w:pPr>
        <w:pStyle w:val="FootnoteText"/>
        <w:jc w:val="both"/>
      </w:pPr>
      <w:r>
        <w:rPr>
          <w:rStyle w:val="FootnoteReference"/>
        </w:rPr>
        <w:footnoteRef/>
      </w:r>
      <w:r>
        <w:t xml:space="preserve"> </w:t>
      </w:r>
      <w:r>
        <w:t>人工填造这里是指从海洋或其他水域中创造新的土地用于生产目的。</w:t>
      </w:r>
    </w:p>
  </w:footnote>
  <w:footnote w:id="9">
    <w:p w:rsidR="00157FE3" w:rsidRPr="003C39E9" w:rsidRDefault="00157FE3" w:rsidP="00157FE3">
      <w:pPr>
        <w:pStyle w:val="FootnoteText"/>
        <w:jc w:val="both"/>
        <w:rPr>
          <w:rFonts w:cstheme="minorHAnsi"/>
        </w:rPr>
      </w:pPr>
      <w:r>
        <w:rPr>
          <w:rStyle w:val="FootnoteReference"/>
          <w:rFonts w:cstheme="minorHAnsi"/>
        </w:rPr>
        <w:footnoteRef/>
      </w:r>
      <w:r>
        <w:t xml:space="preserve"> </w:t>
      </w:r>
      <w:r>
        <w:t>净减损指个体数或累积数的损失，这将影响物种多代或在很长一段时间内在地球上和</w:t>
      </w:r>
      <w:r>
        <w:t>/</w:t>
      </w:r>
      <w:r>
        <w:t>或地区</w:t>
      </w:r>
      <w:r>
        <w:t>/</w:t>
      </w:r>
      <w:r>
        <w:t>国际范围内的生存能力。潜在净减损的范围（即全球和</w:t>
      </w:r>
      <w:r>
        <w:t>/</w:t>
      </w:r>
      <w:r>
        <w:t>或地区</w:t>
      </w:r>
      <w:r>
        <w:t>/</w:t>
      </w:r>
      <w:r>
        <w:t>国家）的确定依据为（全球）《世界自然保护联盟濒危物种红色名录》和</w:t>
      </w:r>
      <w:r>
        <w:t>/</w:t>
      </w:r>
      <w:r>
        <w:t>或地区</w:t>
      </w:r>
      <w:r>
        <w:t>/</w:t>
      </w:r>
      <w:r>
        <w:t>国家名录上所列的物种。对于（全球）《世界自然保护联盟濒危物种红色名录》和地区</w:t>
      </w:r>
      <w:r>
        <w:t>/</w:t>
      </w:r>
      <w:r>
        <w:t>国家名录上所列的物种，净减损将基于国家</w:t>
      </w:r>
      <w:r>
        <w:t>/</w:t>
      </w:r>
      <w:r>
        <w:t>地区数量。</w:t>
      </w:r>
    </w:p>
  </w:footnote>
  <w:footnote w:id="10">
    <w:p w:rsidR="00157FE3" w:rsidRPr="003C39E9" w:rsidRDefault="00157FE3" w:rsidP="00157FE3">
      <w:pPr>
        <w:pStyle w:val="FootnoteText"/>
        <w:jc w:val="both"/>
        <w:rPr>
          <w:rFonts w:cstheme="minorHAnsi"/>
        </w:rPr>
      </w:pPr>
      <w:r>
        <w:rPr>
          <w:rStyle w:val="FootnoteReference"/>
          <w:rFonts w:cstheme="minorHAnsi"/>
        </w:rPr>
        <w:footnoteRef/>
      </w:r>
      <w:r>
        <w:t xml:space="preserve"> </w:t>
      </w:r>
      <w:r>
        <w:t>借款国必须证明极危和濒危物种</w:t>
      </w:r>
      <w:r>
        <w:t>“</w:t>
      </w:r>
      <w:r>
        <w:t>无净减损</w:t>
      </w:r>
      <w:r>
        <w:t>”</w:t>
      </w:r>
      <w:r>
        <w:t>的时间表将按具体情况确定，若适用，还应咨询资深专家并考虑物种生物学。</w:t>
      </w:r>
    </w:p>
  </w:footnote>
  <w:footnote w:id="11">
    <w:p w:rsidR="00157FE3" w:rsidRPr="003C39E9" w:rsidRDefault="00157FE3" w:rsidP="00157FE3">
      <w:pPr>
        <w:pStyle w:val="FootnoteText"/>
        <w:jc w:val="both"/>
        <w:rPr>
          <w:rFonts w:cstheme="minorHAnsi"/>
        </w:rPr>
      </w:pPr>
      <w:r>
        <w:rPr>
          <w:rStyle w:val="FootnoteReference"/>
          <w:rFonts w:cstheme="minorHAnsi"/>
        </w:rPr>
        <w:footnoteRef/>
      </w:r>
      <w:r>
        <w:t xml:space="preserve"> </w:t>
      </w:r>
      <w:r>
        <w:t>本《环境与社会标准》中认定的法定保护区满足符合以下定义：</w:t>
      </w:r>
      <w:r>
        <w:t>“</w:t>
      </w:r>
      <w:r>
        <w:t>一个经法律或其他有效途径明确界定的，经过认可的、专用的、可管理的地理区域，其目的是长期保护自然及相关的生态系统服务和文化价值。</w:t>
      </w:r>
      <w:r>
        <w:t>”</w:t>
      </w:r>
      <w:r>
        <w:t>在本《环境与社会标准》中，其包括政府因上述定义提议的区域。</w:t>
      </w:r>
      <w:r>
        <w:t xml:space="preserve"> </w:t>
      </w:r>
    </w:p>
  </w:footnote>
  <w:footnote w:id="12">
    <w:p w:rsidR="00157FE3" w:rsidRDefault="00157FE3" w:rsidP="00157FE3">
      <w:pPr>
        <w:pStyle w:val="FootnoteText"/>
      </w:pPr>
      <w:r>
        <w:rPr>
          <w:rStyle w:val="FootnoteReference"/>
        </w:rPr>
        <w:footnoteRef/>
      </w:r>
      <w:r>
        <w:t xml:space="preserve"> </w:t>
      </w:r>
      <w:r>
        <w:t>生物自然资源可持续管理依据的全球、地区或国家认可标准符合下列条件：</w:t>
      </w:r>
      <w:r>
        <w:t>(a)</w:t>
      </w:r>
      <w:r>
        <w:t>客观且可实现；</w:t>
      </w:r>
      <w:r>
        <w:t>(b)</w:t>
      </w:r>
      <w:r>
        <w:t>建立在与多方利益相关者磋商的基础上；</w:t>
      </w:r>
      <w:r>
        <w:t>(c)</w:t>
      </w:r>
      <w:r>
        <w:t>鼓励阶梯式和持续改进；</w:t>
      </w:r>
      <w:r>
        <w:t>(d)</w:t>
      </w:r>
      <w:r>
        <w:t>通过适当的认证机构对这些标准提供独立认证。</w:t>
      </w:r>
    </w:p>
  </w:footnote>
  <w:footnote w:id="13">
    <w:p w:rsidR="00157FE3" w:rsidRPr="003C39E9" w:rsidRDefault="00157FE3" w:rsidP="00157FE3">
      <w:pPr>
        <w:pStyle w:val="FootnoteText"/>
        <w:jc w:val="both"/>
        <w:rPr>
          <w:rFonts w:cstheme="minorHAnsi"/>
        </w:rPr>
      </w:pPr>
      <w:r>
        <w:rPr>
          <w:rStyle w:val="FootnoteReference"/>
          <w:rFonts w:cstheme="minorHAnsi"/>
        </w:rPr>
        <w:footnoteRef/>
      </w:r>
      <w:r>
        <w:t xml:space="preserve"> </w:t>
      </w:r>
      <w:r>
        <w:t>主要供应商是指正在持续为为项目核心业务过程，直接为项目提供必要货物或原料的供应商。项目的核心功能是指对某一项目活动至关重要的生产和</w:t>
      </w:r>
      <w:r>
        <w:t>/</w:t>
      </w:r>
      <w:r>
        <w:t>或服务过程，项目进行缺之不可。</w:t>
      </w:r>
    </w:p>
  </w:footnote>
  <w:footnote w:id="14">
    <w:p w:rsidR="00157FE3" w:rsidRDefault="00157FE3" w:rsidP="00157FE3">
      <w:pPr>
        <w:pStyle w:val="FootnoteText"/>
        <w:jc w:val="both"/>
      </w:pPr>
      <w:r>
        <w:rPr>
          <w:rStyle w:val="FootnoteReference"/>
        </w:rPr>
        <w:footnoteRef/>
      </w:r>
      <w:r>
        <w:t xml:space="preserve"> </w:t>
      </w:r>
      <w:r>
        <w:t>证明方式包括认证产品交付，或根据特定商品和</w:t>
      </w:r>
      <w:r>
        <w:t>/</w:t>
      </w:r>
      <w:r>
        <w:t>或地点的可靠计划验证进展。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E3" w:rsidRDefault="00157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906889965"/>
      <w:docPartObj>
        <w:docPartGallery w:val="Watermarks"/>
        <w:docPartUnique/>
      </w:docPartObj>
    </w:sdtPr>
    <w:sdtEndPr>
      <w:rPr>
        <w:b w:val="0"/>
        <w:bCs w:val="0"/>
      </w:rPr>
    </w:sdtEndPr>
    <w:sdtContent>
      <w:sdt>
        <w:sdtPr>
          <w:rPr>
            <w:b/>
            <w:bCs/>
            <w:sz w:val="32"/>
            <w:szCs w:val="32"/>
          </w:rPr>
          <w:id w:val="2100059406"/>
          <w:docPartObj>
            <w:docPartGallery w:val="Watermarks"/>
            <w:docPartUnique/>
          </w:docPartObj>
        </w:sdtPr>
        <w:sdtEndPr/>
        <w:sdtContent>
          <w:p w:rsidR="00157FE3" w:rsidRPr="00DC4E5F" w:rsidRDefault="00157FE3"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2015</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1</w:t>
            </w:r>
            <w:r>
              <w:rPr>
                <w:rFonts w:eastAsiaTheme="majorEastAsia" w:cstheme="majorBidi"/>
                <w:b/>
                <w:i/>
                <w:sz w:val="32"/>
                <w:bdr w:val="single" w:sz="4" w:space="0" w:color="auto"/>
              </w:rPr>
              <w:t>日</w:t>
            </w:r>
          </w:p>
          <w:p w:rsidR="00157FE3" w:rsidRDefault="003C6F76" w:rsidP="008356C9">
            <w:pPr>
              <w:pStyle w:val="Header"/>
              <w:jc w:val="both"/>
              <w:rPr>
                <w:sz w:val="32"/>
                <w:szCs w:val="32"/>
              </w:rPr>
            </w:pPr>
          </w:p>
        </w:sdtContent>
      </w:sdt>
    </w:sdtContent>
  </w:sdt>
  <w:p w:rsidR="00157FE3" w:rsidRPr="00665748" w:rsidRDefault="00157FE3" w:rsidP="00247660">
    <w:pPr>
      <w:pStyle w:val="Header"/>
      <w:spacing w:before="240" w:after="240"/>
      <w:jc w:val="center"/>
      <w:rPr>
        <w:rFonts w:eastAsiaTheme="minorHAnsi" w:cs="SimSun"/>
        <w:b/>
        <w:color w:val="00B050"/>
        <w:sz w:val="10"/>
        <w:szCs w:val="10"/>
      </w:rPr>
    </w:pPr>
    <w:r>
      <w:rPr>
        <w:rFonts w:eastAsiaTheme="minorHAnsi"/>
        <w:b/>
        <w:color w:val="00B050"/>
        <w:sz w:val="28"/>
      </w:rPr>
      <w:t xml:space="preserve"> 环境与社会标准6.生物多样性保护和生物自然资源的可持续管理</w:t>
    </w:r>
  </w:p>
  <w:p w:rsidR="00157FE3" w:rsidRPr="00665748" w:rsidRDefault="00157FE3" w:rsidP="007C5E5F">
    <w:pPr>
      <w:pStyle w:val="Header"/>
      <w:jc w:val="center"/>
      <w:rPr>
        <w:rFonts w:eastAsiaTheme="minorHAnsi" w:cs="ITC Franklin Gothic Std Med"/>
        <w:b/>
        <w:color w:val="00B05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979195181"/>
      <w:docPartObj>
        <w:docPartGallery w:val="Watermarks"/>
        <w:docPartUnique/>
      </w:docPartObj>
    </w:sdtPr>
    <w:sdtEndPr>
      <w:rPr>
        <w:b w:val="0"/>
        <w:bCs w:val="0"/>
      </w:rPr>
    </w:sdtEndPr>
    <w:sdtContent>
      <w:sdt>
        <w:sdtPr>
          <w:rPr>
            <w:b/>
            <w:bCs/>
            <w:sz w:val="32"/>
            <w:szCs w:val="32"/>
          </w:rPr>
          <w:id w:val="42261485"/>
          <w:docPartObj>
            <w:docPartGallery w:val="Watermarks"/>
            <w:docPartUnique/>
          </w:docPartObj>
        </w:sdtPr>
        <w:sdtEndPr/>
        <w:sdtContent>
          <w:p w:rsidR="00157FE3" w:rsidRDefault="00157FE3" w:rsidP="00252BAB">
            <w:pPr>
              <w:pStyle w:val="Header"/>
              <w:jc w:val="center"/>
              <w:rPr>
                <w:rFonts w:eastAsiaTheme="majorEastAsia" w:cstheme="majorBidi"/>
                <w:b/>
                <w:i/>
                <w:sz w:val="32"/>
                <w:bdr w:val="single" w:sz="4" w:space="0" w:color="auto"/>
              </w:rPr>
            </w:pP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2015</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1</w:t>
            </w:r>
            <w:r>
              <w:rPr>
                <w:rFonts w:eastAsiaTheme="majorEastAsia" w:cstheme="majorBidi"/>
                <w:b/>
                <w:i/>
                <w:sz w:val="32"/>
                <w:bdr w:val="single" w:sz="4" w:space="0" w:color="auto"/>
              </w:rPr>
              <w:t>日</w:t>
            </w:r>
          </w:p>
          <w:p w:rsidR="00FC421F" w:rsidRDefault="00FC421F" w:rsidP="00252BAB">
            <w:pPr>
              <w:pStyle w:val="Header"/>
              <w:jc w:val="center"/>
              <w:rPr>
                <w:rFonts w:eastAsia="SimSun" w:cstheme="majorBidi"/>
                <w:b/>
                <w:i/>
                <w:sz w:val="32"/>
                <w:bdr w:val="single" w:sz="4" w:space="0" w:color="auto"/>
              </w:rPr>
            </w:pPr>
          </w:p>
          <w:p w:rsidR="00FC421F" w:rsidRPr="00FC421F" w:rsidRDefault="00FC421F" w:rsidP="00252BAB">
            <w:pPr>
              <w:pStyle w:val="Header"/>
              <w:jc w:val="center"/>
              <w:rPr>
                <w:rFonts w:eastAsia="SimSun" w:cstheme="majorBidi" w:hint="eastAsia"/>
                <w:b/>
                <w:bCs/>
                <w:i/>
                <w:iCs/>
                <w:sz w:val="32"/>
                <w:szCs w:val="32"/>
              </w:rPr>
            </w:pPr>
            <w:r>
              <w:rPr>
                <w:rFonts w:eastAsia="SimSun" w:cstheme="majorBidi" w:hint="eastAsia"/>
                <w:b/>
                <w:bCs/>
                <w:i/>
                <w:iCs/>
                <w:sz w:val="32"/>
                <w:szCs w:val="32"/>
              </w:rPr>
              <w:t>本草案中的内容仅供磋商使用，且尚未获得国际复兴开发银行和国际开发协会执行董事会的批准</w:t>
            </w:r>
            <w:bookmarkStart w:id="32" w:name="_GoBack"/>
            <w:bookmarkEnd w:id="32"/>
          </w:p>
          <w:p w:rsidR="00157FE3" w:rsidRDefault="003C6F76" w:rsidP="008356C9">
            <w:pPr>
              <w:pStyle w:val="Header"/>
              <w:jc w:val="both"/>
              <w:rPr>
                <w:sz w:val="32"/>
                <w:szCs w:val="32"/>
              </w:rPr>
            </w:pP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635F"/>
    <w:multiLevelType w:val="hybridMultilevel"/>
    <w:tmpl w:val="E870D0B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87097"/>
    <w:multiLevelType w:val="hybridMultilevel"/>
    <w:tmpl w:val="594ADF3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6691237D"/>
    <w:multiLevelType w:val="hybridMultilevel"/>
    <w:tmpl w:val="D2B63D60"/>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72A61850"/>
    <w:multiLevelType w:val="hybridMultilevel"/>
    <w:tmpl w:val="D56C1778"/>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7ADA56FB"/>
    <w:multiLevelType w:val="hybridMultilevel"/>
    <w:tmpl w:val="5470DC18"/>
    <w:lvl w:ilvl="0" w:tplc="EF7E636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7"/>
    <w:lvlOverride w:ilvl="0">
      <w:startOverride w:val="1"/>
    </w:lvlOverride>
  </w:num>
  <w:num w:numId="5">
    <w:abstractNumId w:val="4"/>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E3"/>
    <w:rsid w:val="000439E6"/>
    <w:rsid w:val="00087927"/>
    <w:rsid w:val="00097685"/>
    <w:rsid w:val="000A3F4F"/>
    <w:rsid w:val="000B37D3"/>
    <w:rsid w:val="001047FA"/>
    <w:rsid w:val="0011052E"/>
    <w:rsid w:val="00155E7B"/>
    <w:rsid w:val="00157FE3"/>
    <w:rsid w:val="00164285"/>
    <w:rsid w:val="00166B52"/>
    <w:rsid w:val="00184F4D"/>
    <w:rsid w:val="001C6F79"/>
    <w:rsid w:val="001E3A09"/>
    <w:rsid w:val="00205A67"/>
    <w:rsid w:val="002A3809"/>
    <w:rsid w:val="002F4F14"/>
    <w:rsid w:val="0031443B"/>
    <w:rsid w:val="0032742B"/>
    <w:rsid w:val="003A318B"/>
    <w:rsid w:val="003C544C"/>
    <w:rsid w:val="003C6F76"/>
    <w:rsid w:val="00476547"/>
    <w:rsid w:val="004A7BE4"/>
    <w:rsid w:val="004B58F4"/>
    <w:rsid w:val="00504481"/>
    <w:rsid w:val="00540BAA"/>
    <w:rsid w:val="00563029"/>
    <w:rsid w:val="005638C3"/>
    <w:rsid w:val="00593C43"/>
    <w:rsid w:val="00606986"/>
    <w:rsid w:val="00627ACC"/>
    <w:rsid w:val="006462D1"/>
    <w:rsid w:val="00651B43"/>
    <w:rsid w:val="00655C75"/>
    <w:rsid w:val="00656EB4"/>
    <w:rsid w:val="00691640"/>
    <w:rsid w:val="00692118"/>
    <w:rsid w:val="006D66A0"/>
    <w:rsid w:val="006F25CC"/>
    <w:rsid w:val="00705F54"/>
    <w:rsid w:val="007077E8"/>
    <w:rsid w:val="00753D3C"/>
    <w:rsid w:val="007F4184"/>
    <w:rsid w:val="00800088"/>
    <w:rsid w:val="00804B76"/>
    <w:rsid w:val="008878BA"/>
    <w:rsid w:val="008E5530"/>
    <w:rsid w:val="00962A0E"/>
    <w:rsid w:val="00966F74"/>
    <w:rsid w:val="009820F6"/>
    <w:rsid w:val="00987A7D"/>
    <w:rsid w:val="009A1260"/>
    <w:rsid w:val="009C0A20"/>
    <w:rsid w:val="009E4BE5"/>
    <w:rsid w:val="00A3483E"/>
    <w:rsid w:val="00A4537D"/>
    <w:rsid w:val="00A64ECB"/>
    <w:rsid w:val="00A84CB2"/>
    <w:rsid w:val="00B207BC"/>
    <w:rsid w:val="00B47837"/>
    <w:rsid w:val="00B70153"/>
    <w:rsid w:val="00B766FF"/>
    <w:rsid w:val="00B81AF7"/>
    <w:rsid w:val="00BA6E4A"/>
    <w:rsid w:val="00BB2573"/>
    <w:rsid w:val="00BC2905"/>
    <w:rsid w:val="00C12564"/>
    <w:rsid w:val="00C163AC"/>
    <w:rsid w:val="00C201DD"/>
    <w:rsid w:val="00C35B92"/>
    <w:rsid w:val="00C50076"/>
    <w:rsid w:val="00C70A5C"/>
    <w:rsid w:val="00C756C9"/>
    <w:rsid w:val="00CA3828"/>
    <w:rsid w:val="00CC5F31"/>
    <w:rsid w:val="00CE074B"/>
    <w:rsid w:val="00CF2CBD"/>
    <w:rsid w:val="00D25429"/>
    <w:rsid w:val="00D54663"/>
    <w:rsid w:val="00D57078"/>
    <w:rsid w:val="00D920A3"/>
    <w:rsid w:val="00DA3D46"/>
    <w:rsid w:val="00DB7CA7"/>
    <w:rsid w:val="00DE23AD"/>
    <w:rsid w:val="00DE6601"/>
    <w:rsid w:val="00E40BC6"/>
    <w:rsid w:val="00E5292D"/>
    <w:rsid w:val="00EA749C"/>
    <w:rsid w:val="00F16203"/>
    <w:rsid w:val="00F53C00"/>
    <w:rsid w:val="00F875F0"/>
    <w:rsid w:val="00F96575"/>
    <w:rsid w:val="00FC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DD08B-24A9-43DA-B254-20280012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FE3"/>
    <w:pPr>
      <w:spacing w:after="200" w:line="276" w:lineRule="auto"/>
    </w:pPr>
    <w:rPr>
      <w:rFonts w:eastAsiaTheme="minorEastAsia"/>
      <w:lang w:val="zh-CN" w:eastAsia="zh-CN" w:bidi="zh-CN"/>
    </w:rPr>
  </w:style>
  <w:style w:type="paragraph" w:styleId="Heading1">
    <w:name w:val="heading 1"/>
    <w:basedOn w:val="Normal"/>
    <w:next w:val="Normal"/>
    <w:link w:val="Heading1Char"/>
    <w:qFormat/>
    <w:rsid w:val="00157FE3"/>
    <w:pPr>
      <w:keepNext/>
      <w:keepLines/>
      <w:numPr>
        <w:numId w:val="2"/>
      </w:numPr>
      <w:spacing w:before="480" w:after="0"/>
      <w:jc w:val="center"/>
      <w:outlineLvl w:val="0"/>
    </w:pPr>
    <w:rPr>
      <w:rFonts w:ascii="SimSun" w:eastAsiaTheme="majorEastAsia" w:hAnsi="SimSun" w:cstheme="majorBidi"/>
      <w:b/>
      <w:bCs/>
      <w:color w:val="00B050"/>
      <w:sz w:val="32"/>
      <w:szCs w:val="28"/>
    </w:rPr>
  </w:style>
  <w:style w:type="paragraph" w:styleId="Heading2">
    <w:name w:val="heading 2"/>
    <w:basedOn w:val="Normal"/>
    <w:next w:val="Normal"/>
    <w:link w:val="Heading2Char"/>
    <w:autoRedefine/>
    <w:unhideWhenUsed/>
    <w:qFormat/>
    <w:rsid w:val="00157FE3"/>
    <w:pPr>
      <w:keepNext/>
      <w:keepLines/>
      <w:numPr>
        <w:ilvl w:val="1"/>
        <w:numId w:val="2"/>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157FE3"/>
    <w:pPr>
      <w:keepNext/>
      <w:keepLines/>
      <w:widowControl w:val="0"/>
      <w:numPr>
        <w:ilvl w:val="2"/>
        <w:numId w:val="2"/>
      </w:numPr>
      <w:spacing w:before="240" w:after="120" w:line="240" w:lineRule="auto"/>
      <w:jc w:val="both"/>
      <w:outlineLvl w:val="2"/>
    </w:pPr>
    <w:rPr>
      <w:rFonts w:cs="SimSun"/>
      <w:b/>
      <w:color w:val="00B050"/>
      <w:sz w:val="24"/>
      <w:szCs w:val="26"/>
      <w:lang w:val="zh-CN" w:eastAsia="zh-CN" w:bidi="zh-CN"/>
    </w:rPr>
  </w:style>
  <w:style w:type="paragraph" w:styleId="Heading4">
    <w:name w:val="heading 4"/>
    <w:basedOn w:val="Normal"/>
    <w:next w:val="Normal"/>
    <w:link w:val="Heading4Char"/>
    <w:unhideWhenUsed/>
    <w:qFormat/>
    <w:rsid w:val="00157FE3"/>
    <w:pPr>
      <w:keepNext/>
      <w:keepLines/>
      <w:numPr>
        <w:ilvl w:val="3"/>
        <w:numId w:val="2"/>
      </w:numPr>
      <w:spacing w:before="120" w:after="120" w:line="240" w:lineRule="auto"/>
      <w:jc w:val="both"/>
      <w:outlineLvl w:val="3"/>
    </w:pPr>
    <w:rPr>
      <w:rFonts w:eastAsiaTheme="minorHAnsi" w:cs="SimSun"/>
      <w:b/>
      <w:i/>
      <w:color w:val="00B050"/>
      <w:szCs w:val="24"/>
    </w:rPr>
  </w:style>
  <w:style w:type="paragraph" w:styleId="Heading5">
    <w:name w:val="heading 5"/>
    <w:basedOn w:val="Normal"/>
    <w:next w:val="Normal"/>
    <w:link w:val="Heading5Char"/>
    <w:uiPriority w:val="9"/>
    <w:unhideWhenUsed/>
    <w:qFormat/>
    <w:rsid w:val="00157FE3"/>
    <w:pPr>
      <w:widowControl w:val="0"/>
      <w:numPr>
        <w:ilvl w:val="4"/>
        <w:numId w:val="2"/>
      </w:numPr>
      <w:autoSpaceDE w:val="0"/>
      <w:autoSpaceDN w:val="0"/>
      <w:adjustRightInd w:val="0"/>
      <w:spacing w:before="120" w:after="120" w:line="240" w:lineRule="auto"/>
      <w:jc w:val="both"/>
      <w:outlineLvl w:val="4"/>
    </w:pPr>
    <w:rPr>
      <w:rFonts w:eastAsiaTheme="minorHAnsi" w:cs="SimSun"/>
      <w:b/>
      <w:i/>
      <w:iCs/>
      <w:color w:val="C45911" w:themeColor="accent2" w:themeShade="BF"/>
      <w:sz w:val="24"/>
      <w:szCs w:val="24"/>
    </w:rPr>
  </w:style>
  <w:style w:type="paragraph" w:styleId="Heading6">
    <w:name w:val="heading 6"/>
    <w:basedOn w:val="Normal"/>
    <w:next w:val="Normal"/>
    <w:link w:val="Heading6Char"/>
    <w:uiPriority w:val="9"/>
    <w:semiHidden/>
    <w:unhideWhenUsed/>
    <w:qFormat/>
    <w:rsid w:val="00157FE3"/>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57FE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7FE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7FE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FE3"/>
    <w:rPr>
      <w:rFonts w:ascii="SimSun" w:eastAsiaTheme="majorEastAsia" w:hAnsi="SimSun" w:cstheme="majorBidi"/>
      <w:b/>
      <w:bCs/>
      <w:color w:val="00B050"/>
      <w:sz w:val="32"/>
      <w:szCs w:val="28"/>
      <w:lang w:val="zh-CN" w:eastAsia="zh-CN" w:bidi="zh-CN"/>
    </w:rPr>
  </w:style>
  <w:style w:type="character" w:customStyle="1" w:styleId="Heading2Char">
    <w:name w:val="Heading 2 Char"/>
    <w:basedOn w:val="DefaultParagraphFont"/>
    <w:link w:val="Heading2"/>
    <w:rsid w:val="00157FE3"/>
    <w:rPr>
      <w:rFonts w:eastAsiaTheme="majorEastAsia" w:cstheme="majorBidi"/>
      <w:b/>
      <w:bCs/>
      <w:color w:val="00B050"/>
      <w:sz w:val="24"/>
      <w:szCs w:val="26"/>
      <w:lang w:val="zh-CN" w:eastAsia="zh-CN" w:bidi="zh-CN"/>
    </w:rPr>
  </w:style>
  <w:style w:type="character" w:customStyle="1" w:styleId="Heading3Char">
    <w:name w:val="Heading 3 Char"/>
    <w:basedOn w:val="DefaultParagraphFont"/>
    <w:link w:val="Heading3"/>
    <w:rsid w:val="00157FE3"/>
    <w:rPr>
      <w:rFonts w:cs="SimSun"/>
      <w:b/>
      <w:color w:val="00B050"/>
      <w:sz w:val="24"/>
      <w:szCs w:val="26"/>
      <w:lang w:val="zh-CN" w:eastAsia="zh-CN" w:bidi="zh-CN"/>
    </w:rPr>
  </w:style>
  <w:style w:type="character" w:customStyle="1" w:styleId="Heading4Char">
    <w:name w:val="Heading 4 Char"/>
    <w:basedOn w:val="DefaultParagraphFont"/>
    <w:link w:val="Heading4"/>
    <w:rsid w:val="00157FE3"/>
    <w:rPr>
      <w:rFonts w:cs="SimSun"/>
      <w:b/>
      <w:i/>
      <w:color w:val="00B050"/>
      <w:szCs w:val="24"/>
      <w:lang w:val="zh-CN" w:eastAsia="zh-CN" w:bidi="zh-CN"/>
    </w:rPr>
  </w:style>
  <w:style w:type="character" w:customStyle="1" w:styleId="Heading5Char">
    <w:name w:val="Heading 5 Char"/>
    <w:basedOn w:val="DefaultParagraphFont"/>
    <w:link w:val="Heading5"/>
    <w:uiPriority w:val="9"/>
    <w:rsid w:val="00157FE3"/>
    <w:rPr>
      <w:rFonts w:cs="SimSun"/>
      <w:b/>
      <w:i/>
      <w:iCs/>
      <w:color w:val="C45911" w:themeColor="accent2" w:themeShade="BF"/>
      <w:sz w:val="24"/>
      <w:szCs w:val="24"/>
      <w:lang w:val="zh-CN" w:eastAsia="zh-CN" w:bidi="zh-CN"/>
    </w:rPr>
  </w:style>
  <w:style w:type="character" w:customStyle="1" w:styleId="Heading6Char">
    <w:name w:val="Heading 6 Char"/>
    <w:basedOn w:val="DefaultParagraphFont"/>
    <w:link w:val="Heading6"/>
    <w:uiPriority w:val="9"/>
    <w:semiHidden/>
    <w:rsid w:val="00157FE3"/>
    <w:rPr>
      <w:rFonts w:asciiTheme="majorHAnsi" w:eastAsiaTheme="majorEastAsia" w:hAnsiTheme="majorHAnsi" w:cstheme="majorBidi"/>
      <w:i/>
      <w:iCs/>
      <w:color w:val="1F4D78" w:themeColor="accent1" w:themeShade="7F"/>
      <w:lang w:val="zh-CN" w:eastAsia="zh-CN" w:bidi="zh-CN"/>
    </w:rPr>
  </w:style>
  <w:style w:type="character" w:customStyle="1" w:styleId="Heading7Char">
    <w:name w:val="Heading 7 Char"/>
    <w:basedOn w:val="DefaultParagraphFont"/>
    <w:link w:val="Heading7"/>
    <w:uiPriority w:val="9"/>
    <w:semiHidden/>
    <w:rsid w:val="00157FE3"/>
    <w:rPr>
      <w:rFonts w:asciiTheme="majorHAnsi" w:eastAsiaTheme="majorEastAsia" w:hAnsiTheme="majorHAnsi" w:cstheme="majorBidi"/>
      <w:i/>
      <w:iCs/>
      <w:color w:val="404040" w:themeColor="text1" w:themeTint="BF"/>
      <w:lang w:val="zh-CN" w:eastAsia="zh-CN" w:bidi="zh-CN"/>
    </w:rPr>
  </w:style>
  <w:style w:type="character" w:customStyle="1" w:styleId="Heading8Char">
    <w:name w:val="Heading 8 Char"/>
    <w:basedOn w:val="DefaultParagraphFont"/>
    <w:link w:val="Heading8"/>
    <w:uiPriority w:val="9"/>
    <w:semiHidden/>
    <w:rsid w:val="00157FE3"/>
    <w:rPr>
      <w:rFonts w:asciiTheme="majorHAnsi" w:eastAsiaTheme="majorEastAsia" w:hAnsiTheme="majorHAnsi" w:cstheme="majorBidi"/>
      <w:color w:val="404040" w:themeColor="text1" w:themeTint="BF"/>
      <w:sz w:val="20"/>
      <w:szCs w:val="20"/>
      <w:lang w:val="zh-CN" w:eastAsia="zh-CN" w:bidi="zh-CN"/>
    </w:rPr>
  </w:style>
  <w:style w:type="character" w:customStyle="1" w:styleId="Heading9Char">
    <w:name w:val="Heading 9 Char"/>
    <w:basedOn w:val="DefaultParagraphFont"/>
    <w:link w:val="Heading9"/>
    <w:uiPriority w:val="9"/>
    <w:semiHidden/>
    <w:rsid w:val="00157FE3"/>
    <w:rPr>
      <w:rFonts w:asciiTheme="majorHAnsi" w:eastAsiaTheme="majorEastAsia" w:hAnsiTheme="majorHAnsi" w:cstheme="majorBidi"/>
      <w:i/>
      <w:iCs/>
      <w:color w:val="404040" w:themeColor="text1" w:themeTint="BF"/>
      <w:sz w:val="20"/>
      <w:szCs w:val="20"/>
      <w:lang w:val="zh-CN" w:eastAsia="zh-CN" w:bidi="zh-CN"/>
    </w:rPr>
  </w:style>
  <w:style w:type="paragraph" w:styleId="Header">
    <w:name w:val="header"/>
    <w:basedOn w:val="Normal"/>
    <w:link w:val="HeaderChar"/>
    <w:uiPriority w:val="99"/>
    <w:unhideWhenUsed/>
    <w:rsid w:val="00157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FE3"/>
    <w:rPr>
      <w:rFonts w:eastAsiaTheme="minorEastAsia"/>
      <w:lang w:val="zh-CN" w:eastAsia="zh-CN" w:bidi="zh-CN"/>
    </w:rPr>
  </w:style>
  <w:style w:type="paragraph" w:styleId="FootnoteText">
    <w:name w:val="footnote text"/>
    <w:aliases w:val="fn,single space,footnote text"/>
    <w:basedOn w:val="Normal"/>
    <w:link w:val="FootnoteTextChar"/>
    <w:uiPriority w:val="99"/>
    <w:unhideWhenUsed/>
    <w:rsid w:val="00157FE3"/>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157FE3"/>
    <w:rPr>
      <w:rFonts w:eastAsiaTheme="minorEastAsia"/>
      <w:sz w:val="20"/>
      <w:szCs w:val="20"/>
      <w:lang w:val="zh-CN" w:eastAsia="zh-CN" w:bidi="zh-CN"/>
    </w:rPr>
  </w:style>
  <w:style w:type="character" w:styleId="FootnoteReference">
    <w:name w:val="footnote reference"/>
    <w:basedOn w:val="DefaultParagraphFont"/>
    <w:uiPriority w:val="99"/>
    <w:unhideWhenUsed/>
    <w:rsid w:val="00157FE3"/>
    <w:rPr>
      <w:vertAlign w:val="superscript"/>
    </w:rPr>
  </w:style>
  <w:style w:type="paragraph" w:customStyle="1" w:styleId="ESSpara">
    <w:name w:val="ESS para"/>
    <w:basedOn w:val="Normal"/>
    <w:link w:val="ESSparaChar"/>
    <w:qFormat/>
    <w:rsid w:val="00157FE3"/>
    <w:pPr>
      <w:numPr>
        <w:numId w:val="1"/>
      </w:numPr>
      <w:spacing w:after="240" w:line="240" w:lineRule="auto"/>
      <w:jc w:val="both"/>
    </w:pPr>
  </w:style>
  <w:style w:type="character" w:customStyle="1" w:styleId="ESSparaChar">
    <w:name w:val="ESS para Char"/>
    <w:basedOn w:val="DefaultParagraphFont"/>
    <w:link w:val="ESSpara"/>
    <w:rsid w:val="00157FE3"/>
    <w:rPr>
      <w:rFonts w:eastAsiaTheme="minorEastAsia"/>
      <w:lang w:val="zh-CN" w:eastAsia="zh-CN" w:bidi="zh-CN"/>
    </w:rPr>
  </w:style>
  <w:style w:type="paragraph" w:customStyle="1" w:styleId="essalpha">
    <w:name w:val="ess alpha"/>
    <w:basedOn w:val="ListParagraph"/>
    <w:link w:val="essalphaChar"/>
    <w:qFormat/>
    <w:rsid w:val="00157FE3"/>
    <w:pPr>
      <w:spacing w:after="240" w:line="240" w:lineRule="auto"/>
      <w:ind w:left="0"/>
      <w:contextualSpacing w:val="0"/>
      <w:jc w:val="both"/>
    </w:pPr>
    <w:rPr>
      <w:rFonts w:cs="SimSun"/>
    </w:rPr>
  </w:style>
  <w:style w:type="character" w:customStyle="1" w:styleId="essalphaChar">
    <w:name w:val="ess alpha Char"/>
    <w:basedOn w:val="DefaultParagraphFont"/>
    <w:link w:val="essalpha"/>
    <w:rsid w:val="00157FE3"/>
    <w:rPr>
      <w:rFonts w:eastAsiaTheme="minorEastAsia" w:cs="SimSun"/>
      <w:lang w:val="zh-CN" w:eastAsia="zh-CN" w:bidi="zh-CN"/>
    </w:rPr>
  </w:style>
  <w:style w:type="paragraph" w:customStyle="1" w:styleId="essbullet">
    <w:name w:val="ess bullet"/>
    <w:basedOn w:val="essalpha"/>
    <w:qFormat/>
    <w:rsid w:val="00157FE3"/>
    <w:pPr>
      <w:numPr>
        <w:ilvl w:val="1"/>
        <w:numId w:val="3"/>
      </w:numPr>
      <w:tabs>
        <w:tab w:val="left" w:pos="1080"/>
      </w:tabs>
      <w:ind w:left="1080"/>
    </w:pPr>
  </w:style>
  <w:style w:type="paragraph" w:customStyle="1" w:styleId="essobjbull">
    <w:name w:val="ess obj bull"/>
    <w:basedOn w:val="essbullet"/>
    <w:link w:val="essobjbullChar"/>
    <w:qFormat/>
    <w:rsid w:val="00157FE3"/>
    <w:pPr>
      <w:spacing w:after="120"/>
      <w:ind w:left="360"/>
    </w:pPr>
  </w:style>
  <w:style w:type="character" w:customStyle="1" w:styleId="essobjbullChar">
    <w:name w:val="ess obj bull Char"/>
    <w:basedOn w:val="DefaultParagraphFont"/>
    <w:link w:val="essobjbull"/>
    <w:rsid w:val="00157FE3"/>
    <w:rPr>
      <w:rFonts w:eastAsiaTheme="minorEastAsia" w:cs="SimSun"/>
      <w:lang w:val="zh-CN" w:eastAsia="zh-CN" w:bidi="zh-CN"/>
    </w:rPr>
  </w:style>
  <w:style w:type="paragraph" w:styleId="ListParagraph">
    <w:name w:val="List Paragraph"/>
    <w:basedOn w:val="Normal"/>
    <w:uiPriority w:val="34"/>
    <w:qFormat/>
    <w:rsid w:val="00157FE3"/>
    <w:pPr>
      <w:ind w:left="720"/>
      <w:contextualSpacing/>
    </w:pPr>
  </w:style>
  <w:style w:type="paragraph" w:styleId="Footer">
    <w:name w:val="footer"/>
    <w:basedOn w:val="Normal"/>
    <w:link w:val="FooterChar"/>
    <w:uiPriority w:val="99"/>
    <w:unhideWhenUsed/>
    <w:rsid w:val="00FC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21F"/>
    <w:rPr>
      <w:rFonts w:eastAsiaTheme="minorEastAsia"/>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3</cp:revision>
  <dcterms:created xsi:type="dcterms:W3CDTF">2015-09-16T17:08:00Z</dcterms:created>
  <dcterms:modified xsi:type="dcterms:W3CDTF">2015-09-16T17:32:00Z</dcterms:modified>
</cp:coreProperties>
</file>