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4B" w:rsidRDefault="006F6C4B" w:rsidP="006F6C4B">
      <w:pPr>
        <w:pStyle w:val="Heading1"/>
        <w:numPr>
          <w:ilvl w:val="0"/>
          <w:numId w:val="0"/>
        </w:numPr>
        <w:spacing w:before="240" w:after="240" w:line="240" w:lineRule="auto"/>
      </w:pPr>
      <w:r>
        <w:t>环境与社会标准</w:t>
      </w:r>
      <w:r>
        <w:t>8</w:t>
      </w:r>
    </w:p>
    <w:p w:rsidR="006F6C4B" w:rsidRPr="002B2DDE" w:rsidRDefault="006F6C4B" w:rsidP="006F6C4B">
      <w:pPr>
        <w:pStyle w:val="Heading1"/>
        <w:numPr>
          <w:ilvl w:val="0"/>
          <w:numId w:val="0"/>
        </w:numPr>
        <w:spacing w:before="240" w:after="240" w:line="240" w:lineRule="auto"/>
        <w:rPr>
          <w:rFonts w:cs="SimSun"/>
          <w:sz w:val="20"/>
        </w:rPr>
      </w:pPr>
      <w:r>
        <w:t>文化遗产简介</w:t>
      </w:r>
    </w:p>
    <w:p w:rsidR="006F6C4B" w:rsidRPr="00811E2A" w:rsidRDefault="006F6C4B" w:rsidP="006F6C4B">
      <w:pPr>
        <w:pStyle w:val="Heading2"/>
      </w:pPr>
      <w:bookmarkStart w:id="0" w:name="_Toc394499222"/>
      <w:bookmarkStart w:id="1" w:name="_Toc423449584"/>
      <w:bookmarkStart w:id="2" w:name="_Toc426539807"/>
      <w:r>
        <w:t>简介</w:t>
      </w:r>
      <w:bookmarkEnd w:id="0"/>
      <w:bookmarkEnd w:id="1"/>
      <w:bookmarkEnd w:id="2"/>
    </w:p>
    <w:p w:rsidR="006F6C4B" w:rsidRPr="002A1557" w:rsidRDefault="006F6C4B" w:rsidP="006F6C4B">
      <w:pPr>
        <w:pStyle w:val="ESSpara"/>
        <w:numPr>
          <w:ilvl w:val="0"/>
          <w:numId w:val="6"/>
        </w:numPr>
        <w:ind w:left="0" w:firstLine="0"/>
      </w:pPr>
      <w:r>
        <w:t>《环境与社会标准</w:t>
      </w:r>
      <w:r>
        <w:t>8</w:t>
      </w:r>
      <w:r>
        <w:t>》承认文化遗产以有形和无形形式在过去、现在和将来持续传承。人们认定文化遗产是对人类不断发展的价值观、信仰、知识和传统的反映和表达。文化遗产作为一种宝贵的科学和历史信息来源、经济和社会发展的资产以及人们文化身份和习俗不可分割的一部分，在很多方面都非常重要。《环境与社会标准</w:t>
      </w:r>
      <w:r>
        <w:t>8</w:t>
      </w:r>
      <w:r>
        <w:t>》目的在于确保借款国在项目周期内对文化遗产进行保护。</w:t>
      </w:r>
    </w:p>
    <w:p w:rsidR="006F6C4B" w:rsidRPr="001B7184" w:rsidRDefault="006F6C4B" w:rsidP="006F6C4B">
      <w:pPr>
        <w:pStyle w:val="ESSpara"/>
        <w:ind w:left="0" w:firstLine="0"/>
      </w:pPr>
      <w:r>
        <w:t>《环境与社会标准》提出了对项目活动文化遗产风险和影响的一般规定。《环境与社会标准</w:t>
      </w:r>
      <w:r>
        <w:t>7</w:t>
      </w:r>
      <w:r>
        <w:t>》提出了在土著居民的背景下，对文化遗产的附加要求。《环境与社会标准</w:t>
      </w:r>
      <w:r>
        <w:t>6</w:t>
      </w:r>
      <w:r>
        <w:t>》列明了生物多样性的社会和文化价值。《环境与社会标准</w:t>
      </w:r>
      <w:r>
        <w:t>10</w:t>
      </w:r>
      <w:r>
        <w:t>》中提出了对利益相关者参与和信息披露的规定。</w:t>
      </w:r>
    </w:p>
    <w:p w:rsidR="006F6C4B" w:rsidRPr="00811E2A" w:rsidRDefault="006F6C4B" w:rsidP="006F6C4B">
      <w:pPr>
        <w:pStyle w:val="Heading2"/>
      </w:pPr>
      <w:bookmarkStart w:id="3" w:name="_Toc394499223"/>
      <w:bookmarkStart w:id="4" w:name="_Toc423449585"/>
      <w:bookmarkStart w:id="5" w:name="_Toc426539808"/>
      <w:r>
        <w:t>目标</w:t>
      </w:r>
      <w:bookmarkEnd w:id="3"/>
      <w:bookmarkEnd w:id="4"/>
      <w:bookmarkEnd w:id="5"/>
    </w:p>
    <w:p w:rsidR="006F6C4B" w:rsidRPr="00F05AD3" w:rsidRDefault="006F6C4B" w:rsidP="006F6C4B">
      <w:pPr>
        <w:pStyle w:val="essobjbull"/>
      </w:pPr>
      <w:r>
        <w:t>保护文化遗产免受项目活动带来的不利影响，并且为其保护工作提供支持。</w:t>
      </w:r>
    </w:p>
    <w:p w:rsidR="006F6C4B" w:rsidRPr="00F05AD3" w:rsidRDefault="006F6C4B" w:rsidP="006F6C4B">
      <w:pPr>
        <w:pStyle w:val="essobjbull"/>
      </w:pPr>
      <w:r>
        <w:t>将文化遗产视为可持续发展的组成部分。</w:t>
      </w:r>
    </w:p>
    <w:p w:rsidR="006F6C4B" w:rsidRPr="00F05AD3" w:rsidRDefault="006F6C4B" w:rsidP="006F6C4B">
      <w:pPr>
        <w:pStyle w:val="essobjbull"/>
      </w:pPr>
      <w:r>
        <w:t>促进公平分享使用文化遗产所带来的收益。</w:t>
      </w:r>
    </w:p>
    <w:p w:rsidR="006F6C4B" w:rsidRPr="00811E2A" w:rsidRDefault="006F6C4B" w:rsidP="006F6C4B">
      <w:pPr>
        <w:pStyle w:val="Heading2"/>
      </w:pPr>
      <w:bookmarkStart w:id="6" w:name="_Toc394499224"/>
      <w:bookmarkStart w:id="7" w:name="_Toc423449586"/>
      <w:bookmarkStart w:id="8" w:name="_Toc426539809"/>
      <w:r>
        <w:t>适用范围</w:t>
      </w:r>
      <w:bookmarkEnd w:id="6"/>
      <w:bookmarkEnd w:id="7"/>
      <w:bookmarkEnd w:id="8"/>
    </w:p>
    <w:p w:rsidR="006F6C4B" w:rsidRPr="00F05AD3" w:rsidRDefault="006F6C4B" w:rsidP="006F6C4B">
      <w:pPr>
        <w:pStyle w:val="ESSpara"/>
        <w:ind w:left="0" w:firstLine="0"/>
      </w:pPr>
      <w:r>
        <w:t>本《环境与社会标准》的适用性在《环境与社会标准</w:t>
      </w:r>
      <w:r>
        <w:t>1</w:t>
      </w:r>
      <w:r>
        <w:t>》中所述的环境与社会评价期间确定。</w:t>
      </w:r>
    </w:p>
    <w:p w:rsidR="006F6C4B" w:rsidRPr="00944821" w:rsidRDefault="006F6C4B" w:rsidP="006F6C4B">
      <w:pPr>
        <w:pStyle w:val="ESSpara"/>
        <w:ind w:left="0" w:firstLine="0"/>
      </w:pPr>
      <w:r>
        <w:t>“</w:t>
      </w:r>
      <w:r>
        <w:t>文化遗产</w:t>
      </w:r>
      <w:r>
        <w:t>”</w:t>
      </w:r>
      <w:r>
        <w:t>术语包含物质文化遗产和非物质文化遗产，可能具有本地性、区域性、国家性甚至国际性认可和价值，如下所示：</w:t>
      </w:r>
    </w:p>
    <w:p w:rsidR="006F6C4B" w:rsidRPr="00B348E9" w:rsidRDefault="006F6C4B" w:rsidP="006F6C4B">
      <w:pPr>
        <w:pStyle w:val="ESSpara"/>
        <w:numPr>
          <w:ilvl w:val="0"/>
          <w:numId w:val="4"/>
        </w:numPr>
      </w:pPr>
      <w:r>
        <w:t>物质文化遗产，包括具有考古、古生物、历史、建筑、宗教、美学价值或其他文化意义的可移动或不可移动的物品、场所、建筑或建筑群以及自然地物和景观。可能位于城市或农村以及可能位于土下或水下的物质文化遗产；</w:t>
      </w:r>
    </w:p>
    <w:p w:rsidR="006F6C4B" w:rsidRPr="00944821" w:rsidRDefault="006F6C4B" w:rsidP="006F6C4B">
      <w:pPr>
        <w:pStyle w:val="ESSpara"/>
        <w:numPr>
          <w:ilvl w:val="0"/>
          <w:numId w:val="4"/>
        </w:numPr>
      </w:pPr>
      <w:r>
        <w:t>非物质文化遗产，包括惯例、表述、表达、知识、技能活动或生活传统、思想、信仰、艺术和文学作品。</w:t>
      </w:r>
    </w:p>
    <w:p w:rsidR="006F6C4B" w:rsidRPr="00F05AD3" w:rsidRDefault="006F6C4B" w:rsidP="006F6C4B">
      <w:pPr>
        <w:pStyle w:val="ESSpara"/>
        <w:ind w:left="0" w:firstLine="0"/>
      </w:pPr>
      <w:r>
        <w:t>根据环境与社会评价，本《环境与社会标准</w:t>
      </w:r>
      <w:r>
        <w:t>8</w:t>
      </w:r>
      <w:r>
        <w:t>》的要求将适用于可能对文化遗产具有风险或影响的所有项目。包括以下项目：</w:t>
      </w:r>
    </w:p>
    <w:p w:rsidR="006F6C4B" w:rsidRDefault="006F6C4B" w:rsidP="006F6C4B">
      <w:pPr>
        <w:pStyle w:val="essalpha"/>
        <w:numPr>
          <w:ilvl w:val="0"/>
          <w:numId w:val="5"/>
        </w:numPr>
      </w:pPr>
      <w:r>
        <w:t>涉及挖掘、拆除、地块运动、漫灌或其他物理环境变化；</w:t>
      </w:r>
      <w:r>
        <w:t xml:space="preserve"> </w:t>
      </w:r>
    </w:p>
    <w:p w:rsidR="006F6C4B" w:rsidRPr="00C51B87" w:rsidRDefault="006F6C4B" w:rsidP="006F6C4B">
      <w:pPr>
        <w:pStyle w:val="essalpha"/>
        <w:numPr>
          <w:ilvl w:val="0"/>
          <w:numId w:val="5"/>
        </w:numPr>
      </w:pPr>
      <w:r>
        <w:lastRenderedPageBreak/>
        <w:t>位于法定保护区或法定缓冲区；</w:t>
      </w:r>
    </w:p>
    <w:p w:rsidR="006F6C4B" w:rsidRDefault="006F6C4B" w:rsidP="006F6C4B">
      <w:pPr>
        <w:pStyle w:val="essalpha"/>
        <w:numPr>
          <w:ilvl w:val="0"/>
          <w:numId w:val="5"/>
        </w:numPr>
      </w:pPr>
      <w:r>
        <w:t>位于或靠近已确认的文化遗址；</w:t>
      </w:r>
    </w:p>
    <w:p w:rsidR="006F6C4B" w:rsidRPr="00B348E9" w:rsidRDefault="006F6C4B" w:rsidP="006F6C4B">
      <w:pPr>
        <w:pStyle w:val="essalpha"/>
        <w:numPr>
          <w:ilvl w:val="0"/>
          <w:numId w:val="5"/>
        </w:numPr>
      </w:pPr>
      <w:r>
        <w:t>专门设计用以支持文化遗产的保护、管理和使用。</w:t>
      </w:r>
    </w:p>
    <w:p w:rsidR="006F6C4B" w:rsidRDefault="006F6C4B" w:rsidP="006F6C4B">
      <w:pPr>
        <w:pStyle w:val="ESSpara"/>
        <w:ind w:left="0" w:firstLine="0"/>
      </w:pPr>
      <w:r>
        <w:t>《环境与社会标准</w:t>
      </w:r>
      <w:r>
        <w:t>8</w:t>
      </w:r>
      <w:r>
        <w:t>》的要求适用于文化遗产，无论它是否已经受到法律保护，或以前曾被认定，或曾遭到破坏。</w:t>
      </w:r>
      <w:r>
        <w:t xml:space="preserve">  </w:t>
      </w:r>
    </w:p>
    <w:p w:rsidR="006F6C4B" w:rsidRDefault="006F6C4B" w:rsidP="006F6C4B">
      <w:pPr>
        <w:pStyle w:val="ESSpara"/>
        <w:numPr>
          <w:ilvl w:val="0"/>
          <w:numId w:val="7"/>
        </w:numPr>
        <w:ind w:left="0" w:firstLine="0"/>
      </w:pPr>
      <w:r>
        <w:t>《环境与社会标准</w:t>
      </w:r>
      <w:r>
        <w:t>8</w:t>
      </w:r>
      <w:r>
        <w:t>》的要求适用于非物质文化遗产，只要其涉及项目的实物组件。</w:t>
      </w:r>
    </w:p>
    <w:p w:rsidR="006F6C4B" w:rsidRPr="00811E2A" w:rsidRDefault="006F6C4B" w:rsidP="006F6C4B">
      <w:pPr>
        <w:pStyle w:val="Heading2"/>
      </w:pPr>
      <w:bookmarkStart w:id="9" w:name="_Toc394499225"/>
      <w:bookmarkStart w:id="10" w:name="_Toc423449587"/>
      <w:bookmarkStart w:id="11" w:name="_Toc426539810"/>
      <w:r>
        <w:t>要求</w:t>
      </w:r>
      <w:bookmarkEnd w:id="9"/>
      <w:bookmarkEnd w:id="10"/>
      <w:bookmarkEnd w:id="11"/>
    </w:p>
    <w:p w:rsidR="006F6C4B" w:rsidRPr="00F05AD3" w:rsidRDefault="006F6C4B" w:rsidP="006F6C4B">
      <w:pPr>
        <w:pStyle w:val="Heading3"/>
        <w:ind w:left="0" w:firstLine="0"/>
      </w:pPr>
      <w:bookmarkStart w:id="12" w:name="_Toc394499226"/>
      <w:bookmarkStart w:id="13" w:name="_Toc423449588"/>
      <w:bookmarkStart w:id="14" w:name="_Toc426539811"/>
      <w:r>
        <w:t>综述</w:t>
      </w:r>
      <w:bookmarkEnd w:id="12"/>
      <w:bookmarkEnd w:id="13"/>
      <w:bookmarkEnd w:id="14"/>
    </w:p>
    <w:p w:rsidR="006F6C4B" w:rsidRPr="002A1557" w:rsidRDefault="006F6C4B" w:rsidP="006F6C4B">
      <w:pPr>
        <w:pStyle w:val="ESSpara"/>
        <w:numPr>
          <w:ilvl w:val="0"/>
          <w:numId w:val="8"/>
        </w:numPr>
        <w:ind w:left="0" w:firstLine="0"/>
      </w:pPr>
      <w:r>
        <w:t>《环境和社会标准</w:t>
      </w:r>
      <w:r>
        <w:t>1</w:t>
      </w:r>
      <w:r>
        <w:t>》中所述的环境与社会评价将考虑项目对文化遗产的直接、间接和累积的风险和影响。借款国将通过环境与社会评价确定拟议项目活动是否可能影响文化遗产。</w:t>
      </w:r>
      <w:r>
        <w:t xml:space="preserve">  </w:t>
      </w:r>
    </w:p>
    <w:p w:rsidR="006F6C4B" w:rsidRPr="00D64392" w:rsidRDefault="006F6C4B" w:rsidP="006F6C4B">
      <w:pPr>
        <w:pStyle w:val="ESSpara"/>
        <w:ind w:left="0" w:firstLine="0"/>
      </w:pPr>
      <w:r>
        <w:t>借款国应避免对文化遗产带来影响。若无法避免，借款国应确定并实施相应措施，根据缓解制度应对文化遗产造成的影响</w:t>
      </w:r>
      <w:r>
        <w:rPr>
          <w:rStyle w:val="FootnoteReference"/>
        </w:rPr>
        <w:footnoteReference w:id="1"/>
      </w:r>
      <w:r>
        <w:t>。在合适的情况下，借款国应制定《文化遗产管理计划》。</w:t>
      </w:r>
      <w:r>
        <w:rPr>
          <w:rStyle w:val="FootnoteReference"/>
        </w:rPr>
        <w:footnoteReference w:id="2"/>
      </w:r>
      <w:r>
        <w:t xml:space="preserve"> </w:t>
      </w:r>
    </w:p>
    <w:p w:rsidR="006F6C4B" w:rsidRDefault="006F6C4B" w:rsidP="006F6C4B">
      <w:pPr>
        <w:pStyle w:val="ESSpara"/>
        <w:ind w:left="0" w:firstLine="0"/>
      </w:pPr>
      <w:r>
        <w:t>借款国将确保采取全球认可的与项目相关的文化遗产保护、实地研究和记录备案的惯例，包括承包商和其他第三方等渠道。</w:t>
      </w:r>
      <w:r>
        <w:t xml:space="preserve"> </w:t>
      </w:r>
    </w:p>
    <w:p w:rsidR="006F6C4B" w:rsidRPr="00B348E9" w:rsidRDefault="006F6C4B" w:rsidP="006F6C4B">
      <w:pPr>
        <w:pStyle w:val="ESSpara"/>
        <w:ind w:left="0" w:firstLine="0"/>
      </w:pPr>
      <w:r>
        <w:t>借款国将确保偶然发现程序</w:t>
      </w:r>
      <w:r>
        <w:rPr>
          <w:rStyle w:val="FootnoteReference"/>
        </w:rPr>
        <w:footnoteReference w:id="3"/>
      </w:r>
      <w:r>
        <w:t>包括在与项目建设有关的所有合同中，包括挖掘、拆除、地块运动、漫灌或其他物理环境变化。偶然发现程序将规定如何对项目有关的偶然发现进行管理。偶然发现程序将包括以下要求：由文化遗产专家通知相关机构有关发现的物品或场所；用栅栏隔开物品或场所所在的区域，以避免进一步干扰；由文化遗产专家对发现的物品或场所进行评价；确定并实施与本《环境与社会标准》和国家法律要求一致的行动措施；对项目人员和项目工作人员开展有关偶然发现程序的培训。</w:t>
      </w:r>
    </w:p>
    <w:p w:rsidR="006F6C4B" w:rsidRPr="003E2CDB" w:rsidRDefault="006F6C4B" w:rsidP="006F6C4B">
      <w:pPr>
        <w:pStyle w:val="ESSpara"/>
        <w:ind w:left="0" w:firstLine="0"/>
        <w:rPr>
          <w:rStyle w:val="Emphasis"/>
          <w:i w:val="0"/>
          <w:iCs w:val="0"/>
        </w:rPr>
      </w:pPr>
      <w:r>
        <w:t>必要时，借款国将确保环境和社会评价包括文化遗产专家参与。如果环境与社会评价确定在项目周期内任何时候均对文化遗产产生重大影响，则借款国将聘请文化遗产专家来协助文化遗产的认定、价值评估和保护；</w:t>
      </w:r>
      <w:r>
        <w:t xml:space="preserve"> </w:t>
      </w:r>
    </w:p>
    <w:p w:rsidR="006F6C4B" w:rsidRPr="009C3476" w:rsidRDefault="006F6C4B" w:rsidP="006F6C4B">
      <w:pPr>
        <w:pStyle w:val="Heading3"/>
        <w:numPr>
          <w:ilvl w:val="0"/>
          <w:numId w:val="0"/>
        </w:numPr>
      </w:pPr>
      <w:bookmarkStart w:id="15" w:name="_Toc423449589"/>
      <w:bookmarkStart w:id="16" w:name="_Toc426539812"/>
      <w:r>
        <w:lastRenderedPageBreak/>
        <w:t>B.</w:t>
      </w:r>
      <w:r>
        <w:tab/>
      </w:r>
      <w:r>
        <w:t>利益相关者磋商和文化遗产的识别</w:t>
      </w:r>
      <w:bookmarkEnd w:id="15"/>
      <w:bookmarkEnd w:id="16"/>
    </w:p>
    <w:p w:rsidR="006F6C4B" w:rsidRDefault="006F6C4B" w:rsidP="006F6C4B">
      <w:pPr>
        <w:pStyle w:val="ESSpara"/>
        <w:ind w:left="0" w:firstLine="0"/>
      </w:pPr>
      <w:r>
        <w:t>借款国将根据《环境与社会标准</w:t>
      </w:r>
      <w:r>
        <w:t>10</w:t>
      </w:r>
      <w:r>
        <w:t>》，识别已知存在或可能在项目周期中遇到的文化遗产的所有利益相关者。这些利益相关者包括：</w:t>
      </w:r>
      <w:r>
        <w:t xml:space="preserve"> </w:t>
      </w:r>
    </w:p>
    <w:p w:rsidR="006F6C4B" w:rsidRDefault="006F6C4B" w:rsidP="006F6C4B">
      <w:pPr>
        <w:pStyle w:val="ESSpara"/>
        <w:numPr>
          <w:ilvl w:val="0"/>
          <w:numId w:val="0"/>
        </w:numPr>
        <w:ind w:left="1080" w:hanging="360"/>
      </w:pPr>
      <w:r>
        <w:t>(a)</w:t>
      </w:r>
      <w:r>
        <w:t>受项目影响的各方，包括个人和社区，他们可以还在使用或在世人记忆中曾使用该文化遗产；</w:t>
      </w:r>
      <w:r>
        <w:t xml:space="preserve"> </w:t>
      </w:r>
    </w:p>
    <w:p w:rsidR="006F6C4B" w:rsidRDefault="006F6C4B" w:rsidP="006F6C4B">
      <w:pPr>
        <w:pStyle w:val="ESSpara"/>
        <w:numPr>
          <w:ilvl w:val="0"/>
          <w:numId w:val="0"/>
        </w:numPr>
        <w:ind w:left="1080" w:hanging="360"/>
      </w:pPr>
      <w:r>
        <w:t xml:space="preserve"> (b)</w:t>
      </w:r>
      <w:r>
        <w:t>其他利害相关方，可能包括国家或当地监管机构，是委托进行文化遗产保护和非政府组织以及文化遗产专家，包括国内和国际文化遗产组织。</w:t>
      </w:r>
      <w:r>
        <w:t xml:space="preserve"> </w:t>
      </w:r>
    </w:p>
    <w:p w:rsidR="006F6C4B" w:rsidRDefault="006F6C4B" w:rsidP="006F6C4B">
      <w:pPr>
        <w:pStyle w:val="ESSpara"/>
        <w:ind w:left="0" w:firstLine="0"/>
      </w:pPr>
      <w:bookmarkStart w:id="17" w:name="_Ref391773955"/>
      <w:r>
        <w:t>借款国将与利益相关者进行有意义的</w:t>
      </w:r>
      <w:r>
        <w:rPr>
          <w:rStyle w:val="FootnoteReference"/>
        </w:rPr>
        <w:footnoteReference w:id="4"/>
      </w:r>
      <w:r>
        <w:t>磋商以识别潜在项目可能会影响到的文化遗产；估价受项目影响文化遗产的价值</w:t>
      </w:r>
      <w:r>
        <w:rPr>
          <w:rStyle w:val="FootnoteReference"/>
        </w:rPr>
        <w:footnoteReference w:id="5"/>
      </w:r>
      <w:r>
        <w:t>；理解潜在风险和影响；并探索避免和缓解的方法。</w:t>
      </w:r>
      <w:bookmarkEnd w:id="17"/>
    </w:p>
    <w:p w:rsidR="006F6C4B" w:rsidRPr="00896F02" w:rsidRDefault="006F6C4B" w:rsidP="006F6C4B">
      <w:pPr>
        <w:pStyle w:val="Heading4"/>
      </w:pPr>
      <w:r>
        <w:t xml:space="preserve"> </w:t>
      </w:r>
      <w:bookmarkStart w:id="18" w:name="_Toc394499228"/>
      <w:r>
        <w:t>磋商草案第二稿，2015年7月1日 - 机密</w:t>
      </w:r>
      <w:bookmarkEnd w:id="18"/>
    </w:p>
    <w:p w:rsidR="006F6C4B" w:rsidRPr="00B348E9" w:rsidRDefault="006F6C4B" w:rsidP="006F6C4B">
      <w:pPr>
        <w:pStyle w:val="ESSpara"/>
        <w:ind w:left="0" w:firstLine="0"/>
      </w:pPr>
      <w:r>
        <w:t>在与世界银行和相关专业人士磋商后，借款国、受项目影响各方（包括个人和社区）和文化遗产专家将确定披露与文化遗产有关的信息是否会影响或危害上述文化遗产的安全和完整性或者危及信息来源。这种情况下，公开信息时需要隐去敏感信息。如果受项目影响各方（包括个人和社区）对具有文化遗产意义的自然地物的位置、特征或传统使用进行保密，借款国应采取适当措施维护磋商草案第二稿，</w:t>
      </w:r>
      <w:r>
        <w:t>2015</w:t>
      </w:r>
      <w:r>
        <w:t>年</w:t>
      </w:r>
      <w:r>
        <w:t>7</w:t>
      </w:r>
      <w:r>
        <w:t>月</w:t>
      </w:r>
      <w:r>
        <w:t>1</w:t>
      </w:r>
      <w:r>
        <w:t>日</w:t>
      </w:r>
      <w:r>
        <w:t xml:space="preserve"> - </w:t>
      </w:r>
      <w:r>
        <w:t>机密。</w:t>
      </w:r>
    </w:p>
    <w:p w:rsidR="006F6C4B" w:rsidRPr="00F05AD3" w:rsidRDefault="006F6C4B" w:rsidP="006F6C4B">
      <w:pPr>
        <w:pStyle w:val="Heading4"/>
      </w:pPr>
      <w:bookmarkStart w:id="19" w:name="_Toc394499229"/>
      <w:r>
        <w:t xml:space="preserve"> 利益相关者进入权</w:t>
      </w:r>
      <w:bookmarkEnd w:id="19"/>
    </w:p>
    <w:p w:rsidR="006F6C4B" w:rsidRDefault="006F6C4B" w:rsidP="006F6C4B">
      <w:pPr>
        <w:pStyle w:val="ESSpara"/>
        <w:ind w:left="0" w:firstLine="0"/>
      </w:pPr>
      <w:r>
        <w:t>如果借款国的项目地点中含有文化遗产，或需要阻止相关群体之前能够进入其中的文化遗址，则借款国应与地点使用者进行磋商，允许相关社区继续进入文化遗址，或提供其他进入路线。进入文化遗址的路线应基于健康、安全和安保等方面考量进行设计。</w:t>
      </w:r>
    </w:p>
    <w:p w:rsidR="006F6C4B" w:rsidRDefault="006F6C4B" w:rsidP="006F6C4B">
      <w:pPr>
        <w:pStyle w:val="Heading3"/>
        <w:numPr>
          <w:ilvl w:val="0"/>
          <w:numId w:val="0"/>
        </w:numPr>
        <w:ind w:left="90"/>
      </w:pPr>
      <w:bookmarkStart w:id="20" w:name="_Toc423449590"/>
      <w:bookmarkStart w:id="21" w:name="_Toc426539813"/>
      <w:bookmarkStart w:id="22" w:name="_Toc394499230"/>
      <w:r>
        <w:t xml:space="preserve">C. </w:t>
      </w:r>
      <w:r>
        <w:t>法定保护的文化遗产区域</w:t>
      </w:r>
      <w:bookmarkEnd w:id="20"/>
      <w:bookmarkEnd w:id="21"/>
    </w:p>
    <w:p w:rsidR="006F6C4B" w:rsidRPr="00D64392" w:rsidRDefault="006F6C4B" w:rsidP="006F6C4B">
      <w:pPr>
        <w:pStyle w:val="ESSpara"/>
        <w:ind w:left="0" w:firstLine="0"/>
      </w:pPr>
      <w:r>
        <w:rPr>
          <w:rStyle w:val="Emphasis"/>
          <w:b/>
          <w:i w:val="0"/>
        </w:rPr>
        <w:t>作为环境和社会评价的一部分，借款国将确定</w:t>
      </w:r>
      <w:r>
        <w:t>所有列出的受项目影响的法定保护的文化遗产区域是否存在</w:t>
      </w:r>
      <w:r>
        <w:rPr>
          <w:rStyle w:val="FootnoteReference"/>
        </w:rPr>
        <w:footnoteReference w:id="6"/>
      </w:r>
      <w:r>
        <w:t>。如果拟议项目位于法定保护区或法定缓冲区内，借款国将：</w:t>
      </w:r>
    </w:p>
    <w:p w:rsidR="006F6C4B" w:rsidRPr="00D64392" w:rsidRDefault="006F6C4B" w:rsidP="006F6C4B">
      <w:pPr>
        <w:pStyle w:val="ESSpara"/>
        <w:numPr>
          <w:ilvl w:val="0"/>
          <w:numId w:val="10"/>
        </w:numPr>
        <w:ind w:left="1080"/>
      </w:pPr>
      <w:r>
        <w:t>遵守地方、国家、地区或国际文化遗产法规和保护区管理计划；</w:t>
      </w:r>
    </w:p>
    <w:p w:rsidR="006F6C4B" w:rsidRPr="00D64392" w:rsidRDefault="006F6C4B" w:rsidP="006F6C4B">
      <w:pPr>
        <w:pStyle w:val="ESSpara"/>
        <w:numPr>
          <w:ilvl w:val="0"/>
          <w:numId w:val="10"/>
        </w:numPr>
        <w:ind w:left="1080"/>
      </w:pPr>
      <w:r>
        <w:t>就拟议项目与保护区主办方和管理方、受项目影响方（包括个人和社区）和其他重点利益相关者进行磋商；</w:t>
      </w:r>
    </w:p>
    <w:p w:rsidR="006F6C4B" w:rsidRPr="00083A9B" w:rsidRDefault="006F6C4B" w:rsidP="006F6C4B">
      <w:pPr>
        <w:pStyle w:val="ESSpara"/>
        <w:numPr>
          <w:ilvl w:val="0"/>
          <w:numId w:val="10"/>
        </w:numPr>
        <w:ind w:left="1080"/>
      </w:pPr>
      <w:r>
        <w:t>酌情实施额外计划，以促进和加强该保护区域的保护目标。</w:t>
      </w:r>
    </w:p>
    <w:p w:rsidR="006F6C4B" w:rsidRPr="00F05AD3" w:rsidRDefault="006F6C4B" w:rsidP="006F6C4B">
      <w:pPr>
        <w:pStyle w:val="Heading3"/>
        <w:numPr>
          <w:ilvl w:val="0"/>
          <w:numId w:val="0"/>
        </w:numPr>
        <w:ind w:left="90"/>
      </w:pPr>
      <w:bookmarkStart w:id="23" w:name="_Toc423449591"/>
      <w:bookmarkStart w:id="24" w:name="_Toc426539814"/>
      <w:r>
        <w:lastRenderedPageBreak/>
        <w:t xml:space="preserve">D. </w:t>
      </w:r>
      <w:r>
        <w:t>特定文化遗产类型的规定</w:t>
      </w:r>
      <w:bookmarkEnd w:id="22"/>
      <w:bookmarkEnd w:id="23"/>
      <w:bookmarkEnd w:id="24"/>
    </w:p>
    <w:p w:rsidR="006F6C4B" w:rsidRPr="00EF6982" w:rsidRDefault="006F6C4B" w:rsidP="006F6C4B">
      <w:pPr>
        <w:pStyle w:val="Heading4"/>
      </w:pPr>
      <w:bookmarkStart w:id="25" w:name="_Toc394499231"/>
      <w:r>
        <w:t>考古地点与</w:t>
      </w:r>
      <w:bookmarkEnd w:id="25"/>
      <w:r>
        <w:t>文物</w:t>
      </w:r>
    </w:p>
    <w:p w:rsidR="006F6C4B" w:rsidRPr="00B348E9" w:rsidRDefault="006F6C4B" w:rsidP="006F6C4B">
      <w:pPr>
        <w:pStyle w:val="ESSpara"/>
        <w:ind w:left="0" w:firstLine="0"/>
      </w:pPr>
      <w:r>
        <w:t>考古地点包括建筑遗址、文物、人类或生态要素的组合，可能全部位于土地或水面以下，也可以部分或全部位于土地或水面以上。考古文物可能在地球表面</w:t>
      </w:r>
      <w:r>
        <w:rPr>
          <w:rStyle w:val="FootnoteReference"/>
        </w:rPr>
        <w:footnoteReference w:id="7"/>
      </w:r>
      <w:r>
        <w:t>的任何地方找到，可能以单一或分散大片形式出现。此类文物还包括墓葬区</w:t>
      </w:r>
      <w:r>
        <w:rPr>
          <w:rStyle w:val="FootnoteReference"/>
        </w:rPr>
        <w:footnoteReference w:id="8"/>
      </w:r>
      <w:r>
        <w:t>、遗骸和化石。</w:t>
      </w:r>
      <w:r>
        <w:t xml:space="preserve"> </w:t>
      </w:r>
    </w:p>
    <w:p w:rsidR="006F6C4B" w:rsidRPr="00F05AD3" w:rsidRDefault="006F6C4B" w:rsidP="006F6C4B">
      <w:pPr>
        <w:pStyle w:val="ESSpara"/>
        <w:ind w:left="0" w:firstLine="0"/>
      </w:pPr>
      <w:r>
        <w:t>如果项目区域存在过往人类活动的证据，借款国应开展桌面调查和实地考察，对考古遗址进行记录备案、地图测绘并调查。借款国应记录项目周期中发现的考古遗址和文物的位置和特征，并将相关文档提供给国家或地方级文化遗产管理机构。</w:t>
      </w:r>
    </w:p>
    <w:p w:rsidR="006F6C4B" w:rsidRPr="00FD6742" w:rsidRDefault="006F6C4B" w:rsidP="006F6C4B">
      <w:pPr>
        <w:pStyle w:val="ESSpara"/>
        <w:ind w:left="0" w:firstLine="0"/>
      </w:pPr>
      <w:r>
        <w:t>借款国将通过与文化遗产专家进行协商，以确定项目周期中发现的考古文物是否需要：</w:t>
      </w:r>
      <w:r>
        <w:t>(a)</w:t>
      </w:r>
      <w:r>
        <w:t>仅需记录备案；</w:t>
      </w:r>
      <w:r>
        <w:t>(b)</w:t>
      </w:r>
      <w:r>
        <w:t>需要挖掘和记录备案；或</w:t>
      </w:r>
      <w:r>
        <w:t>(c)</w:t>
      </w:r>
      <w:r>
        <w:t>需要现场保护，并对考古文物相应管理。借款国应根据国家和地方级法律规定确定文物的所有权和托管责任，在托管转让前，应安排文物的识别、保护、标注、安全储存及确定是否可进入，以便专家进一步研究和分析。</w:t>
      </w:r>
    </w:p>
    <w:p w:rsidR="006F6C4B" w:rsidRPr="00F05AD3" w:rsidRDefault="006F6C4B" w:rsidP="006F6C4B">
      <w:pPr>
        <w:pStyle w:val="Heading4"/>
      </w:pPr>
      <w:r>
        <w:t xml:space="preserve"> 建筑遗产</w:t>
      </w:r>
    </w:p>
    <w:p w:rsidR="006F6C4B" w:rsidRDefault="006F6C4B" w:rsidP="006F6C4B">
      <w:pPr>
        <w:pStyle w:val="ESSpara"/>
        <w:ind w:left="0" w:firstLine="0"/>
      </w:pPr>
      <w:r>
        <w:t>建筑遗产是指，在都市或乡村背景下的单一建筑物或建筑物群，能够证明特定文明、重大发展或历史事件的真实存在。建筑遗产包括建筑物、构筑物和空地群组，可以从建筑、审美、精神或社会文化角度视为构成具有凝聚力且有价值的过去和当代的人类定居点。</w:t>
      </w:r>
    </w:p>
    <w:p w:rsidR="006F6C4B" w:rsidRPr="002A1557" w:rsidRDefault="006F6C4B" w:rsidP="006F6C4B">
      <w:pPr>
        <w:pStyle w:val="ESSpara"/>
        <w:ind w:left="0" w:firstLine="0"/>
      </w:pPr>
      <w:r>
        <w:t>借款国应确定适当迁移措施以应对建筑遗产的影响，可能包括</w:t>
      </w:r>
      <w:r>
        <w:t>(a)</w:t>
      </w:r>
      <w:r>
        <w:t>记录备案；</w:t>
      </w:r>
      <w:r>
        <w:t>(b)</w:t>
      </w:r>
      <w:r>
        <w:t>保护或原址重建；</w:t>
      </w:r>
      <w:r>
        <w:t xml:space="preserve">(c) </w:t>
      </w:r>
      <w:r>
        <w:t>搬迁保护或重建。在文化遗产建筑重建或修复过程中，借款国应确保保持建筑物的形式、建筑材料和技术的准确性。</w:t>
      </w:r>
      <w:r>
        <w:rPr>
          <w:rStyle w:val="FootnoteReference"/>
        </w:rPr>
        <w:footnoteReference w:id="9"/>
      </w:r>
    </w:p>
    <w:p w:rsidR="006F6C4B" w:rsidRPr="002A1557" w:rsidRDefault="006F6C4B" w:rsidP="006F6C4B">
      <w:pPr>
        <w:pStyle w:val="ESSpara"/>
        <w:ind w:left="0" w:firstLine="0"/>
      </w:pPr>
      <w:r>
        <w:t>借款国应在考虑视力所及范围内拟建项目基础设施的合适性和影响后，对单一历史建筑或历史建筑群的物理环境和视觉环境进行保护。</w:t>
      </w:r>
      <w:r>
        <w:t xml:space="preserve"> </w:t>
      </w:r>
    </w:p>
    <w:p w:rsidR="006F6C4B" w:rsidRPr="00EF6982" w:rsidRDefault="006F6C4B" w:rsidP="006F6C4B">
      <w:pPr>
        <w:pStyle w:val="Heading4"/>
      </w:pPr>
      <w:bookmarkStart w:id="26" w:name="_Toc394499233"/>
      <w:r>
        <w:t>具有文化意义的自然地物</w:t>
      </w:r>
      <w:bookmarkEnd w:id="26"/>
    </w:p>
    <w:p w:rsidR="006F6C4B" w:rsidRPr="00686422" w:rsidRDefault="006F6C4B" w:rsidP="006F6C4B">
      <w:pPr>
        <w:pStyle w:val="ESSpara"/>
        <w:ind w:left="0" w:firstLine="0"/>
      </w:pPr>
      <w:r>
        <w:t>自然地物中可能具有文化遗产意义。例如宗教的山丘、山脉、景观、溪流、河流、瀑布、洞穴和岩石；神圣的树木、植物、丛林和森林；裸露岩壁上或洞穴中的雕刻或画像；早期人类、动物或腐化残留物的古生物沉淀。</w:t>
      </w:r>
      <w:r>
        <w:rPr>
          <w:rStyle w:val="FootnoteReference"/>
          <w:rFonts w:cstheme="minorHAnsi"/>
        </w:rPr>
        <w:footnoteReference w:id="10"/>
      </w:r>
      <w:r>
        <w:t>这些遗产的重要性可能仅针对小部分当地群体或少数人口。</w:t>
      </w:r>
      <w:r>
        <w:t xml:space="preserve"> </w:t>
      </w:r>
    </w:p>
    <w:p w:rsidR="006F6C4B" w:rsidRPr="00F05AD3" w:rsidRDefault="006F6C4B" w:rsidP="006F6C4B">
      <w:pPr>
        <w:pStyle w:val="ESSpara"/>
        <w:ind w:left="0" w:firstLine="0"/>
      </w:pPr>
      <w:r>
        <w:t>借款国应通过研究和咨询受项目影响的各方</w:t>
      </w:r>
      <w:r>
        <w:t>(</w:t>
      </w:r>
      <w:r>
        <w:t>包括个人和社区</w:t>
      </w:r>
      <w:r>
        <w:t>)</w:t>
      </w:r>
      <w:r>
        <w:t>确定具有文化遗产意义的受影响自然地物、重视此类地物的人口、就遗址位置、保护和使用具有代表和磋商权利的个人或群</w:t>
      </w:r>
      <w:r>
        <w:lastRenderedPageBreak/>
        <w:t>体。借款国应确定将文化遗产和</w:t>
      </w:r>
      <w:r>
        <w:t>/</w:t>
      </w:r>
      <w:r>
        <w:t>或某个地方神圣性标志转移到另一个位置的可能性。遇到这种情况，则双方就转移达成的协议应尊重转移相关的传统习俗，并确保这些风俗能够持续存在。</w:t>
      </w:r>
    </w:p>
    <w:p w:rsidR="006F6C4B" w:rsidRPr="00EF6982" w:rsidRDefault="006F6C4B" w:rsidP="006F6C4B">
      <w:pPr>
        <w:pStyle w:val="Heading4"/>
      </w:pPr>
      <w:bookmarkStart w:id="27" w:name="_Toc394499234"/>
      <w:r>
        <w:t>可移动文化遗产</w:t>
      </w:r>
      <w:bookmarkEnd w:id="27"/>
    </w:p>
    <w:p w:rsidR="006F6C4B" w:rsidRPr="00B348E9" w:rsidRDefault="006F6C4B" w:rsidP="006F6C4B">
      <w:pPr>
        <w:pStyle w:val="ESSpara"/>
        <w:ind w:left="0" w:firstLine="0"/>
      </w:pPr>
      <w:r>
        <w:t>可移动文化遗产包括以下物体：古代或稀有书籍和手稿；绘画、图画、雕塑、雕像和雕刻；现代或古代宗教文物；古代服装、珠宝和织物；纪念碑或历史建筑的碎片；考古文物以及自然历史标本，例如贝类、植物或矿物。项目带来的发现和人员出入可能使得文物极易面临被偷盗、非法交易或滥用的危险。针对受影响的可移动文化遗产文物，借款国应采取措施防止盗窃或非法走私行为的发生，并将上述行为告知相关机关。</w:t>
      </w:r>
    </w:p>
    <w:p w:rsidR="006F6C4B" w:rsidRPr="00F05AD3" w:rsidRDefault="006F6C4B" w:rsidP="006F6C4B">
      <w:pPr>
        <w:pStyle w:val="ESSpara"/>
        <w:ind w:left="0" w:firstLine="0"/>
      </w:pPr>
      <w:r>
        <w:t>借款国应与相关文化遗产机构磋商，识别可能由于项目而受到威胁的可移动文化遗产，并制定项目期间这些文化遗产保护的规定。借款国应向负责可移动文物监督和保护的宗教或世俗机关或其他托管人提供项目活动的时间表，提醒他们这些文物的潜在脆弱性。</w:t>
      </w:r>
      <w:r>
        <w:t xml:space="preserve"> </w:t>
      </w:r>
    </w:p>
    <w:p w:rsidR="006F6C4B" w:rsidRPr="006E2183" w:rsidRDefault="006F6C4B" w:rsidP="006F6C4B">
      <w:pPr>
        <w:pStyle w:val="Heading3"/>
        <w:numPr>
          <w:ilvl w:val="2"/>
          <w:numId w:val="9"/>
        </w:numPr>
      </w:pPr>
      <w:bookmarkStart w:id="28" w:name="_Toc394499235"/>
      <w:bookmarkStart w:id="29" w:name="_Toc423449592"/>
      <w:bookmarkStart w:id="30" w:name="_Toc426539815"/>
      <w:r>
        <w:t>文化遗产的商业化</w:t>
      </w:r>
      <w:bookmarkEnd w:id="28"/>
      <w:bookmarkEnd w:id="29"/>
      <w:bookmarkEnd w:id="30"/>
    </w:p>
    <w:p w:rsidR="006F6C4B" w:rsidRDefault="006F6C4B" w:rsidP="006F6C4B">
      <w:pPr>
        <w:pStyle w:val="ESSpara"/>
        <w:ind w:left="0" w:firstLine="0"/>
      </w:pPr>
      <w:r>
        <w:t>如果项目拟将本地社区的文化遗产，包括受项目影响各方（包括个人和社区）的知识、创新成果或惯例，用于商业用途，借款国应告知受项目影响各方社区以下情况：</w:t>
      </w:r>
      <w:r>
        <w:t>(a)</w:t>
      </w:r>
      <w:r>
        <w:t>根据国家法律规定其所拥有的权利；</w:t>
      </w:r>
      <w:r>
        <w:t>(b)</w:t>
      </w:r>
      <w:r>
        <w:t>拟议商业开发的范围和性质及潜在影响；</w:t>
      </w:r>
      <w:r>
        <w:t>(c)</w:t>
      </w:r>
      <w:r>
        <w:t>商业开发和影响的潜在后果。</w:t>
      </w:r>
      <w:r>
        <w:t xml:space="preserve"> </w:t>
      </w:r>
    </w:p>
    <w:p w:rsidR="006F6C4B" w:rsidRDefault="006F6C4B" w:rsidP="006F6C4B">
      <w:pPr>
        <w:pStyle w:val="ESSpara"/>
        <w:ind w:left="0" w:firstLine="0"/>
      </w:pPr>
      <w:r>
        <w:t>除非满足以下条件，否则借款国不得继续实施项目：</w:t>
      </w:r>
      <w:r>
        <w:t>(a)</w:t>
      </w:r>
      <w:r>
        <w:t>借款国已经开展《环境与社会标准</w:t>
      </w:r>
      <w:r>
        <w:t>10</w:t>
      </w:r>
      <w:r>
        <w:t>》中所述的有意义的磋商；</w:t>
      </w:r>
      <w:r>
        <w:t>(b)</w:t>
      </w:r>
      <w:r>
        <w:t>提供公平、平等的文化遗产商业化利益分享，符合受项目影响各方的习俗和传统；</w:t>
      </w:r>
      <w:r>
        <w:t>(c)</w:t>
      </w:r>
      <w:r>
        <w:t>根据缓解制度确定缓解措施。</w:t>
      </w:r>
    </w:p>
    <w:p w:rsidR="006F6C4B" w:rsidRDefault="006F6C4B" w:rsidP="006F6C4B">
      <w:pPr>
        <w:pStyle w:val="ESSpara"/>
        <w:numPr>
          <w:ilvl w:val="0"/>
          <w:numId w:val="0"/>
        </w:numPr>
        <w:tabs>
          <w:tab w:val="left" w:pos="0"/>
        </w:tabs>
      </w:pPr>
    </w:p>
    <w:p w:rsidR="006F6C4B" w:rsidRDefault="006F6C4B" w:rsidP="006F6C4B">
      <w:pPr>
        <w:pStyle w:val="Heading1"/>
        <w:numPr>
          <w:ilvl w:val="0"/>
          <w:numId w:val="0"/>
        </w:numPr>
        <w:spacing w:line="240" w:lineRule="auto"/>
        <w:jc w:val="left"/>
        <w:sectPr w:rsidR="006F6C4B"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8C32D1"/>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D1" w:rsidRDefault="008C32D1" w:rsidP="006F6C4B">
      <w:pPr>
        <w:spacing w:after="0" w:line="240" w:lineRule="auto"/>
      </w:pPr>
      <w:r>
        <w:separator/>
      </w:r>
    </w:p>
  </w:endnote>
  <w:endnote w:type="continuationSeparator" w:id="0">
    <w:p w:rsidR="008C32D1" w:rsidRDefault="008C32D1" w:rsidP="006F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4B" w:rsidRDefault="006F6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1" w:rsidRDefault="00B50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1" w:rsidRDefault="00B5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D1" w:rsidRDefault="008C32D1" w:rsidP="006F6C4B">
      <w:pPr>
        <w:spacing w:after="0" w:line="240" w:lineRule="auto"/>
      </w:pPr>
      <w:r>
        <w:separator/>
      </w:r>
    </w:p>
  </w:footnote>
  <w:footnote w:type="continuationSeparator" w:id="0">
    <w:p w:rsidR="008C32D1" w:rsidRDefault="008C32D1" w:rsidP="006F6C4B">
      <w:pPr>
        <w:spacing w:after="0" w:line="240" w:lineRule="auto"/>
      </w:pPr>
      <w:r>
        <w:continuationSeparator/>
      </w:r>
    </w:p>
  </w:footnote>
  <w:footnote w:id="1">
    <w:p w:rsidR="006F6C4B" w:rsidRPr="00E22363" w:rsidRDefault="006F6C4B" w:rsidP="006F6C4B">
      <w:pPr>
        <w:pStyle w:val="ESSpara"/>
        <w:numPr>
          <w:ilvl w:val="0"/>
          <w:numId w:val="0"/>
        </w:numPr>
        <w:spacing w:after="0"/>
        <w:rPr>
          <w:sz w:val="20"/>
          <w:szCs w:val="20"/>
        </w:rPr>
      </w:pPr>
      <w:r>
        <w:rPr>
          <w:rStyle w:val="FootnoteReference"/>
        </w:rPr>
        <w:footnoteRef/>
      </w:r>
      <w:r>
        <w:t xml:space="preserve"> </w:t>
      </w:r>
      <w:r>
        <w:rPr>
          <w:sz w:val="20"/>
        </w:rPr>
        <w:t>缓解措施包括提高国家机构和地方级别、机构管理受项目影响文化遗产的能力；建立监督体系，追踪活动的进程和效果；确定缓解措施的实施时间表和所需预算；对偶然发现进行分类。这些措施将考虑</w:t>
      </w:r>
      <w:r>
        <w:rPr>
          <w:sz w:val="20"/>
        </w:rPr>
        <w:t>D</w:t>
      </w:r>
      <w:r>
        <w:rPr>
          <w:sz w:val="20"/>
        </w:rPr>
        <w:t>节有关特定类型文化遗产的规定。</w:t>
      </w:r>
    </w:p>
  </w:footnote>
  <w:footnote w:id="2">
    <w:p w:rsidR="006F6C4B" w:rsidRPr="00E22363" w:rsidRDefault="006F6C4B" w:rsidP="006F6C4B">
      <w:pPr>
        <w:pStyle w:val="FootnoteText"/>
        <w:jc w:val="both"/>
      </w:pPr>
      <w:r>
        <w:rPr>
          <w:rStyle w:val="FootnoteReference"/>
        </w:rPr>
        <w:footnoteRef/>
      </w:r>
      <w:r>
        <w:t xml:space="preserve"> </w:t>
      </w:r>
      <w:r>
        <w:t>《文化遗产管理计划》将包含各缓解措施的时限和所需资源预估。《文化遗产管理计划》可以作为独立的文件拟定，并考虑《环境和社会承诺计划》中所列的项目风险和影响的性质和范围。</w:t>
      </w:r>
    </w:p>
  </w:footnote>
  <w:footnote w:id="3">
    <w:p w:rsidR="006F6C4B" w:rsidRPr="00E22363" w:rsidRDefault="006F6C4B" w:rsidP="006F6C4B">
      <w:pPr>
        <w:pStyle w:val="FootnoteText"/>
        <w:jc w:val="both"/>
      </w:pPr>
      <w:r>
        <w:rPr>
          <w:rStyle w:val="FootnoteReference"/>
        </w:rPr>
        <w:footnoteRef/>
      </w:r>
      <w:r>
        <w:rPr>
          <w:sz w:val="18"/>
        </w:rPr>
        <w:t xml:space="preserve"> </w:t>
      </w:r>
      <w:r>
        <w:t>偶然发现程序是在项目活动期间，遇到此前未知的文化遗产情况下，需要遵循的项目特定程序。</w:t>
      </w:r>
      <w:r>
        <w:t xml:space="preserve"> </w:t>
      </w:r>
    </w:p>
  </w:footnote>
  <w:footnote w:id="4">
    <w:p w:rsidR="006F6C4B" w:rsidRPr="00E22363" w:rsidRDefault="006F6C4B" w:rsidP="006F6C4B">
      <w:pPr>
        <w:pStyle w:val="FootnoteText"/>
        <w:jc w:val="both"/>
      </w:pPr>
      <w:r>
        <w:rPr>
          <w:rStyle w:val="FootnoteReference"/>
        </w:rPr>
        <w:footnoteRef/>
      </w:r>
      <w:r>
        <w:t xml:space="preserve"> </w:t>
      </w:r>
      <w:r>
        <w:t>借款国应支持通过与相关当局进行沟通，包括受委托保护文化遗产的相关国家或当地监管机构，让不同利益相关者参与项目并提供合作，从而建立最有效的方法以解决利益相关者的关切并让其参与到文化遗产的保护和管理中。</w:t>
      </w:r>
    </w:p>
  </w:footnote>
  <w:footnote w:id="5">
    <w:p w:rsidR="006F6C4B" w:rsidRDefault="006F6C4B" w:rsidP="006F6C4B">
      <w:pPr>
        <w:pStyle w:val="FootnoteText"/>
        <w:jc w:val="both"/>
      </w:pPr>
      <w:r>
        <w:rPr>
          <w:rStyle w:val="FootnoteReference"/>
        </w:rPr>
        <w:footnoteRef/>
      </w:r>
      <w:r>
        <w:t xml:space="preserve"> </w:t>
      </w:r>
      <w:r>
        <w:t>物质文化遗产的价值以及重要度的识别，需要从物质文化遗产的保护和适当使用为出发点，并考虑到相关价值体系和受项目影响各方（包括个人和社区）以及利益相关者的利益。</w:t>
      </w:r>
    </w:p>
  </w:footnote>
  <w:footnote w:id="6">
    <w:p w:rsidR="006F6C4B" w:rsidRPr="00E22363" w:rsidRDefault="006F6C4B" w:rsidP="006F6C4B">
      <w:pPr>
        <w:pStyle w:val="FootnoteText"/>
        <w:jc w:val="both"/>
      </w:pPr>
      <w:r>
        <w:rPr>
          <w:rStyle w:val="FootnoteReference"/>
        </w:rPr>
        <w:footnoteRef/>
      </w:r>
      <w:r>
        <w:t xml:space="preserve"> </w:t>
      </w:r>
      <w:r>
        <w:t>例子包括世界遗产地和国家及次国家保护区。</w:t>
      </w:r>
    </w:p>
  </w:footnote>
  <w:footnote w:id="7">
    <w:p w:rsidR="006F6C4B" w:rsidRPr="00B348E9" w:rsidRDefault="006F6C4B" w:rsidP="006F6C4B">
      <w:pPr>
        <w:pStyle w:val="FootnoteText"/>
        <w:jc w:val="both"/>
      </w:pPr>
      <w:r>
        <w:rPr>
          <w:rStyle w:val="FootnoteReference"/>
        </w:rPr>
        <w:footnoteRef/>
      </w:r>
      <w:r>
        <w:t xml:space="preserve"> </w:t>
      </w:r>
      <w:r>
        <w:t>大多数考古地点都是隐藏不可见的。很少情况下才会发现任何给定区域内没有考古文物，即使此类文物没有被当地人了解或认可或未被国家或国际考古机构或组织记录。</w:t>
      </w:r>
    </w:p>
  </w:footnote>
  <w:footnote w:id="8">
    <w:p w:rsidR="006F6C4B" w:rsidRDefault="006F6C4B" w:rsidP="006F6C4B">
      <w:pPr>
        <w:pStyle w:val="FootnoteText"/>
        <w:jc w:val="both"/>
      </w:pPr>
      <w:r>
        <w:rPr>
          <w:rStyle w:val="FootnoteReference"/>
        </w:rPr>
        <w:footnoteRef/>
      </w:r>
      <w:r>
        <w:t xml:space="preserve"> </w:t>
      </w:r>
      <w:r>
        <w:t>此处的墓葬区是指与项目区域内目前居住人口无关的墓葬区。对于更多与受项目影响人群直接相关的最近墓葬区，可通过与其后代和项目社会团队协商确定适当的缓解措施。</w:t>
      </w:r>
    </w:p>
  </w:footnote>
  <w:footnote w:id="9">
    <w:p w:rsidR="006F6C4B" w:rsidRPr="00B348E9" w:rsidRDefault="006F6C4B" w:rsidP="006F6C4B">
      <w:pPr>
        <w:pStyle w:val="FootnoteText"/>
        <w:jc w:val="both"/>
      </w:pPr>
      <w:r>
        <w:rPr>
          <w:rStyle w:val="FootnoteReference"/>
        </w:rPr>
        <w:footnoteRef/>
      </w:r>
      <w:r>
        <w:t xml:space="preserve"> </w:t>
      </w:r>
      <w:r>
        <w:t>符合适用的国家和地方法律和</w:t>
      </w:r>
      <w:r>
        <w:t>/</w:t>
      </w:r>
      <w:r>
        <w:t>或分区法规以及良好国际行业惯例。</w:t>
      </w:r>
      <w:r>
        <w:t xml:space="preserve"> </w:t>
      </w:r>
    </w:p>
  </w:footnote>
  <w:footnote w:id="10">
    <w:p w:rsidR="006F6C4B" w:rsidRPr="00B348E9" w:rsidRDefault="006F6C4B" w:rsidP="006F6C4B">
      <w:pPr>
        <w:pStyle w:val="FootnoteText"/>
        <w:jc w:val="both"/>
      </w:pPr>
      <w:r>
        <w:rPr>
          <w:rStyle w:val="FootnoteReference"/>
        </w:rPr>
        <w:footnoteRef/>
      </w:r>
      <w:r>
        <w:t xml:space="preserve"> </w:t>
      </w:r>
      <w:r>
        <w:t>通常文化意义的指定需要保密，只能为特定当地人口所知，并与宗教仪式或活动相关联。此类文化遗产的神圣性将使得相关损害的避免或缓解面临挑战。自然文化遗址可能含有考古文物。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4B" w:rsidRDefault="006F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rsidR="006F6C4B" w:rsidRPr="00DC4E5F" w:rsidRDefault="006F6C4B" w:rsidP="008356C9">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r>
              <w:rPr>
                <w:rFonts w:eastAsiaTheme="majorEastAsia" w:cstheme="majorBidi"/>
                <w:b/>
                <w:i/>
                <w:sz w:val="20"/>
              </w:rPr>
              <w:t xml:space="preserve"> </w:t>
            </w:r>
          </w:p>
        </w:sdtContent>
      </w:sdt>
    </w:sdtContent>
  </w:sdt>
  <w:p w:rsidR="006F6C4B" w:rsidRPr="004A1C17" w:rsidRDefault="006F6C4B" w:rsidP="00B37073">
    <w:pPr>
      <w:pStyle w:val="Header"/>
      <w:spacing w:before="240" w:after="240"/>
      <w:jc w:val="center"/>
      <w:rPr>
        <w:rFonts w:eastAsiaTheme="minorHAnsi" w:cs="SimSun"/>
        <w:b/>
        <w:color w:val="00B050"/>
        <w:sz w:val="10"/>
        <w:szCs w:val="10"/>
      </w:rPr>
    </w:pPr>
    <w:r>
      <w:rPr>
        <w:rFonts w:eastAsiaTheme="minorHAnsi"/>
        <w:b/>
        <w:color w:val="00B050"/>
        <w:sz w:val="28"/>
      </w:rPr>
      <w:t xml:space="preserve"> 环境与社会标准8.文化遗产简介</w:t>
    </w:r>
  </w:p>
  <w:p w:rsidR="006F6C4B" w:rsidRPr="004A1C17" w:rsidRDefault="006F6C4B"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rsidR="00B50A81" w:rsidRDefault="006F6C4B" w:rsidP="008356C9">
            <w:pPr>
              <w:pStyle w:val="Header"/>
              <w:jc w:val="center"/>
              <w:rPr>
                <w:rFonts w:eastAsia="SimSun"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B50A81" w:rsidRDefault="006F6C4B" w:rsidP="008356C9">
            <w:pPr>
              <w:pStyle w:val="Header"/>
              <w:jc w:val="center"/>
              <w:rPr>
                <w:rFonts w:eastAsia="SimSun"/>
                <w:b/>
                <w:bCs/>
                <w:sz w:val="32"/>
                <w:szCs w:val="32"/>
              </w:rPr>
            </w:pPr>
            <w:bookmarkStart w:id="31" w:name="_GoBack"/>
            <w:bookmarkEnd w:id="31"/>
            <w:r>
              <w:rPr>
                <w:rFonts w:eastAsiaTheme="majorEastAsia" w:cstheme="majorBidi"/>
                <w:b/>
                <w:i/>
                <w:sz w:val="20"/>
              </w:rPr>
              <w:t xml:space="preserve"> </w:t>
            </w:r>
          </w:p>
        </w:sdtContent>
      </w:sdt>
      <w:p w:rsidR="006F6C4B" w:rsidRPr="00DC4E5F" w:rsidRDefault="00B50A81" w:rsidP="008356C9">
        <w:pPr>
          <w:pStyle w:val="Header"/>
          <w:jc w:val="center"/>
          <w:rPr>
            <w:rFonts w:eastAsiaTheme="majorEastAsia" w:cstheme="majorBidi"/>
            <w:b/>
            <w:bCs/>
            <w:i/>
            <w:iCs/>
            <w:sz w:val="32"/>
            <w:szCs w:val="32"/>
          </w:rPr>
        </w:pPr>
        <w:r w:rsidRPr="00B50A81">
          <w:rPr>
            <w:rFonts w:ascii="MS Mincho" w:eastAsiaTheme="majorEastAsia" w:hAnsi="MS Mincho" w:cs="MS Mincho"/>
            <w:b/>
            <w:bCs/>
            <w:i/>
            <w:iCs/>
            <w:sz w:val="32"/>
            <w:szCs w:val="32"/>
          </w:rPr>
          <w:t>本草案中的内容</w:t>
        </w:r>
        <w:r w:rsidRPr="00B50A81">
          <w:rPr>
            <w:rFonts w:ascii="PMingLiU" w:eastAsia="PMingLiU" w:hAnsi="PMingLiU" w:cs="PMingLiU" w:hint="eastAsia"/>
            <w:b/>
            <w:bCs/>
            <w:i/>
            <w:iCs/>
            <w:sz w:val="32"/>
            <w:szCs w:val="32"/>
          </w:rPr>
          <w:t>仅供磋商使用，且尚未获得国际复兴开发银行和国际开发协会执行董事会的批准。</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6"/>
    <w:lvlOverride w:ilvl="0">
      <w:startOverride w:val="1"/>
    </w:lvlOverride>
  </w:num>
  <w:num w:numId="7">
    <w:abstractNumId w:val="5"/>
  </w:num>
  <w:num w:numId="8">
    <w:abstractNumId w:val="6"/>
    <w:lvlOverride w:ilvl="0">
      <w:startOverride w:val="8"/>
    </w:lvlOverride>
  </w:num>
  <w:num w:numId="9">
    <w:abstractNumId w:val="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E6"/>
    <w:rsid w:val="000439E6"/>
    <w:rsid w:val="00087927"/>
    <w:rsid w:val="00097685"/>
    <w:rsid w:val="000A3F4F"/>
    <w:rsid w:val="000B37D3"/>
    <w:rsid w:val="001047FA"/>
    <w:rsid w:val="0011052E"/>
    <w:rsid w:val="00155E7B"/>
    <w:rsid w:val="00164285"/>
    <w:rsid w:val="00166B52"/>
    <w:rsid w:val="00184F4D"/>
    <w:rsid w:val="001C6F79"/>
    <w:rsid w:val="001E3A09"/>
    <w:rsid w:val="00205A67"/>
    <w:rsid w:val="002A3809"/>
    <w:rsid w:val="002F4F14"/>
    <w:rsid w:val="0031443B"/>
    <w:rsid w:val="0032742B"/>
    <w:rsid w:val="003A318B"/>
    <w:rsid w:val="003C544C"/>
    <w:rsid w:val="00476547"/>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6F6C4B"/>
    <w:rsid w:val="00705F54"/>
    <w:rsid w:val="007077E8"/>
    <w:rsid w:val="00753D3C"/>
    <w:rsid w:val="007F4184"/>
    <w:rsid w:val="00800088"/>
    <w:rsid w:val="00804B76"/>
    <w:rsid w:val="008878BA"/>
    <w:rsid w:val="008C32D1"/>
    <w:rsid w:val="008E5530"/>
    <w:rsid w:val="00962A0E"/>
    <w:rsid w:val="00966F74"/>
    <w:rsid w:val="009820F6"/>
    <w:rsid w:val="00987A7D"/>
    <w:rsid w:val="009A1260"/>
    <w:rsid w:val="009C0A20"/>
    <w:rsid w:val="009E4BE5"/>
    <w:rsid w:val="00A3483E"/>
    <w:rsid w:val="00A4537D"/>
    <w:rsid w:val="00A64ECB"/>
    <w:rsid w:val="00A84CB2"/>
    <w:rsid w:val="00B207BC"/>
    <w:rsid w:val="00B47837"/>
    <w:rsid w:val="00B50A81"/>
    <w:rsid w:val="00B664E6"/>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A3D46"/>
    <w:rsid w:val="00DB7CA7"/>
    <w:rsid w:val="00DE23AD"/>
    <w:rsid w:val="00DE6601"/>
    <w:rsid w:val="00E40BC6"/>
    <w:rsid w:val="00E5292D"/>
    <w:rsid w:val="00EA749C"/>
    <w:rsid w:val="00F16203"/>
    <w:rsid w:val="00F53C00"/>
    <w:rsid w:val="00F875F0"/>
    <w:rsid w:val="00F9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4C011-950C-4F07-8877-9B1D178F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4B"/>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6F6C4B"/>
    <w:pPr>
      <w:keepNext/>
      <w:keepLines/>
      <w:numPr>
        <w:numId w:val="2"/>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6F6C4B"/>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6F6C4B"/>
    <w:pPr>
      <w:keepNext/>
      <w:keepLines/>
      <w:widowControl w:val="0"/>
      <w:numPr>
        <w:ilvl w:val="2"/>
        <w:numId w:val="2"/>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6F6C4B"/>
    <w:pPr>
      <w:keepNext/>
      <w:keepLines/>
      <w:numPr>
        <w:ilvl w:val="3"/>
        <w:numId w:val="2"/>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6F6C4B"/>
    <w:pPr>
      <w:widowControl w:val="0"/>
      <w:numPr>
        <w:ilvl w:val="4"/>
        <w:numId w:val="2"/>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6F6C4B"/>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F6C4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C4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6C4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C4B"/>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6F6C4B"/>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6F6C4B"/>
    <w:rPr>
      <w:rFonts w:cs="SimSun"/>
      <w:b/>
      <w:color w:val="00B050"/>
      <w:sz w:val="24"/>
      <w:szCs w:val="26"/>
      <w:lang w:val="zh-CN" w:eastAsia="zh-CN" w:bidi="zh-CN"/>
    </w:rPr>
  </w:style>
  <w:style w:type="character" w:customStyle="1" w:styleId="Heading4Char">
    <w:name w:val="Heading 4 Char"/>
    <w:basedOn w:val="DefaultParagraphFont"/>
    <w:link w:val="Heading4"/>
    <w:rsid w:val="006F6C4B"/>
    <w:rPr>
      <w:rFonts w:cs="SimSun"/>
      <w:b/>
      <w:i/>
      <w:color w:val="00B050"/>
      <w:szCs w:val="24"/>
      <w:lang w:val="zh-CN" w:eastAsia="zh-CN" w:bidi="zh-CN"/>
    </w:rPr>
  </w:style>
  <w:style w:type="character" w:customStyle="1" w:styleId="Heading5Char">
    <w:name w:val="Heading 5 Char"/>
    <w:basedOn w:val="DefaultParagraphFont"/>
    <w:link w:val="Heading5"/>
    <w:uiPriority w:val="9"/>
    <w:rsid w:val="006F6C4B"/>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6F6C4B"/>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6F6C4B"/>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6F6C4B"/>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6F6C4B"/>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6F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4B"/>
    <w:rPr>
      <w:rFonts w:eastAsiaTheme="minorEastAsia"/>
      <w:lang w:val="zh-CN" w:eastAsia="zh-CN" w:bidi="zh-CN"/>
    </w:rPr>
  </w:style>
  <w:style w:type="paragraph" w:styleId="Footer">
    <w:name w:val="footer"/>
    <w:basedOn w:val="Normal"/>
    <w:link w:val="FooterChar"/>
    <w:uiPriority w:val="99"/>
    <w:unhideWhenUsed/>
    <w:rsid w:val="006F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4B"/>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6F6C4B"/>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6F6C4B"/>
    <w:rPr>
      <w:rFonts w:eastAsiaTheme="minorEastAsia"/>
      <w:sz w:val="20"/>
      <w:szCs w:val="20"/>
      <w:lang w:val="zh-CN" w:eastAsia="zh-CN" w:bidi="zh-CN"/>
    </w:rPr>
  </w:style>
  <w:style w:type="character" w:styleId="FootnoteReference">
    <w:name w:val="footnote reference"/>
    <w:basedOn w:val="DefaultParagraphFont"/>
    <w:uiPriority w:val="99"/>
    <w:unhideWhenUsed/>
    <w:rsid w:val="006F6C4B"/>
    <w:rPr>
      <w:vertAlign w:val="superscript"/>
    </w:rPr>
  </w:style>
  <w:style w:type="character" w:styleId="Emphasis">
    <w:name w:val="Emphasis"/>
    <w:basedOn w:val="DefaultParagraphFont"/>
    <w:qFormat/>
    <w:rsid w:val="006F6C4B"/>
    <w:rPr>
      <w:i/>
      <w:iCs/>
    </w:rPr>
  </w:style>
  <w:style w:type="paragraph" w:customStyle="1" w:styleId="ESSpara">
    <w:name w:val="ESS para"/>
    <w:basedOn w:val="Normal"/>
    <w:link w:val="ESSparaChar"/>
    <w:qFormat/>
    <w:rsid w:val="006F6C4B"/>
    <w:pPr>
      <w:numPr>
        <w:numId w:val="1"/>
      </w:numPr>
      <w:spacing w:after="240" w:line="240" w:lineRule="auto"/>
      <w:jc w:val="both"/>
    </w:pPr>
  </w:style>
  <w:style w:type="character" w:customStyle="1" w:styleId="ESSparaChar">
    <w:name w:val="ESS para Char"/>
    <w:basedOn w:val="DefaultParagraphFont"/>
    <w:link w:val="ESSpara"/>
    <w:rsid w:val="006F6C4B"/>
    <w:rPr>
      <w:rFonts w:eastAsiaTheme="minorEastAsia"/>
      <w:lang w:val="zh-CN" w:eastAsia="zh-CN" w:bidi="zh-CN"/>
    </w:rPr>
  </w:style>
  <w:style w:type="paragraph" w:customStyle="1" w:styleId="essalpha">
    <w:name w:val="ess alpha"/>
    <w:basedOn w:val="ListParagraph"/>
    <w:link w:val="essalphaChar"/>
    <w:qFormat/>
    <w:rsid w:val="006F6C4B"/>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6F6C4B"/>
    <w:rPr>
      <w:rFonts w:eastAsiaTheme="minorEastAsia" w:cs="SimSun"/>
      <w:lang w:val="zh-CN" w:eastAsia="zh-CN" w:bidi="zh-CN"/>
    </w:rPr>
  </w:style>
  <w:style w:type="paragraph" w:customStyle="1" w:styleId="essbullet">
    <w:name w:val="ess bullet"/>
    <w:basedOn w:val="essalpha"/>
    <w:qFormat/>
    <w:rsid w:val="006F6C4B"/>
    <w:pPr>
      <w:numPr>
        <w:ilvl w:val="1"/>
        <w:numId w:val="3"/>
      </w:numPr>
      <w:tabs>
        <w:tab w:val="left" w:pos="1080"/>
      </w:tabs>
      <w:ind w:left="1080"/>
    </w:pPr>
  </w:style>
  <w:style w:type="paragraph" w:customStyle="1" w:styleId="essobjbull">
    <w:name w:val="ess obj bull"/>
    <w:basedOn w:val="essbullet"/>
    <w:link w:val="essobjbullChar"/>
    <w:qFormat/>
    <w:rsid w:val="006F6C4B"/>
    <w:pPr>
      <w:spacing w:after="120"/>
      <w:ind w:left="360"/>
    </w:pPr>
  </w:style>
  <w:style w:type="character" w:customStyle="1" w:styleId="essobjbullChar">
    <w:name w:val="ess obj bull Char"/>
    <w:basedOn w:val="DefaultParagraphFont"/>
    <w:link w:val="essobjbull"/>
    <w:rsid w:val="006F6C4B"/>
    <w:rPr>
      <w:rFonts w:eastAsiaTheme="minorEastAsia" w:cs="SimSun"/>
      <w:lang w:val="zh-CN" w:eastAsia="zh-CN" w:bidi="zh-CN"/>
    </w:rPr>
  </w:style>
  <w:style w:type="paragraph" w:styleId="ListParagraph">
    <w:name w:val="List Paragraph"/>
    <w:basedOn w:val="Normal"/>
    <w:uiPriority w:val="34"/>
    <w:qFormat/>
    <w:rsid w:val="006F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2015-09-16T17:18:00Z</dcterms:created>
  <dcterms:modified xsi:type="dcterms:W3CDTF">2015-09-16T17:24:00Z</dcterms:modified>
</cp:coreProperties>
</file>