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CB3" w:rsidRPr="0060557E" w:rsidRDefault="004A4CB3" w:rsidP="004A4CB3">
      <w:pPr>
        <w:pStyle w:val="Heading1"/>
        <w:numPr>
          <w:ilvl w:val="0"/>
          <w:numId w:val="0"/>
        </w:numPr>
        <w:spacing w:before="240" w:after="240" w:line="240" w:lineRule="auto"/>
        <w:rPr>
          <w:rFonts w:asciiTheme="majorBidi" w:hAnsiTheme="majorBidi"/>
          <w:sz w:val="18"/>
          <w:szCs w:val="18"/>
          <w:bdr w:val="single" w:sz="4" w:space="0" w:color="auto"/>
        </w:rPr>
      </w:pPr>
      <w:bookmarkStart w:id="0" w:name="_Toc394499236"/>
      <w:bookmarkStart w:id="1" w:name="_Toc423449593"/>
      <w:bookmarkStart w:id="2" w:name="_Toc426539816"/>
      <w:r>
        <w:t>环境与社会标准</w:t>
      </w:r>
      <w:r>
        <w:t>9</w:t>
      </w:r>
      <w:r>
        <w:br/>
      </w:r>
      <w:r>
        <w:t>金融中介机构</w:t>
      </w:r>
      <w:bookmarkEnd w:id="0"/>
      <w:bookmarkEnd w:id="1"/>
      <w:bookmarkEnd w:id="2"/>
    </w:p>
    <w:p w:rsidR="004A4CB3" w:rsidRDefault="004A4CB3" w:rsidP="004A4CB3">
      <w:pPr>
        <w:pStyle w:val="Heading2"/>
      </w:pPr>
      <w:bookmarkStart w:id="3" w:name="_Toc394499237"/>
      <w:bookmarkStart w:id="4" w:name="_Toc423449594"/>
      <w:bookmarkStart w:id="5" w:name="_Toc426539817"/>
      <w:r>
        <w:t>简介</w:t>
      </w:r>
      <w:bookmarkEnd w:id="3"/>
      <w:bookmarkEnd w:id="4"/>
      <w:bookmarkEnd w:id="5"/>
    </w:p>
    <w:p w:rsidR="004A4CB3" w:rsidRDefault="004A4CB3" w:rsidP="004A4CB3">
      <w:pPr>
        <w:pStyle w:val="ESSpara"/>
        <w:ind w:left="0" w:firstLine="0"/>
      </w:pPr>
      <w:r>
        <w:t>世界银行致力于支持金融行业的可持续发展，提升国内资金和金融市场的作用。中介融资的性质是，金融中介机构必须管理其投资组合和金融中介机构子项目的环境和社会风险及影响，并监控其投资组合风险（如需要）。金融中介机构管理其投资组合的方式有多种形式，取决于考量因素数量，包括金融中介机构的能力、其需要提供的资金性质和范围。</w:t>
      </w:r>
    </w:p>
    <w:p w:rsidR="004A4CB3" w:rsidRDefault="004A4CB3" w:rsidP="004A4CB3">
      <w:pPr>
        <w:pStyle w:val="ESSpara"/>
        <w:numPr>
          <w:ilvl w:val="0"/>
          <w:numId w:val="5"/>
        </w:numPr>
        <w:ind w:left="0" w:firstLine="0"/>
      </w:pPr>
      <w:r>
        <w:t>金融中介机构需要采取并实施有效的环境与社会程序，确保以负责任的方式管理项目的环境和社会风险及影响，发放贷款。</w:t>
      </w:r>
      <w:r>
        <w:t xml:space="preserve"> </w:t>
      </w:r>
    </w:p>
    <w:p w:rsidR="004A4CB3" w:rsidRDefault="004A4CB3" w:rsidP="004A4CB3">
      <w:pPr>
        <w:pStyle w:val="Heading2"/>
      </w:pPr>
      <w:bookmarkStart w:id="6" w:name="_Toc394499238"/>
      <w:bookmarkStart w:id="7" w:name="_Toc423449595"/>
      <w:bookmarkStart w:id="8" w:name="_Toc426539818"/>
      <w:r>
        <w:t>目标</w:t>
      </w:r>
      <w:bookmarkEnd w:id="6"/>
      <w:bookmarkEnd w:id="7"/>
      <w:bookmarkEnd w:id="8"/>
    </w:p>
    <w:p w:rsidR="004A4CB3" w:rsidRDefault="004A4CB3" w:rsidP="004A4CB3">
      <w:pPr>
        <w:pStyle w:val="essobjbull"/>
      </w:pPr>
      <w:r>
        <w:t>规定金融中介机构评估和管理项目相关投资或子项目的环境与社会风险。</w:t>
      </w:r>
      <w:r>
        <w:t xml:space="preserve">  </w:t>
      </w:r>
    </w:p>
    <w:p w:rsidR="004A4CB3" w:rsidRPr="00173C75" w:rsidRDefault="004A4CB3" w:rsidP="004A4CB3">
      <w:pPr>
        <w:pStyle w:val="essobjbull"/>
      </w:pPr>
      <w:r>
        <w:t>促进金融中介机构资助子项目具有良好的环境与社会商业惯例。</w:t>
      </w:r>
    </w:p>
    <w:p w:rsidR="004A4CB3" w:rsidRDefault="004A4CB3" w:rsidP="004A4CB3">
      <w:pPr>
        <w:pStyle w:val="essobjbull"/>
      </w:pPr>
      <w:r>
        <w:t>在金融中介机构中推广良好的环境管理和完善的人力资源管理。</w:t>
      </w:r>
    </w:p>
    <w:p w:rsidR="004A4CB3" w:rsidRDefault="004A4CB3" w:rsidP="004A4CB3">
      <w:pPr>
        <w:pStyle w:val="Heading2"/>
      </w:pPr>
      <w:bookmarkStart w:id="9" w:name="_Toc394499239"/>
      <w:bookmarkStart w:id="10" w:name="_Toc423449596"/>
      <w:bookmarkStart w:id="11" w:name="_Toc426539819"/>
      <w:r>
        <w:t>适用范围</w:t>
      </w:r>
      <w:bookmarkEnd w:id="9"/>
      <w:bookmarkEnd w:id="10"/>
      <w:bookmarkEnd w:id="11"/>
    </w:p>
    <w:p w:rsidR="004A4CB3" w:rsidRPr="007B54B8" w:rsidRDefault="004A4CB3" w:rsidP="004A4CB3">
      <w:pPr>
        <w:pStyle w:val="ESSpara"/>
        <w:numPr>
          <w:ilvl w:val="0"/>
          <w:numId w:val="5"/>
        </w:numPr>
        <w:ind w:left="0" w:firstLine="0"/>
      </w:pPr>
      <w:r>
        <w:t>在本《环境与社会标准》中，</w:t>
      </w:r>
      <w:r>
        <w:t>“</w:t>
      </w:r>
      <w:r>
        <w:t>金融中介机构子项目</w:t>
      </w:r>
      <w:r>
        <w:t>”</w:t>
      </w:r>
      <w:r>
        <w:t>一词指的是金融中介机构资助的获得世界银行支持的项目。如果项目中涉及一个金融中介机构向另一个金融中介机构贷款，则</w:t>
      </w:r>
      <w:r>
        <w:t>“</w:t>
      </w:r>
      <w:r>
        <w:t>金融中介机构子项目</w:t>
      </w:r>
      <w:r>
        <w:t>”</w:t>
      </w:r>
      <w:r>
        <w:t>将包含各接受贷款的金融中介机构的子项目。</w:t>
      </w:r>
    </w:p>
    <w:p w:rsidR="004A4CB3" w:rsidRPr="00173C75" w:rsidRDefault="004A4CB3" w:rsidP="004A4CB3">
      <w:pPr>
        <w:pStyle w:val="ESSpara"/>
        <w:numPr>
          <w:ilvl w:val="0"/>
          <w:numId w:val="5"/>
        </w:numPr>
        <w:ind w:left="0" w:firstLine="0"/>
      </w:pPr>
      <w:bookmarkStart w:id="12" w:name="_Ref391783727"/>
      <w:r>
        <w:t>如果世界银行为金融中介机构提供支持，为一系列明确定义的金融中介机构子项目融资，则本《环境与社会标准》的要求适用于上述确定的每个金融中介机构子项目。</w:t>
      </w:r>
      <w:bookmarkEnd w:id="12"/>
    </w:p>
    <w:p w:rsidR="004A4CB3" w:rsidRPr="00173C75" w:rsidRDefault="004A4CB3" w:rsidP="004A4CB3">
      <w:pPr>
        <w:pStyle w:val="ESSpara"/>
        <w:numPr>
          <w:ilvl w:val="0"/>
          <w:numId w:val="5"/>
        </w:numPr>
        <w:ind w:left="0" w:firstLine="0"/>
      </w:pPr>
      <w:bookmarkStart w:id="13" w:name="_Ref391783737"/>
      <w:r>
        <w:t>如果世界银行为金融中介机构提供的支持属于一般用途，</w:t>
      </w:r>
      <w:r>
        <w:rPr>
          <w:rStyle w:val="FootnoteReference"/>
        </w:rPr>
        <w:footnoteReference w:id="1"/>
      </w:r>
      <w:r>
        <w:t>则本《环境与社会标准》的要求适用于金融中介机构（包括金融中介机构子项目）从法律协议生效之日起参与的未来项目的整个投资组合。</w:t>
      </w:r>
      <w:bookmarkEnd w:id="13"/>
      <w:r>
        <w:t xml:space="preserve"> </w:t>
      </w:r>
    </w:p>
    <w:p w:rsidR="004A4CB3" w:rsidRDefault="004A4CB3" w:rsidP="004A4CB3">
      <w:pPr>
        <w:pStyle w:val="Heading2"/>
      </w:pPr>
      <w:bookmarkStart w:id="14" w:name="_Toc394499240"/>
      <w:bookmarkStart w:id="15" w:name="_Toc423449597"/>
      <w:bookmarkStart w:id="16" w:name="_Toc426539820"/>
      <w:r>
        <w:t>要求</w:t>
      </w:r>
      <w:bookmarkEnd w:id="14"/>
      <w:bookmarkEnd w:id="15"/>
      <w:bookmarkEnd w:id="16"/>
    </w:p>
    <w:p w:rsidR="004A4CB3" w:rsidRDefault="004A4CB3" w:rsidP="004A4CB3">
      <w:pPr>
        <w:pStyle w:val="ESSpara"/>
        <w:numPr>
          <w:ilvl w:val="0"/>
          <w:numId w:val="5"/>
        </w:numPr>
        <w:ind w:left="0" w:firstLine="0"/>
      </w:pPr>
      <w:r>
        <w:t>金融中介机构将根据项目的环境和社会风险与影响，对所有金融中介机构子项目</w:t>
      </w:r>
      <w:r>
        <w:rPr>
          <w:rStyle w:val="FootnoteReference"/>
        </w:rPr>
        <w:footnoteReference w:id="2"/>
      </w:r>
      <w:r>
        <w:t>进行筛选和分类。</w:t>
      </w:r>
    </w:p>
    <w:p w:rsidR="004A4CB3" w:rsidRDefault="004A4CB3" w:rsidP="004A4CB3">
      <w:pPr>
        <w:pStyle w:val="ESSpara"/>
        <w:numPr>
          <w:ilvl w:val="0"/>
          <w:numId w:val="5"/>
        </w:numPr>
        <w:ind w:left="0" w:firstLine="0"/>
      </w:pPr>
      <w:r>
        <w:lastRenderedPageBreak/>
        <w:t>金融中介机构应遵守法律协议中的所有排除名单，并对所有金融中介机构子项目应用相关的国家法律。另外，金融中介机构将《环境与社会标准》的相关要求应用到涉及移民（除非此类移民的风险或影响比较轻微）、对土著居民有不利风险或影响或对环境、社区健康、生物多样性或文化遗产有重大风险或影响的任何金融中介机构子项目。</w:t>
      </w:r>
    </w:p>
    <w:p w:rsidR="004A4CB3" w:rsidRDefault="004A4CB3" w:rsidP="004A4CB3">
      <w:pPr>
        <w:pStyle w:val="ESSpara"/>
        <w:numPr>
          <w:ilvl w:val="0"/>
          <w:numId w:val="5"/>
        </w:numPr>
        <w:ind w:left="0" w:firstLine="0"/>
      </w:pPr>
      <w:r>
        <w:t>金融中介机构可能需要采取并实施额外或替代性环境与社会要求，取决于潜在子项目的环境与社会风险和影响以及金融中介机构运营的领域。</w:t>
      </w:r>
      <w:r>
        <w:t xml:space="preserve"> </w:t>
      </w:r>
    </w:p>
    <w:p w:rsidR="004A4CB3" w:rsidRDefault="004A4CB3" w:rsidP="004A4CB3">
      <w:pPr>
        <w:pStyle w:val="ESSpara"/>
        <w:numPr>
          <w:ilvl w:val="0"/>
          <w:numId w:val="5"/>
        </w:numPr>
        <w:ind w:left="0" w:firstLine="0"/>
      </w:pPr>
      <w:r>
        <w:t>金融中介机构将按照与子项目投资组合风险和影响相匹配的方式审查并监测金融中介机构子项目投资组合环境和社会绩效。</w:t>
      </w:r>
    </w:p>
    <w:p w:rsidR="004A4CB3" w:rsidRDefault="004A4CB3" w:rsidP="004A4CB3">
      <w:pPr>
        <w:pStyle w:val="ESSpara"/>
        <w:numPr>
          <w:ilvl w:val="0"/>
          <w:numId w:val="5"/>
        </w:numPr>
        <w:ind w:left="0" w:firstLine="0"/>
      </w:pPr>
      <w:r>
        <w:t>金融中介机构将提供安全健康的工作环境。因此，《环境与社会标准</w:t>
      </w:r>
      <w:r>
        <w:t>2</w:t>
      </w:r>
      <w:r>
        <w:t>》将适用于金融中介机构本身，并且金融中介机构应制定并维护适当的劳动管理程序，包括与雇用条款和职业健康与安全相关的那些程序。</w:t>
      </w:r>
      <w:r>
        <w:t xml:space="preserve">  </w:t>
      </w:r>
    </w:p>
    <w:p w:rsidR="004A4CB3" w:rsidRPr="00173C75" w:rsidRDefault="004A4CB3" w:rsidP="004A4CB3">
      <w:pPr>
        <w:pStyle w:val="Heading3"/>
        <w:ind w:left="0" w:firstLine="0"/>
      </w:pPr>
      <w:bookmarkStart w:id="17" w:name="_Toc423449598"/>
      <w:bookmarkStart w:id="18" w:name="_Toc426539821"/>
      <w:bookmarkStart w:id="19" w:name="_Toc394499241"/>
      <w:r>
        <w:t>金融中介机构环境与社会程序</w:t>
      </w:r>
      <w:bookmarkEnd w:id="17"/>
      <w:bookmarkEnd w:id="18"/>
      <w:r>
        <w:t xml:space="preserve"> </w:t>
      </w:r>
      <w:bookmarkEnd w:id="19"/>
    </w:p>
    <w:p w:rsidR="004A4CB3" w:rsidRPr="00173C75" w:rsidRDefault="004A4CB3" w:rsidP="004A4CB3">
      <w:pPr>
        <w:pStyle w:val="ESSpara"/>
        <w:numPr>
          <w:ilvl w:val="0"/>
          <w:numId w:val="5"/>
        </w:numPr>
        <w:ind w:left="0" w:firstLine="0"/>
      </w:pPr>
      <w:r>
        <w:t xml:space="preserve"> </w:t>
      </w:r>
      <w:r>
        <w:t>金融中介机构应实施并维护明确的环境与社会程序</w:t>
      </w:r>
      <w:r>
        <w:rPr>
          <w:rStyle w:val="FootnoteReference"/>
        </w:rPr>
        <w:footnoteReference w:id="3"/>
      </w:r>
      <w:r>
        <w:t>，该程序应与金融中介机构的性质以及项目和金融中介机构子项目相关潜在环境与社会风险和影响相匹配。</w:t>
      </w:r>
      <w:r>
        <w:rPr>
          <w:rStyle w:val="FootnoteReference"/>
        </w:rPr>
        <w:footnoteReference w:id="4"/>
      </w:r>
      <w:r>
        <w:t xml:space="preserve"> </w:t>
      </w:r>
    </w:p>
    <w:p w:rsidR="004A4CB3" w:rsidRDefault="004A4CB3" w:rsidP="004A4CB3">
      <w:pPr>
        <w:pStyle w:val="ESSpara"/>
        <w:numPr>
          <w:ilvl w:val="0"/>
          <w:numId w:val="5"/>
        </w:numPr>
        <w:ind w:left="0" w:firstLine="0"/>
      </w:pPr>
      <w:r>
        <w:t>金融中介机构应指定其高级管理层中的一员作为代表，全权负责项目和金融中介机构子项目环境与社会绩效，包括本《环境与社会标准》和《环境与社会标准</w:t>
      </w:r>
      <w:r>
        <w:t>2</w:t>
      </w:r>
      <w:r>
        <w:t>》的实施。代表将：</w:t>
      </w:r>
      <w:r>
        <w:t>(a)</w:t>
      </w:r>
      <w:r>
        <w:t>指定负责环境与社会要求日常实施的人员；</w:t>
      </w:r>
      <w:r>
        <w:t>(b)</w:t>
      </w:r>
      <w:r>
        <w:t>确保为环境与社会培训提供充足的资源；</w:t>
      </w:r>
      <w:r>
        <w:t>(c)</w:t>
      </w:r>
      <w:r>
        <w:t>确保为具有潜在重大不利环境或社会风险或影响的子项目评估和管理提供充分的内部或外部专业技术，包括提供实施支持（如需要）。</w:t>
      </w:r>
    </w:p>
    <w:p w:rsidR="004A4CB3" w:rsidRPr="00173C75" w:rsidRDefault="004A4CB3" w:rsidP="004A4CB3">
      <w:pPr>
        <w:pStyle w:val="ESSpara"/>
        <w:numPr>
          <w:ilvl w:val="0"/>
          <w:numId w:val="5"/>
        </w:numPr>
        <w:ind w:left="0" w:firstLine="0"/>
      </w:pPr>
      <w:r>
        <w:t>金融中介机构应确保已经就本《环境与社会标准》和《环境与社会标准</w:t>
      </w:r>
      <w:r>
        <w:t>2</w:t>
      </w:r>
      <w:r>
        <w:t>》的要求与所有相关人员进行明确沟通，并提供适当的培训，保证相关人员具有必要的能力和支持来实施这些要求。</w:t>
      </w:r>
    </w:p>
    <w:p w:rsidR="004A4CB3" w:rsidRPr="00173C75" w:rsidRDefault="004A4CB3" w:rsidP="004A4CB3">
      <w:pPr>
        <w:pStyle w:val="ESSpara"/>
        <w:numPr>
          <w:ilvl w:val="0"/>
          <w:numId w:val="5"/>
        </w:numPr>
        <w:ind w:left="0" w:firstLine="0"/>
      </w:pPr>
      <w:r>
        <w:t>金融中介机构的环境与社会程序应包含措施（若金融中介机构子项目类型适用），用于：</w:t>
      </w:r>
    </w:p>
    <w:p w:rsidR="004A4CB3" w:rsidRPr="00173C75" w:rsidRDefault="004A4CB3" w:rsidP="004A4CB3">
      <w:pPr>
        <w:pStyle w:val="essalpha"/>
        <w:numPr>
          <w:ilvl w:val="0"/>
          <w:numId w:val="4"/>
        </w:numPr>
        <w:ind w:left="1800"/>
      </w:pPr>
      <w:r>
        <w:t>根据法律协议中的所有排除名单，筛选所有金融中介机构子项目；</w:t>
      </w:r>
    </w:p>
    <w:p w:rsidR="004A4CB3" w:rsidRPr="00173C75" w:rsidRDefault="004A4CB3" w:rsidP="004A4CB3">
      <w:pPr>
        <w:pStyle w:val="essalpha"/>
        <w:numPr>
          <w:ilvl w:val="0"/>
          <w:numId w:val="4"/>
        </w:numPr>
        <w:ind w:left="1800"/>
      </w:pPr>
      <w:r>
        <w:t>根据金融中介机构子项目的潜在环境和社会风险与影响对子项目进行审查和分类；</w:t>
      </w:r>
    </w:p>
    <w:p w:rsidR="004A4CB3" w:rsidRDefault="004A4CB3" w:rsidP="004A4CB3">
      <w:pPr>
        <w:pStyle w:val="essalpha"/>
        <w:numPr>
          <w:ilvl w:val="0"/>
          <w:numId w:val="4"/>
        </w:numPr>
        <w:ind w:left="1800"/>
      </w:pPr>
      <w:r>
        <w:lastRenderedPageBreak/>
        <w:t>要求根据国家法律规定对所有金融中介机构子项目进行环境与社会评价，另外，若金融中介机构子项目涉及移民（除非此类移民的风险或影响比较轻微）、对土著居民有不利风险或影响或对环境、社区健康、生物多样性或文化遗产有重大风险或影响，则应满足《环境与社会标准》的相关要求；</w:t>
      </w:r>
      <w:r>
        <w:t xml:space="preserve">  </w:t>
      </w:r>
    </w:p>
    <w:p w:rsidR="004A4CB3" w:rsidRDefault="004A4CB3" w:rsidP="004A4CB3">
      <w:pPr>
        <w:pStyle w:val="essalpha"/>
        <w:numPr>
          <w:ilvl w:val="0"/>
          <w:numId w:val="4"/>
        </w:numPr>
        <w:ind w:left="1800"/>
      </w:pPr>
      <w:r>
        <w:t>要求根据国家法律规定筹备和实施所有金融中介机构子项目，另外，若金融中介机构子项目涉及移民（除非此类移民的风险或影响比较轻微）、对土著居民有不利风险或影响或对环境、社区健康、生物多样性或文化遗产有重大风险或影响，则应满足《环境与社会标准》的相关要求；</w:t>
      </w:r>
      <w:r>
        <w:t xml:space="preserve"> </w:t>
      </w:r>
    </w:p>
    <w:p w:rsidR="004A4CB3" w:rsidRDefault="004A4CB3" w:rsidP="004A4CB3">
      <w:pPr>
        <w:pStyle w:val="essalpha"/>
        <w:numPr>
          <w:ilvl w:val="0"/>
          <w:numId w:val="4"/>
        </w:numPr>
        <w:ind w:left="1800"/>
      </w:pPr>
      <w:r>
        <w:t>确保满足上述</w:t>
      </w:r>
      <w:r>
        <w:t>(c)</w:t>
      </w:r>
      <w:r>
        <w:t>和</w:t>
      </w:r>
      <w:r>
        <w:t>(d)</w:t>
      </w:r>
      <w:r>
        <w:t>项要求的措施应在金融中介机构和子项目借款国之间法律协议中体现出来；</w:t>
      </w:r>
    </w:p>
    <w:p w:rsidR="004A4CB3" w:rsidRPr="00173C75" w:rsidRDefault="004A4CB3" w:rsidP="004A4CB3">
      <w:pPr>
        <w:pStyle w:val="essalpha"/>
        <w:numPr>
          <w:ilvl w:val="0"/>
          <w:numId w:val="4"/>
        </w:numPr>
        <w:ind w:left="1800"/>
      </w:pPr>
      <w:r>
        <w:t>监控并记录金融中介机构子项目的环境与社会情况并定期更新；</w:t>
      </w:r>
    </w:p>
    <w:p w:rsidR="004A4CB3" w:rsidRPr="00173C75" w:rsidRDefault="004A4CB3" w:rsidP="004A4CB3">
      <w:pPr>
        <w:pStyle w:val="essalpha"/>
        <w:numPr>
          <w:ilvl w:val="0"/>
          <w:numId w:val="4"/>
        </w:numPr>
        <w:ind w:left="1800"/>
      </w:pPr>
      <w:r>
        <w:t>监测金融中介机构投资组合的环境与社会风险。</w:t>
      </w:r>
      <w:r>
        <w:t xml:space="preserve"> </w:t>
      </w:r>
    </w:p>
    <w:p w:rsidR="004A4CB3" w:rsidRDefault="004A4CB3" w:rsidP="004A4CB3">
      <w:pPr>
        <w:pStyle w:val="ESSpara"/>
        <w:numPr>
          <w:ilvl w:val="0"/>
          <w:numId w:val="5"/>
        </w:numPr>
        <w:ind w:left="0" w:firstLine="0"/>
      </w:pPr>
      <w:r>
        <w:t>如果金融中介机构的项目可能存在极小或不存在不利的环境或社会风险或影响，则除国家法律要求外，该金融中介机构无需采取或实施环境与社会程序。</w:t>
      </w:r>
      <w:r>
        <w:rPr>
          <w:vertAlign w:val="superscript"/>
        </w:rPr>
        <w:footnoteReference w:id="5"/>
      </w:r>
    </w:p>
    <w:p w:rsidR="004A4CB3" w:rsidRDefault="004A4CB3" w:rsidP="004A4CB3">
      <w:pPr>
        <w:pStyle w:val="ESSpara"/>
        <w:numPr>
          <w:ilvl w:val="0"/>
          <w:numId w:val="5"/>
        </w:numPr>
        <w:ind w:left="0" w:firstLine="0"/>
      </w:pPr>
      <w:r>
        <w:t>金融中介机构将监控金融中介机构子项目的环境和社会绩效。如果金融中介机构子项目的风险等级显著增加，则金融中介机构将通知世界银行</w:t>
      </w:r>
      <w:r>
        <w:t>,</w:t>
      </w:r>
      <w:r>
        <w:t>并将以世界银行同意的方式应用《环境与社会标准》</w:t>
      </w:r>
      <w:r>
        <w:rPr>
          <w:rStyle w:val="FootnoteReference"/>
        </w:rPr>
        <w:footnoteReference w:id="6"/>
      </w:r>
      <w:r>
        <w:t>的相关要求。认可的措施和行动将包含在《环境与社会承诺计划》和金融中介机构与子借款方之间的法律协议中，将由世界银行进行监督。</w:t>
      </w:r>
    </w:p>
    <w:p w:rsidR="004A4CB3" w:rsidRPr="00173C75" w:rsidRDefault="004A4CB3" w:rsidP="004A4CB3">
      <w:pPr>
        <w:pStyle w:val="Heading3"/>
        <w:ind w:left="0" w:firstLine="0"/>
      </w:pPr>
      <w:bookmarkStart w:id="20" w:name="_Toc394499243"/>
      <w:bookmarkStart w:id="21" w:name="_Toc423449599"/>
      <w:bookmarkStart w:id="22" w:name="_Toc426539822"/>
      <w:r>
        <w:t>利益相关者参与</w:t>
      </w:r>
      <w:bookmarkEnd w:id="20"/>
      <w:bookmarkEnd w:id="21"/>
      <w:bookmarkEnd w:id="22"/>
    </w:p>
    <w:p w:rsidR="004A4CB3" w:rsidRPr="009D7878" w:rsidRDefault="004A4CB3" w:rsidP="004A4CB3">
      <w:pPr>
        <w:pStyle w:val="ESSpara"/>
        <w:numPr>
          <w:ilvl w:val="0"/>
          <w:numId w:val="5"/>
        </w:numPr>
        <w:ind w:left="0" w:firstLine="0"/>
      </w:pPr>
      <w:r>
        <w:t>金融中介机构将按照与项目风险和影响相匹配的方式开展利益相关者参与活动，这反映了金融中介机构的性质和世行所资助的金融中介机构子项目的类型。《环境与社会标准</w:t>
      </w:r>
      <w:r>
        <w:t>10</w:t>
      </w:r>
      <w:r>
        <w:t>》的相关规定将包括在金融中介机构的环境和社会程序中。</w:t>
      </w:r>
      <w:r>
        <w:t xml:space="preserve"> </w:t>
      </w:r>
    </w:p>
    <w:p w:rsidR="004A4CB3" w:rsidRDefault="004A4CB3" w:rsidP="004A4CB3">
      <w:pPr>
        <w:pStyle w:val="ESSpara"/>
        <w:numPr>
          <w:ilvl w:val="0"/>
          <w:numId w:val="5"/>
        </w:numPr>
        <w:ind w:left="0" w:firstLine="0"/>
      </w:pPr>
      <w:r>
        <w:t>金融中介机构应根据金融中介机构子项目的风险和影响以及金融中介机构投资组合的风险预测，制定环境与社会事宜外部沟通的程序。金融中介机构应及时对公众的询问和关切作出回应。金融中介机构应在其网站上列出其资助的高风险金融中介机构子项目的环境与社会评价报告链接。</w:t>
      </w:r>
      <w:r>
        <w:t xml:space="preserve"> </w:t>
      </w:r>
    </w:p>
    <w:p w:rsidR="004A4CB3" w:rsidRPr="00173C75" w:rsidRDefault="004A4CB3" w:rsidP="004A4CB3">
      <w:pPr>
        <w:pStyle w:val="Heading3"/>
        <w:ind w:left="0" w:firstLine="0"/>
      </w:pPr>
      <w:bookmarkStart w:id="23" w:name="_Toc394499244"/>
      <w:bookmarkStart w:id="24" w:name="_Toc423449600"/>
      <w:bookmarkStart w:id="25" w:name="_Toc426539823"/>
      <w:r>
        <w:t>向世界银行汇报</w:t>
      </w:r>
      <w:bookmarkEnd w:id="23"/>
      <w:bookmarkEnd w:id="24"/>
      <w:bookmarkEnd w:id="25"/>
    </w:p>
    <w:p w:rsidR="004A4CB3" w:rsidRDefault="004A4CB3" w:rsidP="004A4CB3">
      <w:pPr>
        <w:pStyle w:val="ESSpara"/>
        <w:numPr>
          <w:ilvl w:val="0"/>
          <w:numId w:val="5"/>
        </w:numPr>
        <w:ind w:left="0" w:firstLine="0"/>
      </w:pPr>
      <w:r>
        <w:t>金融中介机构应向世界银行提交环境与社会年度报告，说明其环境与社会程序、本《环境与社会标准》和《环境与社会标准</w:t>
      </w:r>
      <w:r>
        <w:t>2</w:t>
      </w:r>
      <w:r>
        <w:t>》以及金融中介机构子项目投资组合环境与社会绩效的实施</w:t>
      </w:r>
      <w:r>
        <w:lastRenderedPageBreak/>
        <w:t>情况。年度报告应包含满足本《环境与社会标准》要求的方式、通过项目资助的金融中介机构子项目的性质和整体投资组合风险（按行业分类）的详情。</w:t>
      </w:r>
    </w:p>
    <w:p w:rsidR="004A4CB3" w:rsidRDefault="004A4CB3" w:rsidP="004A4CB3">
      <w:pPr>
        <w:pStyle w:val="Heading1"/>
        <w:numPr>
          <w:ilvl w:val="0"/>
          <w:numId w:val="0"/>
        </w:numPr>
        <w:spacing w:line="240" w:lineRule="auto"/>
        <w:jc w:val="left"/>
        <w:sectPr w:rsidR="004A4CB3" w:rsidSect="00890A5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5B3CCD" w:rsidRDefault="00A01FB2"/>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B2" w:rsidRDefault="00A01FB2" w:rsidP="004A4CB3">
      <w:pPr>
        <w:spacing w:after="0" w:line="240" w:lineRule="auto"/>
      </w:pPr>
      <w:r>
        <w:separator/>
      </w:r>
    </w:p>
  </w:endnote>
  <w:endnote w:type="continuationSeparator" w:id="0">
    <w:p w:rsidR="00A01FB2" w:rsidRDefault="00A01FB2" w:rsidP="004A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5E" w:rsidRDefault="00F45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5E" w:rsidRDefault="00F454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5E" w:rsidRDefault="00F45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B2" w:rsidRDefault="00A01FB2" w:rsidP="004A4CB3">
      <w:pPr>
        <w:spacing w:after="0" w:line="240" w:lineRule="auto"/>
      </w:pPr>
      <w:r>
        <w:separator/>
      </w:r>
    </w:p>
  </w:footnote>
  <w:footnote w:type="continuationSeparator" w:id="0">
    <w:p w:rsidR="00A01FB2" w:rsidRDefault="00A01FB2" w:rsidP="004A4CB3">
      <w:pPr>
        <w:spacing w:after="0" w:line="240" w:lineRule="auto"/>
      </w:pPr>
      <w:r>
        <w:continuationSeparator/>
      </w:r>
    </w:p>
  </w:footnote>
  <w:footnote w:id="1">
    <w:p w:rsidR="004A4CB3" w:rsidRDefault="004A4CB3" w:rsidP="004A4CB3">
      <w:pPr>
        <w:pStyle w:val="FootnoteText"/>
        <w:jc w:val="both"/>
      </w:pPr>
      <w:r>
        <w:rPr>
          <w:rStyle w:val="FootnoteReference"/>
        </w:rPr>
        <w:footnoteRef/>
      </w:r>
      <w:r>
        <w:t xml:space="preserve"> “</w:t>
      </w:r>
      <w:r>
        <w:t>一般用途</w:t>
      </w:r>
      <w:r>
        <w:t>”</w:t>
      </w:r>
      <w:r>
        <w:t>的支持意味着支持是可替代的，并且不能追踪到特定的金融中介机构子项目。</w:t>
      </w:r>
    </w:p>
  </w:footnote>
  <w:footnote w:id="2">
    <w:p w:rsidR="004A4CB3" w:rsidRDefault="004A4CB3" w:rsidP="004A4CB3">
      <w:pPr>
        <w:pStyle w:val="FootnoteText"/>
        <w:jc w:val="both"/>
      </w:pPr>
      <w:r>
        <w:rPr>
          <w:rStyle w:val="FootnoteReference"/>
        </w:rPr>
        <w:footnoteRef/>
      </w:r>
      <w:r>
        <w:t xml:space="preserve"> </w:t>
      </w:r>
      <w:r>
        <w:t>不论金融中介机构子项目是否具有明确定义（参见第</w:t>
      </w:r>
      <w:r>
        <w:t>4</w:t>
      </w:r>
      <w:r>
        <w:t>条）或作为金融中介机构子项目投资组合的一部分（参见第</w:t>
      </w:r>
      <w:r>
        <w:t>5</w:t>
      </w:r>
      <w:r>
        <w:t>条）。</w:t>
      </w:r>
    </w:p>
  </w:footnote>
  <w:footnote w:id="3">
    <w:p w:rsidR="004A4CB3" w:rsidRDefault="004A4CB3" w:rsidP="004A4CB3">
      <w:pPr>
        <w:pStyle w:val="FootnoteText"/>
      </w:pPr>
      <w:r>
        <w:rPr>
          <w:rStyle w:val="FootnoteReference"/>
        </w:rPr>
        <w:footnoteRef/>
      </w:r>
      <w:r>
        <w:t xml:space="preserve"> </w:t>
      </w:r>
      <w:r>
        <w:t>此程序可能包括或采用环境和社会管理系统的形式。</w:t>
      </w:r>
    </w:p>
  </w:footnote>
  <w:footnote w:id="4">
    <w:p w:rsidR="004A4CB3" w:rsidRPr="0021187E" w:rsidRDefault="004A4CB3" w:rsidP="004A4CB3">
      <w:pPr>
        <w:pStyle w:val="ESSpara"/>
        <w:numPr>
          <w:ilvl w:val="0"/>
          <w:numId w:val="0"/>
        </w:numPr>
        <w:rPr>
          <w:sz w:val="20"/>
          <w:szCs w:val="20"/>
        </w:rPr>
      </w:pPr>
      <w:r>
        <w:rPr>
          <w:rStyle w:val="FootnoteReference"/>
          <w:sz w:val="20"/>
        </w:rPr>
        <w:footnoteRef/>
      </w:r>
      <w:r>
        <w:rPr>
          <w:sz w:val="20"/>
        </w:rPr>
        <w:t>如果金融中介机构已经存在适当的环境与社会程序，则应向世界银行提供充分的书面证据，并接受世界银行的审查，在世界银行认为有必要的情况下进行改进。</w:t>
      </w:r>
    </w:p>
    <w:p w:rsidR="004A4CB3" w:rsidRDefault="004A4CB3" w:rsidP="004A4CB3">
      <w:pPr>
        <w:pStyle w:val="FootnoteText"/>
      </w:pPr>
    </w:p>
  </w:footnote>
  <w:footnote w:id="5">
    <w:p w:rsidR="004A4CB3" w:rsidRDefault="004A4CB3" w:rsidP="004A4CB3">
      <w:pPr>
        <w:pStyle w:val="FootnoteText"/>
      </w:pPr>
      <w:r>
        <w:rPr>
          <w:rStyle w:val="FootnoteReference"/>
        </w:rPr>
        <w:footnoteRef/>
      </w:r>
      <w:r>
        <w:t xml:space="preserve"> </w:t>
      </w:r>
      <w:r>
        <w:t>例如消费贷款的相关规定。这取决于对金融中介机构能力及其拟定融资的特定子项目的评估。</w:t>
      </w:r>
      <w:r>
        <w:t xml:space="preserve"> </w:t>
      </w:r>
    </w:p>
  </w:footnote>
  <w:footnote w:id="6">
    <w:p w:rsidR="004A4CB3" w:rsidRDefault="004A4CB3" w:rsidP="004A4CB3">
      <w:pPr>
        <w:pStyle w:val="FootnoteText"/>
      </w:pPr>
      <w:r>
        <w:rPr>
          <w:rStyle w:val="FootnoteReference"/>
        </w:rPr>
        <w:footnoteRef/>
      </w:r>
      <w:r>
        <w:t xml:space="preserve"> </w:t>
      </w:r>
      <w:r>
        <w:t>《环境与社会标准》的相关要求将与金融中介机构子项目的风险等级增加的原因有关。</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CB3" w:rsidRDefault="004A4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29114925"/>
      <w:docPartObj>
        <w:docPartGallery w:val="Watermarks"/>
        <w:docPartUnique/>
      </w:docPartObj>
    </w:sdtPr>
    <w:sdtEndPr>
      <w:rPr>
        <w:b w:val="0"/>
        <w:bCs w:val="0"/>
      </w:rPr>
    </w:sdtEndPr>
    <w:sdtContent>
      <w:sdt>
        <w:sdtPr>
          <w:rPr>
            <w:b/>
            <w:bCs/>
            <w:sz w:val="32"/>
            <w:szCs w:val="32"/>
          </w:rPr>
          <w:id w:val="-1681573570"/>
          <w:docPartObj>
            <w:docPartGallery w:val="Watermarks"/>
            <w:docPartUnique/>
          </w:docPartObj>
        </w:sdtPr>
        <w:sdtEndPr/>
        <w:sdtContent>
          <w:p w:rsidR="004A4CB3" w:rsidRPr="00DC4E5F" w:rsidRDefault="004A4CB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w:t>
            </w:r>
            <w:r>
              <w:rPr>
                <w:rFonts w:eastAsiaTheme="majorEastAsia" w:cstheme="majorBidi"/>
                <w:b/>
                <w:i/>
                <w:sz w:val="32"/>
                <w:bdr w:val="single" w:sz="4" w:space="0" w:color="auto"/>
              </w:rPr>
              <w:t>2015</w:t>
            </w:r>
            <w:r>
              <w:rPr>
                <w:rFonts w:eastAsiaTheme="majorEastAsia" w:cstheme="majorBidi"/>
                <w:b/>
                <w:i/>
                <w:sz w:val="32"/>
                <w:bdr w:val="single" w:sz="4" w:space="0" w:color="auto"/>
              </w:rPr>
              <w:t>年</w:t>
            </w:r>
            <w:r>
              <w:rPr>
                <w:rFonts w:eastAsiaTheme="majorEastAsia" w:cstheme="majorBidi"/>
                <w:b/>
                <w:i/>
                <w:sz w:val="32"/>
                <w:bdr w:val="single" w:sz="4" w:space="0" w:color="auto"/>
              </w:rPr>
              <w:t>7</w:t>
            </w:r>
            <w:r>
              <w:rPr>
                <w:rFonts w:eastAsiaTheme="majorEastAsia" w:cstheme="majorBidi"/>
                <w:b/>
                <w:i/>
                <w:sz w:val="32"/>
                <w:bdr w:val="single" w:sz="4" w:space="0" w:color="auto"/>
              </w:rPr>
              <w:t>月</w:t>
            </w:r>
            <w:r>
              <w:rPr>
                <w:rFonts w:eastAsiaTheme="majorEastAsia" w:cstheme="majorBidi"/>
                <w:b/>
                <w:i/>
                <w:sz w:val="32"/>
                <w:bdr w:val="single" w:sz="4" w:space="0" w:color="auto"/>
              </w:rPr>
              <w:t>1</w:t>
            </w:r>
            <w:r>
              <w:rPr>
                <w:rFonts w:eastAsiaTheme="majorEastAsia" w:cstheme="majorBidi"/>
                <w:b/>
                <w:i/>
                <w:sz w:val="32"/>
                <w:bdr w:val="single" w:sz="4" w:space="0" w:color="auto"/>
              </w:rPr>
              <w:t>日</w:t>
            </w:r>
          </w:p>
          <w:p w:rsidR="004A4CB3" w:rsidRDefault="00A01FB2" w:rsidP="008356C9">
            <w:pPr>
              <w:pStyle w:val="Header"/>
              <w:jc w:val="both"/>
              <w:rPr>
                <w:sz w:val="32"/>
                <w:szCs w:val="32"/>
              </w:rPr>
            </w:pPr>
          </w:p>
        </w:sdtContent>
      </w:sdt>
    </w:sdtContent>
  </w:sdt>
  <w:p w:rsidR="004A4CB3" w:rsidRPr="00870993" w:rsidRDefault="004A4CB3" w:rsidP="00B37073">
    <w:pPr>
      <w:spacing w:before="240" w:after="240"/>
      <w:contextualSpacing/>
      <w:jc w:val="center"/>
      <w:outlineLvl w:val="0"/>
      <w:rPr>
        <w:rFonts w:eastAsiaTheme="majorEastAsia" w:cstheme="majorBidi"/>
        <w:b/>
        <w:i/>
        <w:iCs/>
        <w:sz w:val="32"/>
        <w:szCs w:val="32"/>
        <w:bdr w:val="single" w:sz="4" w:space="0" w:color="auto"/>
      </w:rPr>
    </w:pPr>
    <w:r>
      <w:rPr>
        <w:rFonts w:eastAsiaTheme="minorHAnsi"/>
        <w:b/>
        <w:color w:val="00B050"/>
        <w:sz w:val="28"/>
      </w:rPr>
      <w:t xml:space="preserve"> 环境与社会标准9.金融中介机构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596137652"/>
      <w:docPartObj>
        <w:docPartGallery w:val="Watermarks"/>
        <w:docPartUnique/>
      </w:docPartObj>
    </w:sdtPr>
    <w:sdtEndPr>
      <w:rPr>
        <w:b w:val="0"/>
        <w:bCs w:val="0"/>
      </w:rPr>
    </w:sdtEndPr>
    <w:sdtContent>
      <w:sdt>
        <w:sdtPr>
          <w:rPr>
            <w:b/>
            <w:bCs/>
            <w:sz w:val="32"/>
            <w:szCs w:val="32"/>
          </w:rPr>
          <w:id w:val="-663245640"/>
          <w:docPartObj>
            <w:docPartGallery w:val="Watermarks"/>
            <w:docPartUnique/>
          </w:docPartObj>
        </w:sdtPr>
        <w:sdtEndPr/>
        <w:sdtContent>
          <w:p w:rsidR="004A4CB3" w:rsidRDefault="004A4CB3" w:rsidP="00252BAB">
            <w:pPr>
              <w:pStyle w:val="Header"/>
              <w:jc w:val="center"/>
              <w:rPr>
                <w:rFonts w:eastAsiaTheme="majorEastAsia" w:cstheme="majorBidi"/>
                <w:b/>
                <w:i/>
                <w:sz w:val="32"/>
                <w:bdr w:val="single" w:sz="4" w:space="0" w:color="auto"/>
              </w:rPr>
            </w:pPr>
            <w:r>
              <w:rPr>
                <w:rFonts w:eastAsiaTheme="majorEastAsia" w:cstheme="majorBidi"/>
                <w:b/>
                <w:i/>
                <w:sz w:val="32"/>
                <w:bdr w:val="single" w:sz="4" w:space="0" w:color="auto"/>
              </w:rPr>
              <w:t>磋商草案第二稿，</w:t>
            </w:r>
            <w:r>
              <w:rPr>
                <w:rFonts w:eastAsiaTheme="majorEastAsia" w:cstheme="majorBidi"/>
                <w:b/>
                <w:i/>
                <w:sz w:val="32"/>
                <w:bdr w:val="single" w:sz="4" w:space="0" w:color="auto"/>
              </w:rPr>
              <w:t>2015</w:t>
            </w:r>
            <w:r>
              <w:rPr>
                <w:rFonts w:eastAsiaTheme="majorEastAsia" w:cstheme="majorBidi"/>
                <w:b/>
                <w:i/>
                <w:sz w:val="32"/>
                <w:bdr w:val="single" w:sz="4" w:space="0" w:color="auto"/>
              </w:rPr>
              <w:t>年</w:t>
            </w:r>
            <w:r>
              <w:rPr>
                <w:rFonts w:eastAsiaTheme="majorEastAsia" w:cstheme="majorBidi"/>
                <w:b/>
                <w:i/>
                <w:sz w:val="32"/>
                <w:bdr w:val="single" w:sz="4" w:space="0" w:color="auto"/>
              </w:rPr>
              <w:t>7</w:t>
            </w:r>
            <w:r>
              <w:rPr>
                <w:rFonts w:eastAsiaTheme="majorEastAsia" w:cstheme="majorBidi"/>
                <w:b/>
                <w:i/>
                <w:sz w:val="32"/>
                <w:bdr w:val="single" w:sz="4" w:space="0" w:color="auto"/>
              </w:rPr>
              <w:t>月</w:t>
            </w:r>
            <w:r>
              <w:rPr>
                <w:rFonts w:eastAsiaTheme="majorEastAsia" w:cstheme="majorBidi"/>
                <w:b/>
                <w:i/>
                <w:sz w:val="32"/>
                <w:bdr w:val="single" w:sz="4" w:space="0" w:color="auto"/>
              </w:rPr>
              <w:t>1</w:t>
            </w:r>
            <w:r>
              <w:rPr>
                <w:rFonts w:eastAsiaTheme="majorEastAsia" w:cstheme="majorBidi"/>
                <w:b/>
                <w:i/>
                <w:sz w:val="32"/>
                <w:bdr w:val="single" w:sz="4" w:space="0" w:color="auto"/>
              </w:rPr>
              <w:t>日</w:t>
            </w:r>
          </w:p>
          <w:p w:rsidR="00F4545E" w:rsidRDefault="00F4545E" w:rsidP="00252BAB">
            <w:pPr>
              <w:pStyle w:val="Header"/>
              <w:jc w:val="center"/>
              <w:rPr>
                <w:rFonts w:eastAsia="SimSun" w:cstheme="majorBidi"/>
                <w:b/>
                <w:i/>
                <w:sz w:val="32"/>
                <w:bdr w:val="single" w:sz="4" w:space="0" w:color="auto"/>
              </w:rPr>
            </w:pPr>
          </w:p>
          <w:p w:rsidR="00F4545E" w:rsidRPr="00F4545E" w:rsidRDefault="00F4545E" w:rsidP="00252BAB">
            <w:pPr>
              <w:pStyle w:val="Header"/>
              <w:jc w:val="center"/>
              <w:rPr>
                <w:rFonts w:eastAsia="SimSun" w:cstheme="majorBidi" w:hint="eastAsia"/>
                <w:b/>
                <w:bCs/>
                <w:i/>
                <w:iCs/>
                <w:sz w:val="32"/>
                <w:szCs w:val="32"/>
              </w:rPr>
            </w:pPr>
            <w:r>
              <w:rPr>
                <w:rFonts w:eastAsia="SimSun" w:cstheme="majorBidi" w:hint="eastAsia"/>
                <w:b/>
                <w:bCs/>
                <w:i/>
                <w:iCs/>
                <w:sz w:val="32"/>
                <w:szCs w:val="32"/>
              </w:rPr>
              <w:t>本草案中的内容仅供磋商使用，且尚未获得国际复兴开发银行和国际开发协会执行董事会的批准</w:t>
            </w:r>
            <w:bookmarkStart w:id="26" w:name="_GoBack"/>
            <w:bookmarkEnd w:id="26"/>
          </w:p>
          <w:p w:rsidR="004A4CB3" w:rsidRDefault="00A01FB2" w:rsidP="008356C9">
            <w:pPr>
              <w:pStyle w:val="Header"/>
              <w:jc w:val="both"/>
              <w:rPr>
                <w:sz w:val="32"/>
                <w:szCs w:val="32"/>
              </w:rPr>
            </w:pPr>
          </w:p>
        </w:sdtContent>
      </w:sdt>
    </w:sdtContent>
  </w:sdt>
  <w:p w:rsidR="004A4CB3" w:rsidRPr="007C5E5F" w:rsidRDefault="004A4CB3" w:rsidP="007C5E5F">
    <w:pPr>
      <w:pStyle w:val="Header"/>
      <w:jc w:val="both"/>
      <w:rPr>
        <w:sz w:val="6"/>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25160310"/>
    <w:multiLevelType w:val="hybridMultilevel"/>
    <w:tmpl w:val="5630FAC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B3"/>
    <w:rsid w:val="000439E6"/>
    <w:rsid w:val="00087927"/>
    <w:rsid w:val="00097685"/>
    <w:rsid w:val="000A3F4F"/>
    <w:rsid w:val="000B37D3"/>
    <w:rsid w:val="001047FA"/>
    <w:rsid w:val="0011052E"/>
    <w:rsid w:val="00155E7B"/>
    <w:rsid w:val="00164285"/>
    <w:rsid w:val="00166B52"/>
    <w:rsid w:val="00184F4D"/>
    <w:rsid w:val="001C6F79"/>
    <w:rsid w:val="001E3A09"/>
    <w:rsid w:val="00205A67"/>
    <w:rsid w:val="002A3809"/>
    <w:rsid w:val="002F4F14"/>
    <w:rsid w:val="0031443B"/>
    <w:rsid w:val="0032742B"/>
    <w:rsid w:val="003A318B"/>
    <w:rsid w:val="003C544C"/>
    <w:rsid w:val="00476547"/>
    <w:rsid w:val="004A4CB3"/>
    <w:rsid w:val="004A7BE4"/>
    <w:rsid w:val="004B58F4"/>
    <w:rsid w:val="00504481"/>
    <w:rsid w:val="00540BAA"/>
    <w:rsid w:val="00563029"/>
    <w:rsid w:val="005638C3"/>
    <w:rsid w:val="00593C43"/>
    <w:rsid w:val="00606986"/>
    <w:rsid w:val="00627ACC"/>
    <w:rsid w:val="006462D1"/>
    <w:rsid w:val="00651B43"/>
    <w:rsid w:val="00655C75"/>
    <w:rsid w:val="00656EB4"/>
    <w:rsid w:val="00691640"/>
    <w:rsid w:val="00692118"/>
    <w:rsid w:val="006D66A0"/>
    <w:rsid w:val="006F25CC"/>
    <w:rsid w:val="00705F54"/>
    <w:rsid w:val="007077E8"/>
    <w:rsid w:val="00753D3C"/>
    <w:rsid w:val="007F4184"/>
    <w:rsid w:val="00800088"/>
    <w:rsid w:val="00804B76"/>
    <w:rsid w:val="008878BA"/>
    <w:rsid w:val="008E5530"/>
    <w:rsid w:val="00932DFA"/>
    <w:rsid w:val="00962A0E"/>
    <w:rsid w:val="00966F74"/>
    <w:rsid w:val="009820F6"/>
    <w:rsid w:val="00987A7D"/>
    <w:rsid w:val="009A1260"/>
    <w:rsid w:val="009C0A20"/>
    <w:rsid w:val="009E4BE5"/>
    <w:rsid w:val="00A01FB2"/>
    <w:rsid w:val="00A3483E"/>
    <w:rsid w:val="00A4537D"/>
    <w:rsid w:val="00A64ECB"/>
    <w:rsid w:val="00A84CB2"/>
    <w:rsid w:val="00B207BC"/>
    <w:rsid w:val="00B47837"/>
    <w:rsid w:val="00B70153"/>
    <w:rsid w:val="00B766FF"/>
    <w:rsid w:val="00B81AF7"/>
    <w:rsid w:val="00BA6E4A"/>
    <w:rsid w:val="00BB2573"/>
    <w:rsid w:val="00BC2905"/>
    <w:rsid w:val="00C12564"/>
    <w:rsid w:val="00C163AC"/>
    <w:rsid w:val="00C201DD"/>
    <w:rsid w:val="00C35B92"/>
    <w:rsid w:val="00C50076"/>
    <w:rsid w:val="00C70A5C"/>
    <w:rsid w:val="00C756C9"/>
    <w:rsid w:val="00CA3828"/>
    <w:rsid w:val="00CC5F31"/>
    <w:rsid w:val="00CE074B"/>
    <w:rsid w:val="00CF2CBD"/>
    <w:rsid w:val="00D54663"/>
    <w:rsid w:val="00D57078"/>
    <w:rsid w:val="00D920A3"/>
    <w:rsid w:val="00DA3D46"/>
    <w:rsid w:val="00DB7CA7"/>
    <w:rsid w:val="00DE23AD"/>
    <w:rsid w:val="00DE6601"/>
    <w:rsid w:val="00E40BC6"/>
    <w:rsid w:val="00E5292D"/>
    <w:rsid w:val="00EA749C"/>
    <w:rsid w:val="00F16203"/>
    <w:rsid w:val="00F4545E"/>
    <w:rsid w:val="00F53C00"/>
    <w:rsid w:val="00F875F0"/>
    <w:rsid w:val="00F9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FC9F7-2643-4AD6-AF7C-DC067980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B3"/>
    <w:pPr>
      <w:spacing w:after="200" w:line="276" w:lineRule="auto"/>
    </w:pPr>
    <w:rPr>
      <w:rFonts w:eastAsiaTheme="minorEastAsia"/>
      <w:lang w:val="zh-CN" w:eastAsia="zh-CN" w:bidi="zh-CN"/>
    </w:rPr>
  </w:style>
  <w:style w:type="paragraph" w:styleId="Heading1">
    <w:name w:val="heading 1"/>
    <w:basedOn w:val="Normal"/>
    <w:next w:val="Normal"/>
    <w:link w:val="Heading1Char"/>
    <w:qFormat/>
    <w:rsid w:val="004A4CB3"/>
    <w:pPr>
      <w:keepNext/>
      <w:keepLines/>
      <w:numPr>
        <w:numId w:val="1"/>
      </w:numPr>
      <w:spacing w:before="480" w:after="0"/>
      <w:jc w:val="center"/>
      <w:outlineLvl w:val="0"/>
    </w:pPr>
    <w:rPr>
      <w:rFonts w:ascii="SimSun" w:eastAsiaTheme="majorEastAsia" w:hAnsi="SimSun" w:cstheme="majorBidi"/>
      <w:b/>
      <w:bCs/>
      <w:color w:val="00B050"/>
      <w:sz w:val="32"/>
      <w:szCs w:val="28"/>
    </w:rPr>
  </w:style>
  <w:style w:type="paragraph" w:styleId="Heading2">
    <w:name w:val="heading 2"/>
    <w:basedOn w:val="Normal"/>
    <w:next w:val="Normal"/>
    <w:link w:val="Heading2Char"/>
    <w:autoRedefine/>
    <w:unhideWhenUsed/>
    <w:qFormat/>
    <w:rsid w:val="004A4CB3"/>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4A4CB3"/>
    <w:pPr>
      <w:keepNext/>
      <w:keepLines/>
      <w:widowControl w:val="0"/>
      <w:numPr>
        <w:ilvl w:val="2"/>
        <w:numId w:val="1"/>
      </w:numPr>
      <w:spacing w:before="240" w:after="120" w:line="240" w:lineRule="auto"/>
      <w:jc w:val="both"/>
      <w:outlineLvl w:val="2"/>
    </w:pPr>
    <w:rPr>
      <w:rFonts w:cs="SimSun"/>
      <w:b/>
      <w:color w:val="00B050"/>
      <w:sz w:val="24"/>
      <w:szCs w:val="26"/>
      <w:lang w:val="zh-CN" w:eastAsia="zh-CN" w:bidi="zh-CN"/>
    </w:rPr>
  </w:style>
  <w:style w:type="paragraph" w:styleId="Heading4">
    <w:name w:val="heading 4"/>
    <w:basedOn w:val="Normal"/>
    <w:next w:val="Normal"/>
    <w:link w:val="Heading4Char"/>
    <w:unhideWhenUsed/>
    <w:qFormat/>
    <w:rsid w:val="004A4CB3"/>
    <w:pPr>
      <w:keepNext/>
      <w:keepLines/>
      <w:numPr>
        <w:ilvl w:val="3"/>
        <w:numId w:val="1"/>
      </w:numPr>
      <w:spacing w:before="120" w:after="120" w:line="240" w:lineRule="auto"/>
      <w:jc w:val="both"/>
      <w:outlineLvl w:val="3"/>
    </w:pPr>
    <w:rPr>
      <w:rFonts w:eastAsiaTheme="minorHAnsi" w:cs="SimSun"/>
      <w:b/>
      <w:i/>
      <w:color w:val="00B050"/>
      <w:szCs w:val="24"/>
    </w:rPr>
  </w:style>
  <w:style w:type="paragraph" w:styleId="Heading5">
    <w:name w:val="heading 5"/>
    <w:basedOn w:val="Normal"/>
    <w:next w:val="Normal"/>
    <w:link w:val="Heading5Char"/>
    <w:uiPriority w:val="9"/>
    <w:unhideWhenUsed/>
    <w:qFormat/>
    <w:rsid w:val="004A4CB3"/>
    <w:pPr>
      <w:widowControl w:val="0"/>
      <w:numPr>
        <w:ilvl w:val="4"/>
        <w:numId w:val="1"/>
      </w:numPr>
      <w:autoSpaceDE w:val="0"/>
      <w:autoSpaceDN w:val="0"/>
      <w:adjustRightInd w:val="0"/>
      <w:spacing w:before="120" w:after="120" w:line="240" w:lineRule="auto"/>
      <w:jc w:val="both"/>
      <w:outlineLvl w:val="4"/>
    </w:pPr>
    <w:rPr>
      <w:rFonts w:eastAsiaTheme="minorHAnsi" w:cs="SimSun"/>
      <w:b/>
      <w:i/>
      <w:iCs/>
      <w:color w:val="C45911" w:themeColor="accent2" w:themeShade="BF"/>
      <w:sz w:val="24"/>
      <w:szCs w:val="24"/>
    </w:rPr>
  </w:style>
  <w:style w:type="paragraph" w:styleId="Heading6">
    <w:name w:val="heading 6"/>
    <w:basedOn w:val="Normal"/>
    <w:next w:val="Normal"/>
    <w:link w:val="Heading6Char"/>
    <w:uiPriority w:val="9"/>
    <w:semiHidden/>
    <w:unhideWhenUsed/>
    <w:qFormat/>
    <w:rsid w:val="004A4CB3"/>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A4CB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4CB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A4CB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CB3"/>
    <w:rPr>
      <w:rFonts w:ascii="SimSun" w:eastAsiaTheme="majorEastAsia" w:hAnsi="SimSun" w:cstheme="majorBidi"/>
      <w:b/>
      <w:bCs/>
      <w:color w:val="00B050"/>
      <w:sz w:val="32"/>
      <w:szCs w:val="28"/>
      <w:lang w:val="zh-CN" w:eastAsia="zh-CN" w:bidi="zh-CN"/>
    </w:rPr>
  </w:style>
  <w:style w:type="character" w:customStyle="1" w:styleId="Heading2Char">
    <w:name w:val="Heading 2 Char"/>
    <w:basedOn w:val="DefaultParagraphFont"/>
    <w:link w:val="Heading2"/>
    <w:rsid w:val="004A4CB3"/>
    <w:rPr>
      <w:rFonts w:eastAsiaTheme="majorEastAsia" w:cstheme="majorBidi"/>
      <w:b/>
      <w:bCs/>
      <w:color w:val="00B050"/>
      <w:sz w:val="24"/>
      <w:szCs w:val="26"/>
      <w:lang w:val="zh-CN" w:eastAsia="zh-CN" w:bidi="zh-CN"/>
    </w:rPr>
  </w:style>
  <w:style w:type="character" w:customStyle="1" w:styleId="Heading3Char">
    <w:name w:val="Heading 3 Char"/>
    <w:basedOn w:val="DefaultParagraphFont"/>
    <w:link w:val="Heading3"/>
    <w:rsid w:val="004A4CB3"/>
    <w:rPr>
      <w:rFonts w:cs="SimSun"/>
      <w:b/>
      <w:color w:val="00B050"/>
      <w:sz w:val="24"/>
      <w:szCs w:val="26"/>
      <w:lang w:val="zh-CN" w:eastAsia="zh-CN" w:bidi="zh-CN"/>
    </w:rPr>
  </w:style>
  <w:style w:type="character" w:customStyle="1" w:styleId="Heading4Char">
    <w:name w:val="Heading 4 Char"/>
    <w:basedOn w:val="DefaultParagraphFont"/>
    <w:link w:val="Heading4"/>
    <w:rsid w:val="004A4CB3"/>
    <w:rPr>
      <w:rFonts w:cs="SimSun"/>
      <w:b/>
      <w:i/>
      <w:color w:val="00B050"/>
      <w:szCs w:val="24"/>
      <w:lang w:val="zh-CN" w:eastAsia="zh-CN" w:bidi="zh-CN"/>
    </w:rPr>
  </w:style>
  <w:style w:type="character" w:customStyle="1" w:styleId="Heading5Char">
    <w:name w:val="Heading 5 Char"/>
    <w:basedOn w:val="DefaultParagraphFont"/>
    <w:link w:val="Heading5"/>
    <w:uiPriority w:val="9"/>
    <w:rsid w:val="004A4CB3"/>
    <w:rPr>
      <w:rFonts w:cs="SimSun"/>
      <w:b/>
      <w:i/>
      <w:iCs/>
      <w:color w:val="C45911" w:themeColor="accent2" w:themeShade="BF"/>
      <w:sz w:val="24"/>
      <w:szCs w:val="24"/>
      <w:lang w:val="zh-CN" w:eastAsia="zh-CN" w:bidi="zh-CN"/>
    </w:rPr>
  </w:style>
  <w:style w:type="character" w:customStyle="1" w:styleId="Heading6Char">
    <w:name w:val="Heading 6 Char"/>
    <w:basedOn w:val="DefaultParagraphFont"/>
    <w:link w:val="Heading6"/>
    <w:uiPriority w:val="9"/>
    <w:semiHidden/>
    <w:rsid w:val="004A4CB3"/>
    <w:rPr>
      <w:rFonts w:asciiTheme="majorHAnsi" w:eastAsiaTheme="majorEastAsia" w:hAnsiTheme="majorHAnsi" w:cstheme="majorBidi"/>
      <w:i/>
      <w:iCs/>
      <w:color w:val="1F4D78" w:themeColor="accent1" w:themeShade="7F"/>
      <w:lang w:val="zh-CN" w:eastAsia="zh-CN" w:bidi="zh-CN"/>
    </w:rPr>
  </w:style>
  <w:style w:type="character" w:customStyle="1" w:styleId="Heading7Char">
    <w:name w:val="Heading 7 Char"/>
    <w:basedOn w:val="DefaultParagraphFont"/>
    <w:link w:val="Heading7"/>
    <w:uiPriority w:val="9"/>
    <w:semiHidden/>
    <w:rsid w:val="004A4CB3"/>
    <w:rPr>
      <w:rFonts w:asciiTheme="majorHAnsi" w:eastAsiaTheme="majorEastAsia" w:hAnsiTheme="majorHAnsi" w:cstheme="majorBidi"/>
      <w:i/>
      <w:iCs/>
      <w:color w:val="404040" w:themeColor="text1" w:themeTint="BF"/>
      <w:lang w:val="zh-CN" w:eastAsia="zh-CN" w:bidi="zh-CN"/>
    </w:rPr>
  </w:style>
  <w:style w:type="character" w:customStyle="1" w:styleId="Heading8Char">
    <w:name w:val="Heading 8 Char"/>
    <w:basedOn w:val="DefaultParagraphFont"/>
    <w:link w:val="Heading8"/>
    <w:uiPriority w:val="9"/>
    <w:semiHidden/>
    <w:rsid w:val="004A4CB3"/>
    <w:rPr>
      <w:rFonts w:asciiTheme="majorHAnsi" w:eastAsiaTheme="majorEastAsia" w:hAnsiTheme="majorHAnsi" w:cstheme="majorBidi"/>
      <w:color w:val="404040" w:themeColor="text1" w:themeTint="BF"/>
      <w:sz w:val="20"/>
      <w:szCs w:val="20"/>
      <w:lang w:val="zh-CN" w:eastAsia="zh-CN" w:bidi="zh-CN"/>
    </w:rPr>
  </w:style>
  <w:style w:type="character" w:customStyle="1" w:styleId="Heading9Char">
    <w:name w:val="Heading 9 Char"/>
    <w:basedOn w:val="DefaultParagraphFont"/>
    <w:link w:val="Heading9"/>
    <w:uiPriority w:val="9"/>
    <w:semiHidden/>
    <w:rsid w:val="004A4CB3"/>
    <w:rPr>
      <w:rFonts w:asciiTheme="majorHAnsi" w:eastAsiaTheme="majorEastAsia" w:hAnsiTheme="majorHAnsi" w:cstheme="majorBidi"/>
      <w:i/>
      <w:iCs/>
      <w:color w:val="404040" w:themeColor="text1" w:themeTint="BF"/>
      <w:sz w:val="20"/>
      <w:szCs w:val="20"/>
      <w:lang w:val="zh-CN" w:eastAsia="zh-CN" w:bidi="zh-CN"/>
    </w:rPr>
  </w:style>
  <w:style w:type="paragraph" w:styleId="Header">
    <w:name w:val="header"/>
    <w:basedOn w:val="Normal"/>
    <w:link w:val="HeaderChar"/>
    <w:uiPriority w:val="99"/>
    <w:unhideWhenUsed/>
    <w:rsid w:val="004A4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CB3"/>
    <w:rPr>
      <w:rFonts w:eastAsiaTheme="minorEastAsia"/>
      <w:lang w:val="zh-CN" w:eastAsia="zh-CN" w:bidi="zh-CN"/>
    </w:rPr>
  </w:style>
  <w:style w:type="paragraph" w:styleId="FootnoteText">
    <w:name w:val="footnote text"/>
    <w:aliases w:val="fn,single space,footnote text"/>
    <w:basedOn w:val="Normal"/>
    <w:link w:val="FootnoteTextChar"/>
    <w:uiPriority w:val="99"/>
    <w:unhideWhenUsed/>
    <w:rsid w:val="004A4CB3"/>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4A4CB3"/>
    <w:rPr>
      <w:rFonts w:eastAsiaTheme="minorEastAsia"/>
      <w:sz w:val="20"/>
      <w:szCs w:val="20"/>
      <w:lang w:val="zh-CN" w:eastAsia="zh-CN" w:bidi="zh-CN"/>
    </w:rPr>
  </w:style>
  <w:style w:type="character" w:styleId="FootnoteReference">
    <w:name w:val="footnote reference"/>
    <w:basedOn w:val="DefaultParagraphFont"/>
    <w:uiPriority w:val="99"/>
    <w:unhideWhenUsed/>
    <w:rsid w:val="004A4CB3"/>
    <w:rPr>
      <w:vertAlign w:val="superscript"/>
    </w:rPr>
  </w:style>
  <w:style w:type="paragraph" w:customStyle="1" w:styleId="ESSpara">
    <w:name w:val="ESS para"/>
    <w:basedOn w:val="Normal"/>
    <w:link w:val="ESSparaChar"/>
    <w:qFormat/>
    <w:rsid w:val="004A4CB3"/>
    <w:pPr>
      <w:numPr>
        <w:numId w:val="3"/>
      </w:numPr>
      <w:spacing w:after="240" w:line="240" w:lineRule="auto"/>
      <w:jc w:val="both"/>
    </w:pPr>
  </w:style>
  <w:style w:type="character" w:customStyle="1" w:styleId="ESSparaChar">
    <w:name w:val="ESS para Char"/>
    <w:basedOn w:val="DefaultParagraphFont"/>
    <w:link w:val="ESSpara"/>
    <w:rsid w:val="004A4CB3"/>
    <w:rPr>
      <w:rFonts w:eastAsiaTheme="minorEastAsia"/>
      <w:lang w:val="zh-CN" w:eastAsia="zh-CN" w:bidi="zh-CN"/>
    </w:rPr>
  </w:style>
  <w:style w:type="paragraph" w:customStyle="1" w:styleId="essalpha">
    <w:name w:val="ess alpha"/>
    <w:basedOn w:val="ListParagraph"/>
    <w:link w:val="essalphaChar"/>
    <w:qFormat/>
    <w:rsid w:val="004A4CB3"/>
    <w:pPr>
      <w:spacing w:after="240" w:line="240" w:lineRule="auto"/>
      <w:ind w:left="0"/>
      <w:contextualSpacing w:val="0"/>
      <w:jc w:val="both"/>
    </w:pPr>
    <w:rPr>
      <w:rFonts w:cs="SimSun"/>
    </w:rPr>
  </w:style>
  <w:style w:type="character" w:customStyle="1" w:styleId="essalphaChar">
    <w:name w:val="ess alpha Char"/>
    <w:basedOn w:val="DefaultParagraphFont"/>
    <w:link w:val="essalpha"/>
    <w:rsid w:val="004A4CB3"/>
    <w:rPr>
      <w:rFonts w:eastAsiaTheme="minorEastAsia" w:cs="SimSun"/>
      <w:lang w:val="zh-CN" w:eastAsia="zh-CN" w:bidi="zh-CN"/>
    </w:rPr>
  </w:style>
  <w:style w:type="paragraph" w:customStyle="1" w:styleId="essbullet">
    <w:name w:val="ess bullet"/>
    <w:basedOn w:val="essalpha"/>
    <w:qFormat/>
    <w:rsid w:val="004A4CB3"/>
    <w:pPr>
      <w:numPr>
        <w:ilvl w:val="1"/>
        <w:numId w:val="2"/>
      </w:numPr>
      <w:tabs>
        <w:tab w:val="left" w:pos="1080"/>
      </w:tabs>
      <w:ind w:left="1080"/>
    </w:pPr>
  </w:style>
  <w:style w:type="paragraph" w:customStyle="1" w:styleId="essobjbull">
    <w:name w:val="ess obj bull"/>
    <w:basedOn w:val="essbullet"/>
    <w:link w:val="essobjbullChar"/>
    <w:qFormat/>
    <w:rsid w:val="004A4CB3"/>
    <w:pPr>
      <w:spacing w:after="120"/>
      <w:ind w:left="360"/>
    </w:pPr>
  </w:style>
  <w:style w:type="character" w:customStyle="1" w:styleId="essobjbullChar">
    <w:name w:val="ess obj bull Char"/>
    <w:basedOn w:val="DefaultParagraphFont"/>
    <w:link w:val="essobjbull"/>
    <w:rsid w:val="004A4CB3"/>
    <w:rPr>
      <w:rFonts w:eastAsiaTheme="minorEastAsia" w:cs="SimSun"/>
      <w:lang w:val="zh-CN" w:eastAsia="zh-CN" w:bidi="zh-CN"/>
    </w:rPr>
  </w:style>
  <w:style w:type="paragraph" w:styleId="ListParagraph">
    <w:name w:val="List Paragraph"/>
    <w:basedOn w:val="Normal"/>
    <w:uiPriority w:val="34"/>
    <w:qFormat/>
    <w:rsid w:val="004A4CB3"/>
    <w:pPr>
      <w:ind w:left="720"/>
      <w:contextualSpacing/>
    </w:pPr>
  </w:style>
  <w:style w:type="paragraph" w:styleId="Footer">
    <w:name w:val="footer"/>
    <w:basedOn w:val="Normal"/>
    <w:link w:val="FooterChar"/>
    <w:uiPriority w:val="99"/>
    <w:unhideWhenUsed/>
    <w:rsid w:val="00F45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45E"/>
    <w:rPr>
      <w:rFonts w:eastAsiaTheme="minorEastAsia"/>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3</cp:revision>
  <dcterms:created xsi:type="dcterms:W3CDTF">2015-09-16T17:19:00Z</dcterms:created>
  <dcterms:modified xsi:type="dcterms:W3CDTF">2015-09-16T17:32:00Z</dcterms:modified>
</cp:coreProperties>
</file>