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C6" w:rsidRPr="005032CE" w:rsidRDefault="00E477C6" w:rsidP="00E47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32CE">
        <w:rPr>
          <w:rFonts w:ascii="Arial" w:hAnsi="Arial" w:cs="Arial"/>
          <w:b/>
          <w:sz w:val="20"/>
          <w:szCs w:val="20"/>
        </w:rPr>
        <w:t xml:space="preserve">Myanmar </w:t>
      </w:r>
      <w:r w:rsidR="00706D52" w:rsidRPr="005032CE">
        <w:rPr>
          <w:rFonts w:ascii="Arial" w:hAnsi="Arial" w:cs="Arial"/>
          <w:b/>
          <w:sz w:val="20"/>
          <w:szCs w:val="20"/>
        </w:rPr>
        <w:t>Country Partnership</w:t>
      </w:r>
      <w:r w:rsidRPr="005032CE">
        <w:rPr>
          <w:rFonts w:ascii="Arial" w:hAnsi="Arial" w:cs="Arial"/>
          <w:b/>
          <w:sz w:val="20"/>
          <w:szCs w:val="20"/>
        </w:rPr>
        <w:t xml:space="preserve"> Strategy</w:t>
      </w:r>
    </w:p>
    <w:p w:rsidR="00E477C6" w:rsidRPr="005032CE" w:rsidRDefault="00E477C6" w:rsidP="00E47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32CE">
        <w:rPr>
          <w:rFonts w:ascii="Arial" w:hAnsi="Arial" w:cs="Arial"/>
          <w:b/>
          <w:sz w:val="20"/>
          <w:szCs w:val="20"/>
        </w:rPr>
        <w:t>First Consultation Workshop,</w:t>
      </w:r>
      <w:r w:rsidR="0028723A" w:rsidRPr="005032CE">
        <w:rPr>
          <w:rFonts w:ascii="Arial" w:hAnsi="Arial" w:cs="Arial"/>
          <w:b/>
          <w:sz w:val="20"/>
          <w:szCs w:val="20"/>
        </w:rPr>
        <w:t xml:space="preserve"> Yangon,</w:t>
      </w:r>
      <w:r w:rsidRPr="005032CE">
        <w:rPr>
          <w:rFonts w:ascii="Arial" w:hAnsi="Arial" w:cs="Arial"/>
          <w:b/>
          <w:sz w:val="20"/>
          <w:szCs w:val="20"/>
        </w:rPr>
        <w:t xml:space="preserve"> </w:t>
      </w:r>
      <w:r w:rsidR="00CB2632" w:rsidRPr="005032CE">
        <w:rPr>
          <w:rFonts w:ascii="Arial" w:hAnsi="Arial" w:cs="Arial"/>
          <w:b/>
          <w:sz w:val="20"/>
          <w:szCs w:val="20"/>
        </w:rPr>
        <w:t>February 27</w:t>
      </w:r>
      <w:r w:rsidR="0028723A" w:rsidRPr="005032CE">
        <w:rPr>
          <w:rFonts w:ascii="Arial" w:hAnsi="Arial" w:cs="Arial"/>
          <w:b/>
          <w:sz w:val="20"/>
          <w:szCs w:val="20"/>
        </w:rPr>
        <w:t>th</w:t>
      </w:r>
      <w:r w:rsidRPr="005032CE">
        <w:rPr>
          <w:rFonts w:ascii="Arial" w:hAnsi="Arial" w:cs="Arial"/>
          <w:b/>
          <w:sz w:val="20"/>
          <w:szCs w:val="20"/>
        </w:rPr>
        <w:t>, 2014</w:t>
      </w:r>
    </w:p>
    <w:p w:rsidR="00E477C6" w:rsidRPr="005032CE" w:rsidRDefault="00CB2632" w:rsidP="00E47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32CE">
        <w:rPr>
          <w:rFonts w:ascii="Arial" w:hAnsi="Arial" w:cs="Arial"/>
          <w:b/>
          <w:sz w:val="20"/>
          <w:szCs w:val="20"/>
        </w:rPr>
        <w:t>Private Sector</w:t>
      </w:r>
    </w:p>
    <w:p w:rsidR="00E477C6" w:rsidRPr="005032CE" w:rsidRDefault="00E477C6" w:rsidP="00E47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05" w:type="dxa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889"/>
        <w:gridCol w:w="6056"/>
        <w:gridCol w:w="2160"/>
      </w:tblGrid>
      <w:tr w:rsidR="00112734" w:rsidRPr="005032CE" w:rsidTr="00112734">
        <w:trPr>
          <w:trHeight w:val="440"/>
        </w:trPr>
        <w:tc>
          <w:tcPr>
            <w:tcW w:w="1889" w:type="dxa"/>
          </w:tcPr>
          <w:p w:rsidR="00112734" w:rsidRPr="005032CE" w:rsidRDefault="00112734" w:rsidP="00867D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2CE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  <w:p w:rsidR="00112734" w:rsidRPr="005032CE" w:rsidRDefault="00112734" w:rsidP="00867D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867D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2CE">
              <w:rPr>
                <w:rFonts w:ascii="Arial" w:hAnsi="Arial" w:cs="Arial"/>
                <w:b/>
                <w:sz w:val="20"/>
                <w:szCs w:val="20"/>
              </w:rPr>
              <w:t>Comments from Stakeholders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2CE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112734" w:rsidRPr="005032CE" w:rsidTr="00112734">
        <w:tc>
          <w:tcPr>
            <w:tcW w:w="1889" w:type="dxa"/>
            <w:vMerge w:val="restart"/>
          </w:tcPr>
          <w:p w:rsidR="004B3E70" w:rsidRDefault="004B3E70" w:rsidP="004B3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734" w:rsidRPr="005032CE" w:rsidRDefault="00112734" w:rsidP="004B3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2CE">
              <w:rPr>
                <w:rFonts w:ascii="Arial" w:hAnsi="Arial" w:cs="Arial"/>
                <w:b/>
                <w:sz w:val="20"/>
                <w:szCs w:val="20"/>
              </w:rPr>
              <w:t>Substance</w:t>
            </w:r>
          </w:p>
        </w:tc>
        <w:tc>
          <w:tcPr>
            <w:tcW w:w="6056" w:type="dxa"/>
          </w:tcPr>
          <w:p w:rsidR="00112734" w:rsidRPr="005032CE" w:rsidRDefault="00112734" w:rsidP="003D5EE0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>WBG should consider what kind of labor farmers move into when they move out of agriculture</w:t>
            </w:r>
            <w:r w:rsidR="00C27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>The missing piece is technology to improve transparency in agriculture supply chain. The WBG should bring to bear its learning from other contexts.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 xml:space="preserve">Given the primacy of the agriculture sector, the development depends on bringing jobs into farming not pushing them out.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C275F4" w:rsidP="00C2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</w:t>
            </w:r>
            <w:r w:rsidR="00112734" w:rsidRPr="005032CE">
              <w:rPr>
                <w:rFonts w:ascii="Arial" w:hAnsi="Arial" w:cs="Arial"/>
                <w:sz w:val="20"/>
                <w:szCs w:val="20"/>
              </w:rPr>
              <w:t>ajor constraint is lack of investment in agriculture and rural infrastructure. WBG should start with strategy in those areas.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C275F4" w:rsidP="00C2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</w:t>
            </w:r>
            <w:r w:rsidR="00112734" w:rsidRPr="005032CE">
              <w:rPr>
                <w:rFonts w:ascii="Arial" w:hAnsi="Arial" w:cs="Arial"/>
                <w:sz w:val="20"/>
                <w:szCs w:val="20"/>
              </w:rPr>
              <w:t xml:space="preserve">ack of self-employment and entrepreneurial capacity is a major constraint and should thus be a priority.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C275F4" w:rsidP="0050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</w:t>
            </w:r>
            <w:r w:rsidR="00112734" w:rsidRPr="005032CE">
              <w:rPr>
                <w:rFonts w:ascii="Arial" w:hAnsi="Arial" w:cs="Arial"/>
                <w:sz w:val="20"/>
                <w:szCs w:val="20"/>
              </w:rPr>
              <w:t xml:space="preserve">aw reform committee should be implemented to address the lack of coordination amongst current new laws. </w:t>
            </w:r>
          </w:p>
          <w:p w:rsidR="00112734" w:rsidRPr="005032CE" w:rsidRDefault="00112734" w:rsidP="005032CE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>Agriculture is</w:t>
            </w:r>
            <w:r w:rsidR="00C275F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5032CE">
              <w:rPr>
                <w:rFonts w:ascii="Arial" w:hAnsi="Arial" w:cs="Arial"/>
                <w:sz w:val="20"/>
                <w:szCs w:val="20"/>
              </w:rPr>
              <w:t xml:space="preserve"> number one commodity, but rural areas have the highest poverty rates. WBG should address this imbalance. WBG should help </w:t>
            </w:r>
            <w:r w:rsidR="00C275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032CE">
              <w:rPr>
                <w:rFonts w:ascii="Arial" w:hAnsi="Arial" w:cs="Arial"/>
                <w:sz w:val="20"/>
                <w:szCs w:val="20"/>
              </w:rPr>
              <w:t xml:space="preserve">agriculture sector prepare for </w:t>
            </w:r>
            <w:r w:rsidR="00C275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032CE">
              <w:rPr>
                <w:rFonts w:ascii="Arial" w:hAnsi="Arial" w:cs="Arial"/>
                <w:sz w:val="20"/>
                <w:szCs w:val="20"/>
              </w:rPr>
              <w:t>shift from labor intensive to capital intensive agriculture.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5032CE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 xml:space="preserve">Access to markets is a large constraining factor for a variety of industries and especially for agriculture. 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5032CE">
            <w:pPr>
              <w:rPr>
                <w:rFonts w:ascii="Arial" w:hAnsi="Arial" w:cs="Arial"/>
                <w:sz w:val="20"/>
                <w:szCs w:val="20"/>
              </w:rPr>
            </w:pPr>
            <w:r w:rsidRPr="00112734">
              <w:rPr>
                <w:rFonts w:ascii="Arial" w:hAnsi="Arial" w:cs="Arial"/>
                <w:sz w:val="20"/>
                <w:szCs w:val="20"/>
              </w:rPr>
              <w:t>There is an urgent need for clear rules and legal framework.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8B2C60" w:rsidP="008B2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032CE">
              <w:rPr>
                <w:rFonts w:ascii="Arial" w:hAnsi="Arial" w:cs="Arial"/>
                <w:sz w:val="20"/>
                <w:szCs w:val="20"/>
              </w:rPr>
              <w:t>WBG framework needs to take into account household level analysis</w:t>
            </w:r>
            <w:r>
              <w:rPr>
                <w:rFonts w:ascii="Arial" w:hAnsi="Arial" w:cs="Arial"/>
                <w:sz w:val="20"/>
                <w:szCs w:val="20"/>
              </w:rPr>
              <w:t>, such as:  micro issues of poverty;</w:t>
            </w:r>
            <w:r w:rsidR="00112734" w:rsidRPr="005032CE">
              <w:rPr>
                <w:rFonts w:ascii="Arial" w:hAnsi="Arial" w:cs="Arial"/>
                <w:sz w:val="20"/>
                <w:szCs w:val="20"/>
              </w:rPr>
              <w:t xml:space="preserve"> differences in agricultural practices and challenges across regions; gender differences in poverty (female vs male heads of households);.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5032CE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>Remove or</w:t>
            </w:r>
            <w:r w:rsidR="00345AB8">
              <w:rPr>
                <w:rFonts w:ascii="Arial" w:hAnsi="Arial" w:cs="Arial"/>
                <w:sz w:val="20"/>
                <w:szCs w:val="20"/>
              </w:rPr>
              <w:t xml:space="preserve"> mitigate investment risks and P</w:t>
            </w:r>
            <w:r w:rsidRPr="005032CE">
              <w:rPr>
                <w:rFonts w:ascii="Arial" w:hAnsi="Arial" w:cs="Arial"/>
                <w:sz w:val="20"/>
                <w:szCs w:val="20"/>
              </w:rPr>
              <w:t xml:space="preserve">rivate Sector actors will be more willing to deal with lower return.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345AB8" w:rsidP="0050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farmers opportunities</w:t>
            </w:r>
            <w:r w:rsidR="00112734" w:rsidRPr="005032CE">
              <w:rPr>
                <w:rFonts w:ascii="Arial" w:hAnsi="Arial" w:cs="Arial"/>
                <w:sz w:val="20"/>
                <w:szCs w:val="20"/>
              </w:rPr>
              <w:t xml:space="preserve"> to make their own returns by building on local level knowledge—WBG can contribute clearer land entitlement, improved information access (weather, climate, market prices); and micro</w:t>
            </w:r>
            <w:r w:rsidR="00112734">
              <w:rPr>
                <w:rFonts w:ascii="Arial" w:hAnsi="Arial" w:cs="Arial"/>
                <w:sz w:val="20"/>
                <w:szCs w:val="20"/>
              </w:rPr>
              <w:t>-</w:t>
            </w:r>
            <w:r w:rsidR="00112734" w:rsidRPr="005032CE">
              <w:rPr>
                <w:rFonts w:ascii="Arial" w:hAnsi="Arial" w:cs="Arial"/>
                <w:sz w:val="20"/>
                <w:szCs w:val="20"/>
              </w:rPr>
              <w:t xml:space="preserve">insurance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5032CE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 xml:space="preserve">Government urgently needs support for capacity building in legal reform —could benefit from placing legal expertise within the Attorney General’s office.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073871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 xml:space="preserve">Amongst international investors there is a large appetite for risk for investment in Myanmar, but investors find that they are constrained by government regulation in taking this risk. 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073871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 xml:space="preserve">Improve storage facilities and access to markets—quality of agricultural products is not the problem, but the supply logistics hurt quality in export.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EC7952">
            <w:pPr>
              <w:rPr>
                <w:rFonts w:ascii="Arial" w:hAnsi="Arial" w:cs="Arial"/>
                <w:sz w:val="20"/>
                <w:szCs w:val="20"/>
              </w:rPr>
            </w:pPr>
            <w:r w:rsidRPr="00112734">
              <w:rPr>
                <w:rFonts w:ascii="Arial" w:hAnsi="Arial" w:cs="Arial"/>
                <w:sz w:val="20"/>
                <w:szCs w:val="20"/>
              </w:rPr>
              <w:t xml:space="preserve">Key sectors include power, telecoms, and banking sector. IFC branding and support is critical, but IFC (and MIGA) need to take risks.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345AB8">
            <w:pPr>
              <w:rPr>
                <w:rFonts w:ascii="Arial" w:hAnsi="Arial" w:cs="Arial"/>
                <w:sz w:val="20"/>
                <w:szCs w:val="20"/>
              </w:rPr>
            </w:pPr>
            <w:r w:rsidRPr="00112734">
              <w:rPr>
                <w:rFonts w:ascii="Arial" w:hAnsi="Arial" w:cs="Arial"/>
                <w:sz w:val="20"/>
                <w:szCs w:val="20"/>
              </w:rPr>
              <w:t>Liberalize control of cen</w:t>
            </w:r>
            <w:r w:rsidR="00345AB8">
              <w:rPr>
                <w:rFonts w:ascii="Arial" w:hAnsi="Arial" w:cs="Arial"/>
                <w:sz w:val="20"/>
                <w:szCs w:val="20"/>
              </w:rPr>
              <w:t xml:space="preserve">tral bank. Avoid overregulation – is the new law on SMEs </w:t>
            </w:r>
            <w:r w:rsidRPr="00112734">
              <w:rPr>
                <w:rFonts w:ascii="Arial" w:hAnsi="Arial" w:cs="Arial"/>
                <w:sz w:val="20"/>
                <w:szCs w:val="20"/>
              </w:rPr>
              <w:t>necessary?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5032CE">
            <w:pPr>
              <w:rPr>
                <w:rFonts w:ascii="Arial" w:hAnsi="Arial" w:cs="Arial"/>
                <w:sz w:val="20"/>
                <w:szCs w:val="20"/>
              </w:rPr>
            </w:pPr>
            <w:r w:rsidRPr="00112734">
              <w:rPr>
                <w:rFonts w:ascii="Arial" w:hAnsi="Arial" w:cs="Arial"/>
                <w:sz w:val="20"/>
                <w:szCs w:val="20"/>
              </w:rPr>
              <w:t>Major road infrastructure program should be a priority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112734" w:rsidRDefault="00135795" w:rsidP="00135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</w:t>
            </w:r>
            <w:r w:rsidR="00112734" w:rsidRPr="00112734">
              <w:rPr>
                <w:rFonts w:ascii="Arial" w:hAnsi="Arial" w:cs="Arial"/>
                <w:sz w:val="20"/>
                <w:szCs w:val="20"/>
              </w:rPr>
              <w:t>ospitality/tourism sector is critical; the key constraint is the high cost of land.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112734" w:rsidRDefault="00112734" w:rsidP="00112734">
            <w:pPr>
              <w:rPr>
                <w:rFonts w:ascii="Arial" w:hAnsi="Arial" w:cs="Arial"/>
                <w:sz w:val="20"/>
                <w:szCs w:val="20"/>
              </w:rPr>
            </w:pPr>
            <w:r w:rsidRPr="00112734">
              <w:rPr>
                <w:rFonts w:ascii="Arial" w:hAnsi="Arial" w:cs="Arial"/>
                <w:sz w:val="20"/>
                <w:szCs w:val="20"/>
              </w:rPr>
              <w:t xml:space="preserve">WBG should help decentralize power and support regional and state-level authorities.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  <w:vMerge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</w:tcPr>
          <w:p w:rsidR="00112734" w:rsidRPr="005032CE" w:rsidRDefault="00112734" w:rsidP="00112734">
            <w:pPr>
              <w:rPr>
                <w:rFonts w:ascii="Arial" w:hAnsi="Arial" w:cs="Arial"/>
                <w:sz w:val="20"/>
                <w:szCs w:val="20"/>
              </w:rPr>
            </w:pPr>
            <w:r w:rsidRPr="00112734">
              <w:rPr>
                <w:rFonts w:ascii="Arial" w:hAnsi="Arial" w:cs="Arial"/>
                <w:sz w:val="20"/>
                <w:szCs w:val="20"/>
              </w:rPr>
              <w:t xml:space="preserve">Land: as landowners sell property to investors, what will happen to land owners? Protection mechanisms ought to be put in place. </w:t>
            </w: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734" w:rsidRPr="005032CE" w:rsidTr="00112734">
        <w:tc>
          <w:tcPr>
            <w:tcW w:w="1889" w:type="dxa"/>
          </w:tcPr>
          <w:p w:rsidR="00112734" w:rsidRPr="005032CE" w:rsidRDefault="00112734" w:rsidP="00867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2CE"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  <w:tc>
          <w:tcPr>
            <w:tcW w:w="6056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12734" w:rsidRPr="005032CE" w:rsidRDefault="00112734" w:rsidP="00867D0C">
            <w:pPr>
              <w:rPr>
                <w:rFonts w:ascii="Arial" w:hAnsi="Arial" w:cs="Arial"/>
                <w:sz w:val="20"/>
                <w:szCs w:val="20"/>
              </w:rPr>
            </w:pPr>
            <w:r w:rsidRPr="005032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724A2" w:rsidRPr="005032CE" w:rsidRDefault="00B724A2">
      <w:pPr>
        <w:rPr>
          <w:rFonts w:ascii="Arial" w:hAnsi="Arial" w:cs="Arial"/>
          <w:sz w:val="20"/>
          <w:szCs w:val="20"/>
        </w:rPr>
      </w:pPr>
    </w:p>
    <w:sectPr w:rsidR="00B724A2" w:rsidRPr="005032CE" w:rsidSect="0057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04" w:rsidRDefault="00CF0404">
      <w:pPr>
        <w:spacing w:after="0" w:line="240" w:lineRule="auto"/>
      </w:pPr>
      <w:r>
        <w:separator/>
      </w:r>
    </w:p>
  </w:endnote>
  <w:endnote w:type="continuationSeparator" w:id="0">
    <w:p w:rsidR="00CF0404" w:rsidRDefault="00CF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04" w:rsidRDefault="00CF0404">
      <w:pPr>
        <w:spacing w:after="0" w:line="240" w:lineRule="auto"/>
      </w:pPr>
      <w:r>
        <w:separator/>
      </w:r>
    </w:p>
  </w:footnote>
  <w:footnote w:type="continuationSeparator" w:id="0">
    <w:p w:rsidR="00CF0404" w:rsidRDefault="00CF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5B7"/>
    <w:multiLevelType w:val="hybridMultilevel"/>
    <w:tmpl w:val="1C8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75BC"/>
    <w:multiLevelType w:val="hybridMultilevel"/>
    <w:tmpl w:val="FD44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BF3"/>
    <w:multiLevelType w:val="hybridMultilevel"/>
    <w:tmpl w:val="0020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5753B"/>
    <w:multiLevelType w:val="hybridMultilevel"/>
    <w:tmpl w:val="A596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7C6"/>
    <w:rsid w:val="00083991"/>
    <w:rsid w:val="00112734"/>
    <w:rsid w:val="00135795"/>
    <w:rsid w:val="00143F46"/>
    <w:rsid w:val="0015166A"/>
    <w:rsid w:val="00160B60"/>
    <w:rsid w:val="001700B3"/>
    <w:rsid w:val="00217601"/>
    <w:rsid w:val="0028723A"/>
    <w:rsid w:val="00324A3F"/>
    <w:rsid w:val="00345AB8"/>
    <w:rsid w:val="003621A7"/>
    <w:rsid w:val="003C0714"/>
    <w:rsid w:val="003D5EE0"/>
    <w:rsid w:val="00464D98"/>
    <w:rsid w:val="00474956"/>
    <w:rsid w:val="004B3E70"/>
    <w:rsid w:val="005032CE"/>
    <w:rsid w:val="00576DA3"/>
    <w:rsid w:val="00706D52"/>
    <w:rsid w:val="007176B0"/>
    <w:rsid w:val="007A1F0B"/>
    <w:rsid w:val="008443A4"/>
    <w:rsid w:val="008668C4"/>
    <w:rsid w:val="00867D0C"/>
    <w:rsid w:val="008A7F16"/>
    <w:rsid w:val="008B2C60"/>
    <w:rsid w:val="009F6D22"/>
    <w:rsid w:val="00A11890"/>
    <w:rsid w:val="00A72EE9"/>
    <w:rsid w:val="00B005B4"/>
    <w:rsid w:val="00B724A2"/>
    <w:rsid w:val="00BF48AC"/>
    <w:rsid w:val="00C275F4"/>
    <w:rsid w:val="00CB2632"/>
    <w:rsid w:val="00CF0404"/>
    <w:rsid w:val="00D77C97"/>
    <w:rsid w:val="00D92AFA"/>
    <w:rsid w:val="00DE42B7"/>
    <w:rsid w:val="00E40984"/>
    <w:rsid w:val="00E477C6"/>
    <w:rsid w:val="00EE4B35"/>
    <w:rsid w:val="00F26F0F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7C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C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C9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032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7C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C6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Donowitz</dc:creator>
  <cp:lastModifiedBy>Shonas</cp:lastModifiedBy>
  <cp:revision>10</cp:revision>
  <dcterms:created xsi:type="dcterms:W3CDTF">2014-06-01T05:54:00Z</dcterms:created>
  <dcterms:modified xsi:type="dcterms:W3CDTF">2014-06-16T03:01:00Z</dcterms:modified>
</cp:coreProperties>
</file>