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60238553"/>
        <w:docPartObj>
          <w:docPartGallery w:val="Cover Pages"/>
          <w:docPartUnique/>
        </w:docPartObj>
      </w:sdtPr>
      <w:sdtContent>
        <w:p w14:paraId="444323CD" w14:textId="77777777" w:rsidR="00496672" w:rsidRPr="00395738" w:rsidRDefault="00496672" w:rsidP="00D60CC0">
          <w:pPr>
            <w:spacing w:after="0"/>
          </w:pPr>
        </w:p>
        <w:p w14:paraId="5EC147F6" w14:textId="77777777" w:rsidR="0079511D" w:rsidRPr="00395738" w:rsidRDefault="00E1570B" w:rsidP="00D60CC0">
          <w:pPr>
            <w:spacing w:after="0"/>
            <w:jc w:val="center"/>
            <w:rPr>
              <w:sz w:val="72"/>
              <w:szCs w:val="72"/>
            </w:rPr>
          </w:pPr>
          <w:r w:rsidRPr="00395738">
            <w:rPr>
              <w:noProof/>
              <w:sz w:val="72"/>
              <w:szCs w:val="72"/>
            </w:rPr>
            <w:drawing>
              <wp:inline distT="0" distB="0" distL="0" distR="0" wp14:anchorId="4F640646" wp14:editId="4B5178D5">
                <wp:extent cx="3016250" cy="603250"/>
                <wp:effectExtent l="0" t="0" r="0" b="6350"/>
                <wp:docPr id="9" name="Picture 9" descr="C:\Users\wb93150\WinRAR-HOLD\Rar$DI81.864\WB-WBG-horizontal-black-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93150\WinRAR-HOLD\Rar$DI81.864\WB-WBG-horizontal-black-hig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0" cy="603250"/>
                        </a:xfrm>
                        <a:prstGeom prst="rect">
                          <a:avLst/>
                        </a:prstGeom>
                        <a:noFill/>
                        <a:ln>
                          <a:noFill/>
                        </a:ln>
                      </pic:spPr>
                    </pic:pic>
                  </a:graphicData>
                </a:graphic>
              </wp:inline>
            </w:drawing>
          </w:r>
        </w:p>
        <w:p w14:paraId="37F29610" w14:textId="77777777" w:rsidR="0079511D" w:rsidRPr="00395738" w:rsidRDefault="0079511D" w:rsidP="00D60CC0">
          <w:pPr>
            <w:spacing w:after="0"/>
            <w:jc w:val="center"/>
            <w:rPr>
              <w:sz w:val="72"/>
              <w:szCs w:val="72"/>
            </w:rPr>
          </w:pPr>
        </w:p>
        <w:p w14:paraId="7073BAA7" w14:textId="77777777" w:rsidR="00A5264B" w:rsidRPr="00395738" w:rsidRDefault="00A5264B" w:rsidP="00D60CC0">
          <w:pPr>
            <w:spacing w:after="0"/>
            <w:jc w:val="center"/>
            <w:rPr>
              <w:sz w:val="72"/>
              <w:szCs w:val="72"/>
            </w:rPr>
          </w:pPr>
        </w:p>
        <w:p w14:paraId="22CC8684" w14:textId="77777777" w:rsidR="00A5264B" w:rsidRPr="00395738" w:rsidRDefault="00A5264B" w:rsidP="00D60CC0">
          <w:pPr>
            <w:spacing w:after="0"/>
            <w:jc w:val="center"/>
            <w:rPr>
              <w:sz w:val="72"/>
              <w:szCs w:val="72"/>
            </w:rPr>
          </w:pPr>
        </w:p>
        <w:p w14:paraId="1B513485" w14:textId="77777777" w:rsidR="00A5264B" w:rsidRPr="00395738" w:rsidRDefault="00A5264B" w:rsidP="00D60CC0">
          <w:pPr>
            <w:spacing w:after="0"/>
            <w:jc w:val="center"/>
            <w:rPr>
              <w:sz w:val="72"/>
              <w:szCs w:val="72"/>
            </w:rPr>
          </w:pPr>
        </w:p>
        <w:p w14:paraId="15589F7F" w14:textId="42D6EB7E" w:rsidR="00496672" w:rsidRPr="00395738" w:rsidRDefault="00FA0A6A" w:rsidP="00D60CC0">
          <w:pPr>
            <w:spacing w:after="0"/>
            <w:jc w:val="center"/>
            <w:rPr>
              <w:sz w:val="52"/>
              <w:szCs w:val="52"/>
            </w:rPr>
          </w:pPr>
          <w:r w:rsidRPr="00395738">
            <w:rPr>
              <w:sz w:val="52"/>
              <w:szCs w:val="52"/>
            </w:rPr>
            <w:t>The role of c</w:t>
          </w:r>
          <w:r w:rsidR="002D68C3" w:rsidRPr="00395738">
            <w:rPr>
              <w:sz w:val="52"/>
              <w:szCs w:val="52"/>
            </w:rPr>
            <w:t xml:space="preserve">redit reporting </w:t>
          </w:r>
          <w:r w:rsidRPr="00395738">
            <w:rPr>
              <w:sz w:val="52"/>
              <w:szCs w:val="52"/>
            </w:rPr>
            <w:t xml:space="preserve">in </w:t>
          </w:r>
          <w:r w:rsidR="00C132A6" w:rsidRPr="00395738">
            <w:rPr>
              <w:sz w:val="52"/>
              <w:szCs w:val="52"/>
            </w:rPr>
            <w:t xml:space="preserve">supporting </w:t>
          </w:r>
          <w:r w:rsidRPr="00395738">
            <w:rPr>
              <w:sz w:val="52"/>
              <w:szCs w:val="52"/>
            </w:rPr>
            <w:t xml:space="preserve">financial </w:t>
          </w:r>
          <w:r w:rsidR="00BB243A" w:rsidRPr="00395738">
            <w:rPr>
              <w:sz w:val="52"/>
              <w:szCs w:val="52"/>
            </w:rPr>
            <w:t xml:space="preserve">sector </w:t>
          </w:r>
          <w:r w:rsidRPr="00395738">
            <w:rPr>
              <w:sz w:val="52"/>
              <w:szCs w:val="52"/>
            </w:rPr>
            <w:t>regulation and supervision</w:t>
          </w:r>
        </w:p>
        <w:p w14:paraId="03EB8210" w14:textId="77777777" w:rsidR="00496672" w:rsidRPr="00395738" w:rsidRDefault="00496672" w:rsidP="00D60CC0">
          <w:pPr>
            <w:spacing w:after="0"/>
          </w:pPr>
        </w:p>
        <w:p w14:paraId="7CE958C1" w14:textId="77777777" w:rsidR="00117DC2" w:rsidRPr="00395738" w:rsidRDefault="00117DC2" w:rsidP="00D60CC0">
          <w:pPr>
            <w:spacing w:after="0"/>
          </w:pPr>
        </w:p>
        <w:p w14:paraId="1EFEE61E" w14:textId="77777777" w:rsidR="00117DC2" w:rsidRPr="00395738" w:rsidRDefault="00117DC2" w:rsidP="00D60CC0">
          <w:pPr>
            <w:spacing w:after="0"/>
          </w:pPr>
        </w:p>
        <w:p w14:paraId="33CEC612" w14:textId="77777777" w:rsidR="00A5264B" w:rsidRPr="00395738" w:rsidRDefault="00A5264B" w:rsidP="00D60CC0">
          <w:pPr>
            <w:spacing w:after="0"/>
          </w:pPr>
        </w:p>
        <w:p w14:paraId="1E916AB8" w14:textId="77777777" w:rsidR="00A5264B" w:rsidRPr="00395738" w:rsidRDefault="00A5264B" w:rsidP="00D60CC0">
          <w:pPr>
            <w:spacing w:after="0"/>
          </w:pPr>
        </w:p>
        <w:p w14:paraId="4BB7E7F0" w14:textId="77777777" w:rsidR="00A5264B" w:rsidRPr="00395738" w:rsidRDefault="00A5264B" w:rsidP="00D60CC0">
          <w:pPr>
            <w:spacing w:after="0"/>
          </w:pPr>
        </w:p>
        <w:p w14:paraId="6949CCE2" w14:textId="77777777" w:rsidR="00A5264B" w:rsidRPr="00395738" w:rsidRDefault="00A5264B" w:rsidP="00D60CC0">
          <w:pPr>
            <w:spacing w:after="0"/>
          </w:pPr>
        </w:p>
        <w:p w14:paraId="4F45ED1E" w14:textId="77777777" w:rsidR="00A5264B" w:rsidRPr="00395738" w:rsidRDefault="00A5264B" w:rsidP="00D60CC0">
          <w:pPr>
            <w:spacing w:after="0"/>
          </w:pPr>
        </w:p>
        <w:p w14:paraId="48A66AC5" w14:textId="77777777" w:rsidR="00A5264B" w:rsidRPr="00395738" w:rsidRDefault="00A5264B" w:rsidP="00D60CC0">
          <w:pPr>
            <w:spacing w:after="0"/>
          </w:pPr>
        </w:p>
        <w:p w14:paraId="335ADD5C" w14:textId="77777777" w:rsidR="00117DC2" w:rsidRPr="00395738" w:rsidRDefault="00117DC2" w:rsidP="00D60CC0">
          <w:pPr>
            <w:spacing w:after="0"/>
          </w:pPr>
        </w:p>
        <w:p w14:paraId="3FEAEB70" w14:textId="77777777" w:rsidR="00117DC2" w:rsidRPr="00395738" w:rsidRDefault="00117DC2" w:rsidP="00D60CC0">
          <w:pPr>
            <w:spacing w:after="0"/>
          </w:pPr>
        </w:p>
        <w:p w14:paraId="3256F96F" w14:textId="77777777" w:rsidR="00117DC2" w:rsidRPr="00395738" w:rsidRDefault="00117DC2" w:rsidP="00D60CC0">
          <w:pPr>
            <w:spacing w:after="0"/>
            <w:jc w:val="center"/>
            <w:rPr>
              <w:b/>
              <w:sz w:val="26"/>
              <w:szCs w:val="26"/>
            </w:rPr>
          </w:pPr>
          <w:r w:rsidRPr="00395738">
            <w:rPr>
              <w:b/>
              <w:sz w:val="26"/>
              <w:szCs w:val="26"/>
            </w:rPr>
            <w:t>Report of the International Committee on Credit Reporting</w:t>
          </w:r>
          <w:r w:rsidR="00CE6C0A" w:rsidRPr="00395738">
            <w:rPr>
              <w:b/>
              <w:sz w:val="26"/>
              <w:szCs w:val="26"/>
            </w:rPr>
            <w:t>,</w:t>
          </w:r>
          <w:r w:rsidR="00A6404F" w:rsidRPr="00395738">
            <w:rPr>
              <w:b/>
              <w:sz w:val="26"/>
              <w:szCs w:val="26"/>
            </w:rPr>
            <w:t xml:space="preserve"> chaired by the World Bank</w:t>
          </w:r>
        </w:p>
        <w:p w14:paraId="5F5AF431" w14:textId="77777777" w:rsidR="00CC1B1C" w:rsidRPr="00395738" w:rsidRDefault="00CC1B1C" w:rsidP="00D60CC0">
          <w:pPr>
            <w:spacing w:after="0"/>
            <w:jc w:val="center"/>
            <w:rPr>
              <w:b/>
              <w:sz w:val="26"/>
              <w:szCs w:val="26"/>
            </w:rPr>
          </w:pPr>
        </w:p>
        <w:p w14:paraId="430C0802" w14:textId="3F9C043A" w:rsidR="00CC1B1C" w:rsidRPr="00395738" w:rsidRDefault="00CC1B1C" w:rsidP="00D60CC0">
          <w:pPr>
            <w:spacing w:after="0"/>
            <w:jc w:val="center"/>
            <w:rPr>
              <w:b/>
              <w:sz w:val="26"/>
              <w:szCs w:val="26"/>
            </w:rPr>
          </w:pPr>
          <w:r w:rsidRPr="00395738">
            <w:rPr>
              <w:b/>
              <w:sz w:val="26"/>
              <w:szCs w:val="26"/>
            </w:rPr>
            <w:t>Draft version for public comments</w:t>
          </w:r>
        </w:p>
        <w:p w14:paraId="4DABF7AE" w14:textId="043F761A" w:rsidR="00117DC2" w:rsidRPr="00395738" w:rsidRDefault="00856CAD" w:rsidP="00D60CC0">
          <w:pPr>
            <w:spacing w:after="0"/>
            <w:jc w:val="center"/>
            <w:rPr>
              <w:b/>
              <w:sz w:val="28"/>
              <w:szCs w:val="28"/>
            </w:rPr>
          </w:pPr>
          <w:r w:rsidRPr="00395738">
            <w:rPr>
              <w:b/>
              <w:sz w:val="28"/>
              <w:szCs w:val="28"/>
            </w:rPr>
            <w:t>August</w:t>
          </w:r>
          <w:r w:rsidR="003C1985" w:rsidRPr="00395738">
            <w:rPr>
              <w:b/>
              <w:sz w:val="28"/>
              <w:szCs w:val="28"/>
            </w:rPr>
            <w:t xml:space="preserve"> 201</w:t>
          </w:r>
          <w:r w:rsidR="002D68C3" w:rsidRPr="00395738">
            <w:rPr>
              <w:b/>
              <w:sz w:val="28"/>
              <w:szCs w:val="28"/>
            </w:rPr>
            <w:t>5</w:t>
          </w:r>
        </w:p>
        <w:p w14:paraId="5949BEAD" w14:textId="77777777" w:rsidR="00496672" w:rsidRPr="00395738" w:rsidRDefault="00496672" w:rsidP="00D60CC0">
          <w:pPr>
            <w:spacing w:after="0"/>
          </w:pPr>
          <w:r w:rsidRPr="00395738">
            <w:br w:type="page"/>
          </w:r>
        </w:p>
        <w:p w14:paraId="7D24E556" w14:textId="061C5563" w:rsidR="00D60CC0" w:rsidRPr="00395738" w:rsidRDefault="00D60CC0" w:rsidP="00D60CC0">
          <w:pPr>
            <w:pStyle w:val="BodyText"/>
            <w:spacing w:after="0"/>
          </w:pPr>
          <w:r w:rsidRPr="00395738">
            <w:lastRenderedPageBreak/>
            <w:t>©201</w:t>
          </w:r>
          <w:r w:rsidR="00192F92" w:rsidRPr="00395738">
            <w:t>5</w:t>
          </w:r>
          <w:r w:rsidRPr="00395738">
            <w:t xml:space="preserve"> The International Bank for Reconstruction and Development / The World Bank</w:t>
          </w:r>
        </w:p>
        <w:p w14:paraId="0B7F0311" w14:textId="77777777" w:rsidR="00D60CC0" w:rsidRPr="00395738" w:rsidRDefault="00D60CC0" w:rsidP="00D60CC0">
          <w:pPr>
            <w:pStyle w:val="BodyText"/>
            <w:spacing w:after="0"/>
          </w:pPr>
          <w:r w:rsidRPr="00395738">
            <w:t>1818 H Street NW</w:t>
          </w:r>
        </w:p>
        <w:p w14:paraId="22A5492B" w14:textId="77777777" w:rsidR="00D60CC0" w:rsidRPr="00395738" w:rsidRDefault="00D60CC0" w:rsidP="00D60CC0">
          <w:pPr>
            <w:pStyle w:val="BodyText"/>
            <w:spacing w:after="0"/>
          </w:pPr>
          <w:r w:rsidRPr="00395738">
            <w:t>Washington DC 20433</w:t>
          </w:r>
        </w:p>
        <w:p w14:paraId="39F4AD9F" w14:textId="77777777" w:rsidR="00D60CC0" w:rsidRPr="00395738" w:rsidRDefault="00D60CC0" w:rsidP="00D60CC0">
          <w:pPr>
            <w:pStyle w:val="BodyText"/>
            <w:spacing w:after="0"/>
          </w:pPr>
          <w:r w:rsidRPr="00395738">
            <w:t>Telephone: 202-473-1000</w:t>
          </w:r>
        </w:p>
        <w:p w14:paraId="7AB56CAC" w14:textId="77777777" w:rsidR="00D60CC0" w:rsidRPr="00395738" w:rsidRDefault="00D60CC0" w:rsidP="00D60CC0">
          <w:pPr>
            <w:pStyle w:val="BodyText"/>
            <w:spacing w:after="0"/>
          </w:pPr>
          <w:r w:rsidRPr="00395738">
            <w:t>Internet: www.worldbank.org</w:t>
          </w:r>
        </w:p>
        <w:p w14:paraId="1D17005E" w14:textId="77777777" w:rsidR="00D60CC0" w:rsidRPr="00395738" w:rsidRDefault="00D60CC0" w:rsidP="00D60CC0">
          <w:pPr>
            <w:pStyle w:val="BodyText"/>
            <w:spacing w:after="0"/>
          </w:pPr>
          <w:r w:rsidRPr="00395738">
            <w:t>E-mail: feedback@worldbank.org</w:t>
          </w:r>
        </w:p>
        <w:p w14:paraId="1675CF9F" w14:textId="77777777" w:rsidR="00D60CC0" w:rsidRPr="00395738" w:rsidRDefault="00D60CC0" w:rsidP="00D60CC0">
          <w:pPr>
            <w:pStyle w:val="BodyText"/>
            <w:spacing w:after="0"/>
          </w:pPr>
        </w:p>
        <w:p w14:paraId="40AAC673" w14:textId="77777777" w:rsidR="00D60CC0" w:rsidRPr="00395738" w:rsidRDefault="00D60CC0" w:rsidP="00D60CC0">
          <w:pPr>
            <w:pStyle w:val="BodyText"/>
            <w:spacing w:after="0"/>
          </w:pPr>
          <w:r w:rsidRPr="00395738">
            <w:t>All rights reserved.</w:t>
          </w:r>
        </w:p>
        <w:p w14:paraId="728C12C0" w14:textId="77777777" w:rsidR="00D60CC0" w:rsidRPr="00395738" w:rsidRDefault="00D60CC0" w:rsidP="00D60CC0">
          <w:pPr>
            <w:pStyle w:val="BodyText"/>
            <w:spacing w:after="0"/>
          </w:pPr>
        </w:p>
        <w:p w14:paraId="02B83BF3" w14:textId="77777777" w:rsidR="00D60CC0" w:rsidRPr="00395738" w:rsidRDefault="00D60CC0" w:rsidP="00D60CC0">
          <w:pPr>
            <w:pStyle w:val="BodyText"/>
            <w:spacing w:after="0"/>
          </w:pPr>
          <w:r w:rsidRPr="00395738">
            <w:t>This volume is a product of the staff of the International Bank for Reconstruction and Development/ The World Bank. The findings, interpretations, and conclusions expressed in this volume do not necessarily reflect the views of the Executive Directors of The World Bank or the governments they represent.</w:t>
          </w:r>
        </w:p>
        <w:p w14:paraId="70E097D7" w14:textId="77777777" w:rsidR="00D60CC0" w:rsidRPr="00395738" w:rsidRDefault="00D60CC0" w:rsidP="00D60CC0">
          <w:pPr>
            <w:pStyle w:val="BodyText"/>
            <w:spacing w:after="0"/>
          </w:pPr>
        </w:p>
        <w:p w14:paraId="732E06A5" w14:textId="77777777" w:rsidR="00D60CC0" w:rsidRPr="00395738" w:rsidRDefault="00D60CC0" w:rsidP="00D60CC0">
          <w:pPr>
            <w:pStyle w:val="BodyText"/>
            <w:spacing w:after="0"/>
          </w:pPr>
          <w:r w:rsidRPr="00395738">
            <w:t>The World Bank does not guarantee the accuracy of the data included in this work. The boundaries, colors, denominations, and other information shown on any map in this work do not imply any judgment on the part of The World Bank concerning the legal status of any territory or the endorsement or acceptance of such boundaries.</w:t>
          </w:r>
        </w:p>
        <w:p w14:paraId="47C1DC4E" w14:textId="77777777" w:rsidR="00D60CC0" w:rsidRPr="00395738" w:rsidRDefault="00D60CC0" w:rsidP="00D60CC0">
          <w:pPr>
            <w:pStyle w:val="BodyText"/>
            <w:spacing w:after="0"/>
          </w:pPr>
        </w:p>
        <w:p w14:paraId="732D799E" w14:textId="77777777" w:rsidR="00D60CC0" w:rsidRPr="00395738" w:rsidRDefault="00D60CC0" w:rsidP="00D60CC0">
          <w:pPr>
            <w:pStyle w:val="BodyText"/>
            <w:spacing w:after="0"/>
          </w:pPr>
          <w:r w:rsidRPr="00395738">
            <w:t>Rights and Permissions</w:t>
          </w:r>
        </w:p>
        <w:p w14:paraId="329FA812" w14:textId="77777777" w:rsidR="00D60CC0" w:rsidRPr="00395738" w:rsidRDefault="00D60CC0" w:rsidP="00D60CC0">
          <w:pPr>
            <w:pStyle w:val="BodyText"/>
            <w:spacing w:after="0"/>
          </w:pPr>
        </w:p>
        <w:p w14:paraId="31FF962D" w14:textId="77777777" w:rsidR="00D60CC0" w:rsidRPr="00395738" w:rsidRDefault="00D60CC0" w:rsidP="00D60CC0">
          <w:pPr>
            <w:pStyle w:val="BodyText"/>
            <w:spacing w:after="0"/>
          </w:pPr>
          <w:r w:rsidRPr="00395738">
            <w:t>The material in this publication is copyrighted. Copying and/or transmitting portions or all of this work without permission may be a violation of applicable law. The International Bank for Reconstruction and Development / The World Bank encourages dissemination of its work and will normally grant permission to reproduce portions of the work promptly.</w:t>
          </w:r>
        </w:p>
        <w:p w14:paraId="35311BCF" w14:textId="77777777" w:rsidR="00D60CC0" w:rsidRPr="00395738" w:rsidRDefault="00D60CC0" w:rsidP="00D60CC0">
          <w:pPr>
            <w:pStyle w:val="BodyText"/>
            <w:spacing w:after="0"/>
          </w:pPr>
        </w:p>
        <w:p w14:paraId="38049769" w14:textId="77777777" w:rsidR="00D60CC0" w:rsidRPr="00395738" w:rsidRDefault="00D60CC0" w:rsidP="00D60CC0">
          <w:pPr>
            <w:pStyle w:val="BodyText"/>
            <w:spacing w:after="0"/>
          </w:pPr>
          <w:r w:rsidRPr="00395738">
            <w:t>For permission to photocopy or reprint any part of this work, please send a request with complete information to the Copyright Clearance Center Inc., 222 Rosewood Drive, Danvers, MA 01923, USA; telephone: 978-750-8400; fax: 978-750-4470; Internet: www.copyright.com.</w:t>
          </w:r>
        </w:p>
        <w:p w14:paraId="23316E5D" w14:textId="77777777" w:rsidR="00D60CC0" w:rsidRPr="00395738" w:rsidRDefault="00D60CC0" w:rsidP="00D60CC0">
          <w:pPr>
            <w:pStyle w:val="BodyText"/>
            <w:spacing w:after="0"/>
          </w:pPr>
        </w:p>
        <w:p w14:paraId="3A63A9BF" w14:textId="77777777" w:rsidR="00D60CC0" w:rsidRPr="00395738" w:rsidRDefault="00D60CC0" w:rsidP="00D60CC0">
          <w:pPr>
            <w:pStyle w:val="BodyText"/>
            <w:spacing w:after="0"/>
          </w:pPr>
          <w:r w:rsidRPr="00395738">
            <w:t>All other queries on rights and licenses, including subsidiary rights, should be addressed to the Office of the Publisher, The World Bank, 1818 H Street NW, Washington, DC 20433, USA; fax: 202-522-2422; e-mail: pubrights@worldbank.org.</w:t>
          </w:r>
        </w:p>
        <w:p w14:paraId="1C73D490" w14:textId="77777777" w:rsidR="00D60CC0" w:rsidRPr="00395738" w:rsidRDefault="00D60CC0" w:rsidP="00D60CC0">
          <w:pPr>
            <w:pStyle w:val="BodyText"/>
            <w:spacing w:after="0"/>
          </w:pPr>
        </w:p>
        <w:p w14:paraId="22AE596D" w14:textId="77777777" w:rsidR="00496672" w:rsidRPr="00395738" w:rsidRDefault="00D60CC0" w:rsidP="00496672">
          <w:r w:rsidRPr="00395738">
            <w:br w:type="page"/>
          </w:r>
        </w:p>
      </w:sdtContent>
    </w:sdt>
    <w:sdt>
      <w:sdtPr>
        <w:rPr>
          <w:rFonts w:asciiTheme="minorHAnsi" w:eastAsia="PMingLiU" w:hAnsiTheme="minorHAnsi" w:cstheme="minorBidi"/>
          <w:b w:val="0"/>
          <w:bCs w:val="0"/>
          <w:color w:val="auto"/>
          <w:sz w:val="22"/>
          <w:szCs w:val="22"/>
          <w:lang w:eastAsia="en-US"/>
        </w:rPr>
        <w:id w:val="-896823078"/>
        <w:docPartObj>
          <w:docPartGallery w:val="Table of Contents"/>
          <w:docPartUnique/>
        </w:docPartObj>
      </w:sdtPr>
      <w:sdtContent>
        <w:p w14:paraId="15A97E85" w14:textId="77777777" w:rsidR="008D42D6" w:rsidRPr="00395738" w:rsidRDefault="000F2C47" w:rsidP="000F2C47">
          <w:pPr>
            <w:pStyle w:val="TOCHeading"/>
            <w:spacing w:before="0"/>
          </w:pPr>
          <w:r w:rsidRPr="00395738">
            <w:t>Table of C</w:t>
          </w:r>
          <w:r w:rsidR="008D42D6" w:rsidRPr="00395738">
            <w:t>ontents</w:t>
          </w:r>
        </w:p>
        <w:p w14:paraId="22677894" w14:textId="77777777" w:rsidR="000F2C47" w:rsidRPr="00395738" w:rsidRDefault="000F2C47" w:rsidP="000F2C47">
          <w:pPr>
            <w:spacing w:after="0"/>
            <w:rPr>
              <w:lang w:eastAsia="ja-JP"/>
            </w:rPr>
          </w:pPr>
        </w:p>
        <w:p w14:paraId="3E80C743" w14:textId="77777777" w:rsidR="00897C00" w:rsidRPr="00395738" w:rsidRDefault="00810E63">
          <w:pPr>
            <w:pStyle w:val="TOC1"/>
            <w:tabs>
              <w:tab w:val="right" w:leader="dot" w:pos="9350"/>
            </w:tabs>
            <w:rPr>
              <w:rFonts w:eastAsiaTheme="minorEastAsia"/>
            </w:rPr>
          </w:pPr>
          <w:r w:rsidRPr="00395738">
            <w:fldChar w:fldCharType="begin"/>
          </w:r>
          <w:r w:rsidRPr="00395738">
            <w:instrText xml:space="preserve"> TOC \o "1-3" \h \z \u </w:instrText>
          </w:r>
          <w:r w:rsidRPr="00395738">
            <w:fldChar w:fldCharType="separate"/>
          </w:r>
          <w:hyperlink w:anchor="_Toc427686020" w:history="1">
            <w:r w:rsidR="00897C00" w:rsidRPr="00395738">
              <w:rPr>
                <w:rStyle w:val="Hyperlink"/>
              </w:rPr>
              <w:t>Foreword</w:t>
            </w:r>
            <w:r w:rsidR="00897C00" w:rsidRPr="00395738">
              <w:rPr>
                <w:webHidden/>
              </w:rPr>
              <w:tab/>
            </w:r>
            <w:r w:rsidR="00897C00" w:rsidRPr="00395738">
              <w:rPr>
                <w:webHidden/>
              </w:rPr>
              <w:fldChar w:fldCharType="begin"/>
            </w:r>
            <w:r w:rsidR="00897C00" w:rsidRPr="00395738">
              <w:rPr>
                <w:webHidden/>
              </w:rPr>
              <w:instrText xml:space="preserve"> PAGEREF _Toc427686020 \h </w:instrText>
            </w:r>
            <w:r w:rsidR="00897C00" w:rsidRPr="00395738">
              <w:rPr>
                <w:webHidden/>
              </w:rPr>
            </w:r>
            <w:r w:rsidR="00897C00" w:rsidRPr="00395738">
              <w:rPr>
                <w:webHidden/>
              </w:rPr>
              <w:fldChar w:fldCharType="separate"/>
            </w:r>
            <w:r w:rsidR="00897C00" w:rsidRPr="00395738">
              <w:rPr>
                <w:webHidden/>
              </w:rPr>
              <w:t>3</w:t>
            </w:r>
            <w:r w:rsidR="00897C00" w:rsidRPr="00395738">
              <w:rPr>
                <w:webHidden/>
              </w:rPr>
              <w:fldChar w:fldCharType="end"/>
            </w:r>
          </w:hyperlink>
        </w:p>
        <w:p w14:paraId="6D692297" w14:textId="77777777" w:rsidR="00897C00" w:rsidRPr="00395738" w:rsidRDefault="00B21B79">
          <w:pPr>
            <w:pStyle w:val="TOC1"/>
            <w:tabs>
              <w:tab w:val="right" w:leader="dot" w:pos="9350"/>
            </w:tabs>
            <w:rPr>
              <w:rFonts w:eastAsiaTheme="minorEastAsia"/>
            </w:rPr>
          </w:pPr>
          <w:hyperlink w:anchor="_Toc427686021" w:history="1">
            <w:r w:rsidR="00897C00" w:rsidRPr="00395738">
              <w:rPr>
                <w:rStyle w:val="Hyperlink"/>
                <w:rFonts w:cs="Times New Roman"/>
              </w:rPr>
              <w:t>Abbreviations</w:t>
            </w:r>
            <w:r w:rsidR="00897C00" w:rsidRPr="00395738">
              <w:rPr>
                <w:webHidden/>
              </w:rPr>
              <w:tab/>
            </w:r>
            <w:r w:rsidR="00897C00" w:rsidRPr="00395738">
              <w:rPr>
                <w:webHidden/>
              </w:rPr>
              <w:fldChar w:fldCharType="begin"/>
            </w:r>
            <w:r w:rsidR="00897C00" w:rsidRPr="00395738">
              <w:rPr>
                <w:webHidden/>
              </w:rPr>
              <w:instrText xml:space="preserve"> PAGEREF _Toc427686021 \h </w:instrText>
            </w:r>
            <w:r w:rsidR="00897C00" w:rsidRPr="00395738">
              <w:rPr>
                <w:webHidden/>
              </w:rPr>
            </w:r>
            <w:r w:rsidR="00897C00" w:rsidRPr="00395738">
              <w:rPr>
                <w:webHidden/>
              </w:rPr>
              <w:fldChar w:fldCharType="separate"/>
            </w:r>
            <w:r w:rsidR="00897C00" w:rsidRPr="00395738">
              <w:rPr>
                <w:webHidden/>
              </w:rPr>
              <w:t>4</w:t>
            </w:r>
            <w:r w:rsidR="00897C00" w:rsidRPr="00395738">
              <w:rPr>
                <w:webHidden/>
              </w:rPr>
              <w:fldChar w:fldCharType="end"/>
            </w:r>
          </w:hyperlink>
        </w:p>
        <w:p w14:paraId="7560DF1B" w14:textId="77777777" w:rsidR="00897C00" w:rsidRPr="00395738" w:rsidRDefault="00B21B79">
          <w:pPr>
            <w:pStyle w:val="TOC1"/>
            <w:tabs>
              <w:tab w:val="left" w:pos="440"/>
              <w:tab w:val="right" w:leader="dot" w:pos="9350"/>
            </w:tabs>
            <w:rPr>
              <w:rFonts w:eastAsiaTheme="minorEastAsia"/>
            </w:rPr>
          </w:pPr>
          <w:hyperlink w:anchor="_Toc427686022" w:history="1">
            <w:r w:rsidR="00897C00" w:rsidRPr="00395738">
              <w:rPr>
                <w:rStyle w:val="Hyperlink"/>
              </w:rPr>
              <w:t>I.</w:t>
            </w:r>
            <w:r w:rsidR="00897C00" w:rsidRPr="00395738">
              <w:rPr>
                <w:rFonts w:eastAsiaTheme="minorEastAsia"/>
              </w:rPr>
              <w:tab/>
            </w:r>
            <w:r w:rsidR="00897C00" w:rsidRPr="00395738">
              <w:rPr>
                <w:rStyle w:val="Hyperlink"/>
              </w:rPr>
              <w:t>Introduction</w:t>
            </w:r>
            <w:r w:rsidR="00897C00" w:rsidRPr="00395738">
              <w:rPr>
                <w:webHidden/>
              </w:rPr>
              <w:tab/>
            </w:r>
            <w:r w:rsidR="00897C00" w:rsidRPr="00395738">
              <w:rPr>
                <w:webHidden/>
              </w:rPr>
              <w:fldChar w:fldCharType="begin"/>
            </w:r>
            <w:r w:rsidR="00897C00" w:rsidRPr="00395738">
              <w:rPr>
                <w:webHidden/>
              </w:rPr>
              <w:instrText xml:space="preserve"> PAGEREF _Toc427686022 \h </w:instrText>
            </w:r>
            <w:r w:rsidR="00897C00" w:rsidRPr="00395738">
              <w:rPr>
                <w:webHidden/>
              </w:rPr>
            </w:r>
            <w:r w:rsidR="00897C00" w:rsidRPr="00395738">
              <w:rPr>
                <w:webHidden/>
              </w:rPr>
              <w:fldChar w:fldCharType="separate"/>
            </w:r>
            <w:r w:rsidR="00897C00" w:rsidRPr="00395738">
              <w:rPr>
                <w:webHidden/>
              </w:rPr>
              <w:t>6</w:t>
            </w:r>
            <w:r w:rsidR="00897C00" w:rsidRPr="00395738">
              <w:rPr>
                <w:webHidden/>
              </w:rPr>
              <w:fldChar w:fldCharType="end"/>
            </w:r>
          </w:hyperlink>
        </w:p>
        <w:p w14:paraId="205C1083" w14:textId="77777777" w:rsidR="00897C00" w:rsidRPr="00395738" w:rsidRDefault="00B21B79">
          <w:pPr>
            <w:pStyle w:val="TOC1"/>
            <w:tabs>
              <w:tab w:val="left" w:pos="440"/>
              <w:tab w:val="right" w:leader="dot" w:pos="9350"/>
            </w:tabs>
            <w:rPr>
              <w:rFonts w:eastAsiaTheme="minorEastAsia"/>
            </w:rPr>
          </w:pPr>
          <w:hyperlink w:anchor="_Toc427686023" w:history="1">
            <w:r w:rsidR="00897C00" w:rsidRPr="00395738">
              <w:rPr>
                <w:rStyle w:val="Hyperlink"/>
              </w:rPr>
              <w:t>II.</w:t>
            </w:r>
            <w:r w:rsidR="00897C00" w:rsidRPr="00395738">
              <w:rPr>
                <w:rFonts w:eastAsiaTheme="minorEastAsia"/>
              </w:rPr>
              <w:tab/>
            </w:r>
            <w:r w:rsidR="00897C00" w:rsidRPr="00395738">
              <w:rPr>
                <w:rStyle w:val="Hyperlink"/>
              </w:rPr>
              <w:t>The quest for credit data useful for Financial Supervision, Regulation and overall Financial Stability Tasks</w:t>
            </w:r>
            <w:r w:rsidR="00897C00" w:rsidRPr="00395738">
              <w:rPr>
                <w:webHidden/>
              </w:rPr>
              <w:tab/>
            </w:r>
            <w:r w:rsidR="00897C00" w:rsidRPr="00395738">
              <w:rPr>
                <w:webHidden/>
              </w:rPr>
              <w:fldChar w:fldCharType="begin"/>
            </w:r>
            <w:r w:rsidR="00897C00" w:rsidRPr="00395738">
              <w:rPr>
                <w:webHidden/>
              </w:rPr>
              <w:instrText xml:space="preserve"> PAGEREF _Toc427686023 \h </w:instrText>
            </w:r>
            <w:r w:rsidR="00897C00" w:rsidRPr="00395738">
              <w:rPr>
                <w:webHidden/>
              </w:rPr>
            </w:r>
            <w:r w:rsidR="00897C00" w:rsidRPr="00395738">
              <w:rPr>
                <w:webHidden/>
              </w:rPr>
              <w:fldChar w:fldCharType="separate"/>
            </w:r>
            <w:r w:rsidR="00897C00" w:rsidRPr="00395738">
              <w:rPr>
                <w:webHidden/>
              </w:rPr>
              <w:t>11</w:t>
            </w:r>
            <w:r w:rsidR="00897C00" w:rsidRPr="00395738">
              <w:rPr>
                <w:webHidden/>
              </w:rPr>
              <w:fldChar w:fldCharType="end"/>
            </w:r>
          </w:hyperlink>
        </w:p>
        <w:p w14:paraId="06F23541" w14:textId="77777777" w:rsidR="00897C00" w:rsidRPr="00395738" w:rsidRDefault="00B21B79">
          <w:pPr>
            <w:pStyle w:val="TOC1"/>
            <w:tabs>
              <w:tab w:val="left" w:pos="660"/>
              <w:tab w:val="right" w:leader="dot" w:pos="9350"/>
            </w:tabs>
            <w:rPr>
              <w:rFonts w:eastAsiaTheme="minorEastAsia"/>
            </w:rPr>
          </w:pPr>
          <w:hyperlink w:anchor="_Toc427686024" w:history="1">
            <w:r w:rsidR="00897C00" w:rsidRPr="00395738">
              <w:rPr>
                <w:rStyle w:val="Hyperlink"/>
              </w:rPr>
              <w:t>III.</w:t>
            </w:r>
            <w:r w:rsidR="00897C00" w:rsidRPr="00395738">
              <w:rPr>
                <w:rFonts w:eastAsiaTheme="minorEastAsia"/>
              </w:rPr>
              <w:tab/>
            </w:r>
            <w:r w:rsidR="00897C00" w:rsidRPr="00395738">
              <w:rPr>
                <w:rStyle w:val="Hyperlink"/>
              </w:rPr>
              <w:t>Data needs of micro-prudential financial supervisors for assessing the lending activity of regulated entities: The role of credit reporting service providers</w:t>
            </w:r>
            <w:r w:rsidR="00897C00" w:rsidRPr="00395738">
              <w:rPr>
                <w:webHidden/>
              </w:rPr>
              <w:tab/>
            </w:r>
            <w:r w:rsidR="00897C00" w:rsidRPr="00395738">
              <w:rPr>
                <w:webHidden/>
              </w:rPr>
              <w:fldChar w:fldCharType="begin"/>
            </w:r>
            <w:r w:rsidR="00897C00" w:rsidRPr="00395738">
              <w:rPr>
                <w:webHidden/>
              </w:rPr>
              <w:instrText xml:space="preserve"> PAGEREF _Toc427686024 \h </w:instrText>
            </w:r>
            <w:r w:rsidR="00897C00" w:rsidRPr="00395738">
              <w:rPr>
                <w:webHidden/>
              </w:rPr>
            </w:r>
            <w:r w:rsidR="00897C00" w:rsidRPr="00395738">
              <w:rPr>
                <w:webHidden/>
              </w:rPr>
              <w:fldChar w:fldCharType="separate"/>
            </w:r>
            <w:r w:rsidR="00897C00" w:rsidRPr="00395738">
              <w:rPr>
                <w:webHidden/>
              </w:rPr>
              <w:t>20</w:t>
            </w:r>
            <w:r w:rsidR="00897C00" w:rsidRPr="00395738">
              <w:rPr>
                <w:webHidden/>
              </w:rPr>
              <w:fldChar w:fldCharType="end"/>
            </w:r>
          </w:hyperlink>
        </w:p>
        <w:p w14:paraId="14F1B2EB" w14:textId="77777777" w:rsidR="00897C00" w:rsidRPr="00395738" w:rsidRDefault="00B21B79">
          <w:pPr>
            <w:pStyle w:val="TOC1"/>
            <w:tabs>
              <w:tab w:val="left" w:pos="660"/>
              <w:tab w:val="right" w:leader="dot" w:pos="9350"/>
            </w:tabs>
            <w:rPr>
              <w:rFonts w:eastAsiaTheme="minorEastAsia"/>
            </w:rPr>
          </w:pPr>
          <w:hyperlink w:anchor="_Toc427686025" w:history="1">
            <w:r w:rsidR="00897C00" w:rsidRPr="00395738">
              <w:rPr>
                <w:rStyle w:val="Hyperlink"/>
              </w:rPr>
              <w:t>IV.</w:t>
            </w:r>
            <w:r w:rsidR="00897C00" w:rsidRPr="00395738">
              <w:rPr>
                <w:rFonts w:eastAsiaTheme="minorEastAsia"/>
              </w:rPr>
              <w:tab/>
            </w:r>
            <w:r w:rsidR="00897C00" w:rsidRPr="00395738">
              <w:rPr>
                <w:rStyle w:val="Hyperlink"/>
              </w:rPr>
              <w:t>Data needs of macro-prudential financial authorities: The role of credit reporting service providers</w:t>
            </w:r>
            <w:r w:rsidR="00897C00" w:rsidRPr="00395738">
              <w:rPr>
                <w:webHidden/>
              </w:rPr>
              <w:tab/>
            </w:r>
            <w:r w:rsidR="00897C00" w:rsidRPr="00395738">
              <w:rPr>
                <w:webHidden/>
              </w:rPr>
              <w:fldChar w:fldCharType="begin"/>
            </w:r>
            <w:r w:rsidR="00897C00" w:rsidRPr="00395738">
              <w:rPr>
                <w:webHidden/>
              </w:rPr>
              <w:instrText xml:space="preserve"> PAGEREF _Toc427686025 \h </w:instrText>
            </w:r>
            <w:r w:rsidR="00897C00" w:rsidRPr="00395738">
              <w:rPr>
                <w:webHidden/>
              </w:rPr>
            </w:r>
            <w:r w:rsidR="00897C00" w:rsidRPr="00395738">
              <w:rPr>
                <w:webHidden/>
              </w:rPr>
              <w:fldChar w:fldCharType="separate"/>
            </w:r>
            <w:r w:rsidR="00897C00" w:rsidRPr="00395738">
              <w:rPr>
                <w:webHidden/>
              </w:rPr>
              <w:t>31</w:t>
            </w:r>
            <w:r w:rsidR="00897C00" w:rsidRPr="00395738">
              <w:rPr>
                <w:webHidden/>
              </w:rPr>
              <w:fldChar w:fldCharType="end"/>
            </w:r>
          </w:hyperlink>
        </w:p>
        <w:p w14:paraId="17698C9C" w14:textId="77777777" w:rsidR="00897C00" w:rsidRPr="00395738" w:rsidRDefault="00B21B79">
          <w:pPr>
            <w:pStyle w:val="TOC1"/>
            <w:tabs>
              <w:tab w:val="left" w:pos="440"/>
              <w:tab w:val="right" w:leader="dot" w:pos="9350"/>
            </w:tabs>
            <w:rPr>
              <w:rFonts w:eastAsiaTheme="minorEastAsia"/>
            </w:rPr>
          </w:pPr>
          <w:hyperlink w:anchor="_Toc427686026" w:history="1">
            <w:r w:rsidR="00897C00" w:rsidRPr="00395738">
              <w:rPr>
                <w:rStyle w:val="Hyperlink"/>
              </w:rPr>
              <w:t>V.</w:t>
            </w:r>
            <w:r w:rsidR="00897C00" w:rsidRPr="00395738">
              <w:rPr>
                <w:rFonts w:eastAsiaTheme="minorEastAsia"/>
              </w:rPr>
              <w:tab/>
            </w:r>
            <w:r w:rsidR="00897C00" w:rsidRPr="00395738">
              <w:rPr>
                <w:rStyle w:val="Hyperlink"/>
              </w:rPr>
              <w:t>Data needs for financial sector regulation-making: The role of credit reporting service providers</w:t>
            </w:r>
            <w:r w:rsidR="00897C00" w:rsidRPr="00395738">
              <w:rPr>
                <w:webHidden/>
              </w:rPr>
              <w:tab/>
            </w:r>
            <w:r w:rsidR="00897C00" w:rsidRPr="00395738">
              <w:rPr>
                <w:webHidden/>
              </w:rPr>
              <w:fldChar w:fldCharType="begin"/>
            </w:r>
            <w:r w:rsidR="00897C00" w:rsidRPr="00395738">
              <w:rPr>
                <w:webHidden/>
              </w:rPr>
              <w:instrText xml:space="preserve"> PAGEREF _Toc427686026 \h </w:instrText>
            </w:r>
            <w:r w:rsidR="00897C00" w:rsidRPr="00395738">
              <w:rPr>
                <w:webHidden/>
              </w:rPr>
            </w:r>
            <w:r w:rsidR="00897C00" w:rsidRPr="00395738">
              <w:rPr>
                <w:webHidden/>
              </w:rPr>
              <w:fldChar w:fldCharType="separate"/>
            </w:r>
            <w:r w:rsidR="00897C00" w:rsidRPr="00395738">
              <w:rPr>
                <w:webHidden/>
              </w:rPr>
              <w:t>38</w:t>
            </w:r>
            <w:r w:rsidR="00897C00" w:rsidRPr="00395738">
              <w:rPr>
                <w:webHidden/>
              </w:rPr>
              <w:fldChar w:fldCharType="end"/>
            </w:r>
          </w:hyperlink>
        </w:p>
        <w:p w14:paraId="4743E8BB" w14:textId="77777777" w:rsidR="00897C00" w:rsidRPr="00395738" w:rsidRDefault="00B21B79">
          <w:pPr>
            <w:pStyle w:val="TOC1"/>
            <w:tabs>
              <w:tab w:val="left" w:pos="660"/>
              <w:tab w:val="right" w:leader="dot" w:pos="9350"/>
            </w:tabs>
            <w:rPr>
              <w:rStyle w:val="Hyperlink"/>
            </w:rPr>
          </w:pPr>
          <w:hyperlink w:anchor="_Toc427686027" w:history="1">
            <w:r w:rsidR="00897C00" w:rsidRPr="00395738">
              <w:rPr>
                <w:rStyle w:val="Hyperlink"/>
              </w:rPr>
              <w:t>VI.</w:t>
            </w:r>
            <w:r w:rsidR="00897C00" w:rsidRPr="00395738">
              <w:rPr>
                <w:rFonts w:eastAsiaTheme="minorEastAsia"/>
              </w:rPr>
              <w:tab/>
            </w:r>
            <w:r w:rsidR="00897C00" w:rsidRPr="00395738">
              <w:rPr>
                <w:rStyle w:val="Hyperlink"/>
              </w:rPr>
              <w:t>Concluding Remarks, Trends and Key Challenges</w:t>
            </w:r>
            <w:r w:rsidR="00897C00" w:rsidRPr="00395738">
              <w:rPr>
                <w:webHidden/>
              </w:rPr>
              <w:tab/>
            </w:r>
            <w:r w:rsidR="00897C00" w:rsidRPr="00395738">
              <w:rPr>
                <w:webHidden/>
              </w:rPr>
              <w:fldChar w:fldCharType="begin"/>
            </w:r>
            <w:r w:rsidR="00897C00" w:rsidRPr="00395738">
              <w:rPr>
                <w:webHidden/>
              </w:rPr>
              <w:instrText xml:space="preserve"> PAGEREF _Toc427686027 \h </w:instrText>
            </w:r>
            <w:r w:rsidR="00897C00" w:rsidRPr="00395738">
              <w:rPr>
                <w:webHidden/>
              </w:rPr>
            </w:r>
            <w:r w:rsidR="00897C00" w:rsidRPr="00395738">
              <w:rPr>
                <w:webHidden/>
              </w:rPr>
              <w:fldChar w:fldCharType="separate"/>
            </w:r>
            <w:r w:rsidR="00897C00" w:rsidRPr="00395738">
              <w:rPr>
                <w:webHidden/>
              </w:rPr>
              <w:t>43</w:t>
            </w:r>
            <w:r w:rsidR="00897C00" w:rsidRPr="00395738">
              <w:rPr>
                <w:webHidden/>
              </w:rPr>
              <w:fldChar w:fldCharType="end"/>
            </w:r>
          </w:hyperlink>
        </w:p>
        <w:p w14:paraId="5703142A" w14:textId="77777777" w:rsidR="00897C00" w:rsidRPr="00395738" w:rsidRDefault="00897C00" w:rsidP="00897C00"/>
        <w:p w14:paraId="13442048" w14:textId="77777777" w:rsidR="00897C00" w:rsidRPr="00395738" w:rsidRDefault="00B21B79">
          <w:pPr>
            <w:pStyle w:val="TOC1"/>
            <w:tabs>
              <w:tab w:val="right" w:leader="dot" w:pos="9350"/>
            </w:tabs>
            <w:rPr>
              <w:rFonts w:eastAsiaTheme="minorEastAsia"/>
            </w:rPr>
          </w:pPr>
          <w:hyperlink w:anchor="_Toc427686028" w:history="1">
            <w:r w:rsidR="00897C00" w:rsidRPr="00395738">
              <w:rPr>
                <w:rStyle w:val="Hyperlink"/>
              </w:rPr>
              <w:t>Annex 1: ICCR Members that contributed in the preparation of the report “The role of Credit Reporting in Financial Sector Regulation and Supervision”</w:t>
            </w:r>
            <w:r w:rsidR="00897C00" w:rsidRPr="00395738">
              <w:rPr>
                <w:webHidden/>
              </w:rPr>
              <w:tab/>
            </w:r>
            <w:r w:rsidR="00897C00" w:rsidRPr="00395738">
              <w:rPr>
                <w:webHidden/>
              </w:rPr>
              <w:fldChar w:fldCharType="begin"/>
            </w:r>
            <w:r w:rsidR="00897C00" w:rsidRPr="00395738">
              <w:rPr>
                <w:webHidden/>
              </w:rPr>
              <w:instrText xml:space="preserve"> PAGEREF _Toc427686028 \h </w:instrText>
            </w:r>
            <w:r w:rsidR="00897C00" w:rsidRPr="00395738">
              <w:rPr>
                <w:webHidden/>
              </w:rPr>
            </w:r>
            <w:r w:rsidR="00897C00" w:rsidRPr="00395738">
              <w:rPr>
                <w:webHidden/>
              </w:rPr>
              <w:fldChar w:fldCharType="separate"/>
            </w:r>
            <w:r w:rsidR="00897C00" w:rsidRPr="00395738">
              <w:rPr>
                <w:webHidden/>
              </w:rPr>
              <w:t>48</w:t>
            </w:r>
            <w:r w:rsidR="00897C00" w:rsidRPr="00395738">
              <w:rPr>
                <w:webHidden/>
              </w:rPr>
              <w:fldChar w:fldCharType="end"/>
            </w:r>
          </w:hyperlink>
        </w:p>
        <w:p w14:paraId="37973589" w14:textId="77777777" w:rsidR="00897C00" w:rsidRPr="00395738" w:rsidRDefault="00B21B79">
          <w:pPr>
            <w:pStyle w:val="TOC1"/>
            <w:tabs>
              <w:tab w:val="right" w:leader="dot" w:pos="9350"/>
            </w:tabs>
            <w:rPr>
              <w:rFonts w:eastAsiaTheme="minorEastAsia"/>
            </w:rPr>
          </w:pPr>
          <w:hyperlink w:anchor="_Toc427686029" w:history="1">
            <w:r w:rsidR="00897C00" w:rsidRPr="00395738">
              <w:rPr>
                <w:rStyle w:val="Hyperlink"/>
              </w:rPr>
              <w:t>Annex 2: AnaCredit</w:t>
            </w:r>
            <w:r w:rsidR="00897C00" w:rsidRPr="00395738">
              <w:rPr>
                <w:webHidden/>
              </w:rPr>
              <w:tab/>
            </w:r>
            <w:r w:rsidR="00897C00" w:rsidRPr="00395738">
              <w:rPr>
                <w:webHidden/>
              </w:rPr>
              <w:fldChar w:fldCharType="begin"/>
            </w:r>
            <w:r w:rsidR="00897C00" w:rsidRPr="00395738">
              <w:rPr>
                <w:webHidden/>
              </w:rPr>
              <w:instrText xml:space="preserve"> PAGEREF _Toc427686029 \h </w:instrText>
            </w:r>
            <w:r w:rsidR="00897C00" w:rsidRPr="00395738">
              <w:rPr>
                <w:webHidden/>
              </w:rPr>
            </w:r>
            <w:r w:rsidR="00897C00" w:rsidRPr="00395738">
              <w:rPr>
                <w:webHidden/>
              </w:rPr>
              <w:fldChar w:fldCharType="separate"/>
            </w:r>
            <w:r w:rsidR="00897C00" w:rsidRPr="00395738">
              <w:rPr>
                <w:webHidden/>
              </w:rPr>
              <w:t>50</w:t>
            </w:r>
            <w:r w:rsidR="00897C00" w:rsidRPr="00395738">
              <w:rPr>
                <w:webHidden/>
              </w:rPr>
              <w:fldChar w:fldCharType="end"/>
            </w:r>
          </w:hyperlink>
        </w:p>
        <w:p w14:paraId="3EED9845" w14:textId="77777777" w:rsidR="00897C00" w:rsidRPr="00395738" w:rsidRDefault="00B21B79">
          <w:pPr>
            <w:pStyle w:val="TOC1"/>
            <w:tabs>
              <w:tab w:val="right" w:leader="dot" w:pos="9350"/>
            </w:tabs>
            <w:rPr>
              <w:rFonts w:eastAsiaTheme="minorEastAsia"/>
            </w:rPr>
          </w:pPr>
          <w:hyperlink w:anchor="_Toc427686030" w:history="1">
            <w:r w:rsidR="00897C00" w:rsidRPr="00395738">
              <w:rPr>
                <w:rStyle w:val="Hyperlink"/>
              </w:rPr>
              <w:t>Annex 3: The Global Legal Entity Identifier</w:t>
            </w:r>
            <w:r w:rsidR="00897C00" w:rsidRPr="00395738">
              <w:rPr>
                <w:webHidden/>
              </w:rPr>
              <w:tab/>
            </w:r>
            <w:r w:rsidR="00897C00" w:rsidRPr="00395738">
              <w:rPr>
                <w:webHidden/>
              </w:rPr>
              <w:fldChar w:fldCharType="begin"/>
            </w:r>
            <w:r w:rsidR="00897C00" w:rsidRPr="00395738">
              <w:rPr>
                <w:webHidden/>
              </w:rPr>
              <w:instrText xml:space="preserve"> PAGEREF _Toc427686030 \h </w:instrText>
            </w:r>
            <w:r w:rsidR="00897C00" w:rsidRPr="00395738">
              <w:rPr>
                <w:webHidden/>
              </w:rPr>
            </w:r>
            <w:r w:rsidR="00897C00" w:rsidRPr="00395738">
              <w:rPr>
                <w:webHidden/>
              </w:rPr>
              <w:fldChar w:fldCharType="separate"/>
            </w:r>
            <w:r w:rsidR="00897C00" w:rsidRPr="00395738">
              <w:rPr>
                <w:webHidden/>
              </w:rPr>
              <w:t>52</w:t>
            </w:r>
            <w:r w:rsidR="00897C00" w:rsidRPr="00395738">
              <w:rPr>
                <w:webHidden/>
              </w:rPr>
              <w:fldChar w:fldCharType="end"/>
            </w:r>
          </w:hyperlink>
        </w:p>
        <w:p w14:paraId="3BF75E31" w14:textId="77777777" w:rsidR="00897C00" w:rsidRPr="00395738" w:rsidRDefault="00B21B79">
          <w:pPr>
            <w:pStyle w:val="TOC1"/>
            <w:tabs>
              <w:tab w:val="right" w:leader="dot" w:pos="9350"/>
            </w:tabs>
            <w:rPr>
              <w:rFonts w:eastAsiaTheme="minorEastAsia"/>
            </w:rPr>
          </w:pPr>
          <w:hyperlink w:anchor="_Toc427686031" w:history="1">
            <w:r w:rsidR="00897C00" w:rsidRPr="00395738">
              <w:rPr>
                <w:rStyle w:val="Hyperlink"/>
              </w:rPr>
              <w:t>Annex 4: References</w:t>
            </w:r>
            <w:r w:rsidR="00897C00" w:rsidRPr="00395738">
              <w:rPr>
                <w:webHidden/>
              </w:rPr>
              <w:tab/>
            </w:r>
            <w:r w:rsidR="00897C00" w:rsidRPr="00395738">
              <w:rPr>
                <w:webHidden/>
              </w:rPr>
              <w:fldChar w:fldCharType="begin"/>
            </w:r>
            <w:r w:rsidR="00897C00" w:rsidRPr="00395738">
              <w:rPr>
                <w:webHidden/>
              </w:rPr>
              <w:instrText xml:space="preserve"> PAGEREF _Toc427686031 \h </w:instrText>
            </w:r>
            <w:r w:rsidR="00897C00" w:rsidRPr="00395738">
              <w:rPr>
                <w:webHidden/>
              </w:rPr>
            </w:r>
            <w:r w:rsidR="00897C00" w:rsidRPr="00395738">
              <w:rPr>
                <w:webHidden/>
              </w:rPr>
              <w:fldChar w:fldCharType="separate"/>
            </w:r>
            <w:r w:rsidR="00897C00" w:rsidRPr="00395738">
              <w:rPr>
                <w:webHidden/>
              </w:rPr>
              <w:t>54</w:t>
            </w:r>
            <w:r w:rsidR="00897C00" w:rsidRPr="00395738">
              <w:rPr>
                <w:webHidden/>
              </w:rPr>
              <w:fldChar w:fldCharType="end"/>
            </w:r>
          </w:hyperlink>
        </w:p>
        <w:p w14:paraId="0FAEA741" w14:textId="77777777" w:rsidR="006C7BBA" w:rsidRPr="00395738" w:rsidRDefault="00810E63" w:rsidP="000F2C47">
          <w:pPr>
            <w:spacing w:after="0"/>
          </w:pPr>
          <w:r w:rsidRPr="00395738">
            <w:fldChar w:fldCharType="end"/>
          </w:r>
        </w:p>
        <w:p w14:paraId="1B92C7E6" w14:textId="77777777" w:rsidR="000F2C47" w:rsidRPr="00395738" w:rsidRDefault="000F2C47" w:rsidP="000F2C47">
          <w:pPr>
            <w:spacing w:after="0"/>
            <w:rPr>
              <w:b/>
            </w:rPr>
          </w:pPr>
          <w:r w:rsidRPr="00395738">
            <w:rPr>
              <w:b/>
            </w:rPr>
            <w:t>List of Boxes</w:t>
          </w:r>
        </w:p>
        <w:p w14:paraId="690B8B75" w14:textId="0E1E1207" w:rsidR="000F2C47" w:rsidRPr="00395738" w:rsidRDefault="00B43F2B" w:rsidP="000F2C47">
          <w:pPr>
            <w:spacing w:after="0"/>
          </w:pPr>
          <w:r w:rsidRPr="00395738">
            <w:t>Box 1: Credit reporting service providers</w:t>
          </w:r>
        </w:p>
        <w:p w14:paraId="2227E790" w14:textId="77777777" w:rsidR="00B43F2B" w:rsidRPr="00395738" w:rsidRDefault="00B43F2B" w:rsidP="000F2C47">
          <w:pPr>
            <w:spacing w:after="0"/>
          </w:pPr>
          <w:r w:rsidRPr="00395738">
            <w:t>Box 2: Use of CB and CCRC data for financial supervision and regulation: The case of Mexico</w:t>
          </w:r>
        </w:p>
        <w:p w14:paraId="192878D9" w14:textId="5A60A114" w:rsidR="00B43F2B" w:rsidRPr="00395738" w:rsidRDefault="00B43F2B" w:rsidP="000F2C47">
          <w:pPr>
            <w:spacing w:after="0"/>
          </w:pPr>
          <w:r w:rsidRPr="00395738">
            <w:t>Box 3: Micro- versus macro-prudential supervision: potential differences, tensions and complementarities</w:t>
          </w:r>
        </w:p>
        <w:p w14:paraId="5BE924B6" w14:textId="1A324D49" w:rsidR="00B43F2B" w:rsidRPr="00395738" w:rsidRDefault="00B43F2B" w:rsidP="000F2C47">
          <w:pPr>
            <w:spacing w:after="0"/>
          </w:pPr>
          <w:r w:rsidRPr="00395738">
            <w:t>Box 4: Evolution of the Basel Capital Accords</w:t>
          </w:r>
        </w:p>
        <w:p w14:paraId="37F3599D" w14:textId="0DC1A0F9" w:rsidR="00464A11" w:rsidRPr="00395738" w:rsidRDefault="00464A11" w:rsidP="000F2C47">
          <w:pPr>
            <w:spacing w:after="0"/>
          </w:pPr>
          <w:r w:rsidRPr="00395738">
            <w:t>Box 5: Bank of England work on the availability of credit data in the UK</w:t>
          </w:r>
        </w:p>
        <w:p w14:paraId="309A6DE3" w14:textId="6FEB3E66" w:rsidR="000F2C47" w:rsidRPr="00395738" w:rsidRDefault="00B21B79" w:rsidP="000F2C47">
          <w:pPr>
            <w:spacing w:after="0"/>
          </w:pPr>
        </w:p>
      </w:sdtContent>
    </w:sdt>
    <w:p w14:paraId="2F7663D3" w14:textId="77777777" w:rsidR="000F2C47" w:rsidRPr="00395738" w:rsidRDefault="000F2C47">
      <w:r w:rsidRPr="00395738">
        <w:br w:type="page"/>
      </w:r>
    </w:p>
    <w:p w14:paraId="6BE05EA1" w14:textId="77777777" w:rsidR="000F2C47" w:rsidRPr="00395738" w:rsidRDefault="000F2C47" w:rsidP="000F2C47">
      <w:pPr>
        <w:pStyle w:val="Heading1"/>
        <w:spacing w:after="480"/>
      </w:pPr>
      <w:bookmarkStart w:id="0" w:name="_Toc427686020"/>
      <w:r w:rsidRPr="00395738">
        <w:lastRenderedPageBreak/>
        <w:t>Foreword</w:t>
      </w:r>
      <w:bookmarkEnd w:id="0"/>
    </w:p>
    <w:p w14:paraId="199B438C" w14:textId="5C4EC069" w:rsidR="000F2C47" w:rsidRPr="00395738" w:rsidRDefault="000F2C47" w:rsidP="000F2C47">
      <w:pPr>
        <w:autoSpaceDE w:val="0"/>
        <w:autoSpaceDN w:val="0"/>
        <w:adjustRightInd w:val="0"/>
        <w:spacing w:after="240" w:line="360" w:lineRule="auto"/>
        <w:jc w:val="both"/>
        <w:rPr>
          <w:rFonts w:cs="Times New Roman"/>
          <w:color w:val="000000"/>
          <w:sz w:val="24"/>
          <w:szCs w:val="24"/>
        </w:rPr>
      </w:pPr>
      <w:r w:rsidRPr="00395738">
        <w:rPr>
          <w:rFonts w:cs="Times New Roman"/>
          <w:color w:val="000000"/>
          <w:sz w:val="24"/>
          <w:szCs w:val="24"/>
        </w:rPr>
        <w:t xml:space="preserve">In September 2011, the General Principles for Credit Reporting were issued by the World Bank and produced under its guidance by an international task force composed by central banks, other economic authorities, multilateral organizations, consumer/data protection authorities and credit reporting industry associations.  In March 2013, the Task Force agreed to continue working on the policy implications related to the implementation of the General Principles for Credit Reporting and was transformed into a permanent committee, the International Committee for Credit Reporting (ICCR). This committee is currently comprised by the Arab Monetary Fund, the Asociación Latinoamericana de Burós de Credito, Association of Consumer Credit Information Suppliers, Banco Central do Brasil, Banco de España, Banque de France, Banca d’Italia, Banco de México, Bank for International Settlements, Business Information Industry Association, Center for Latin American Monetary Studies, Central Bank of the Republic of Turkey, Consumer Data Industry Association, Deutsche Bundesbank, European Bank for Reconstruction and Development, Inter-American Development Bank, International Finance Corporation, People’s Bank of China, Reserve Bank of India, South Africa’s National Credit Regulator, U.S. Consumer Financial Protection Bureau and the World Bank. </w:t>
      </w:r>
    </w:p>
    <w:p w14:paraId="747B0B7A" w14:textId="3FC140CD" w:rsidR="000F2C47" w:rsidRPr="00395738" w:rsidRDefault="000F2C47" w:rsidP="000F2C47">
      <w:pPr>
        <w:autoSpaceDE w:val="0"/>
        <w:autoSpaceDN w:val="0"/>
        <w:adjustRightInd w:val="0"/>
        <w:spacing w:after="240" w:line="360" w:lineRule="auto"/>
        <w:jc w:val="both"/>
        <w:rPr>
          <w:rFonts w:cs="Times New Roman"/>
          <w:color w:val="000000"/>
          <w:sz w:val="24"/>
          <w:szCs w:val="24"/>
        </w:rPr>
      </w:pPr>
      <w:r w:rsidRPr="00395738">
        <w:rPr>
          <w:rFonts w:cs="Times New Roman"/>
          <w:color w:val="000000"/>
          <w:sz w:val="24"/>
          <w:szCs w:val="24"/>
        </w:rPr>
        <w:t>At its meeting</w:t>
      </w:r>
      <w:r w:rsidR="00A5264B" w:rsidRPr="00395738">
        <w:rPr>
          <w:rFonts w:cs="Times New Roman"/>
          <w:color w:val="000000"/>
          <w:sz w:val="24"/>
          <w:szCs w:val="24"/>
        </w:rPr>
        <w:t>s</w:t>
      </w:r>
      <w:r w:rsidRPr="00395738">
        <w:rPr>
          <w:rFonts w:cs="Times New Roman"/>
          <w:color w:val="000000"/>
          <w:sz w:val="24"/>
          <w:szCs w:val="24"/>
        </w:rPr>
        <w:t xml:space="preserve"> in </w:t>
      </w:r>
      <w:r w:rsidR="00A5264B" w:rsidRPr="00395738">
        <w:rPr>
          <w:rFonts w:cs="Times New Roman"/>
          <w:color w:val="000000"/>
          <w:sz w:val="24"/>
          <w:szCs w:val="24"/>
        </w:rPr>
        <w:t xml:space="preserve">Washington and </w:t>
      </w:r>
      <w:r w:rsidR="002D68C3" w:rsidRPr="00395738">
        <w:rPr>
          <w:rFonts w:cs="Times New Roman"/>
          <w:color w:val="000000"/>
          <w:sz w:val="24"/>
          <w:szCs w:val="24"/>
        </w:rPr>
        <w:t>Berlin</w:t>
      </w:r>
      <w:r w:rsidRPr="00395738">
        <w:rPr>
          <w:rFonts w:cs="Times New Roman"/>
          <w:color w:val="000000"/>
          <w:sz w:val="24"/>
          <w:szCs w:val="24"/>
        </w:rPr>
        <w:t xml:space="preserve"> in </w:t>
      </w:r>
      <w:r w:rsidR="00A5264B" w:rsidRPr="00395738">
        <w:rPr>
          <w:rFonts w:cs="Times New Roman"/>
          <w:color w:val="000000"/>
          <w:sz w:val="24"/>
          <w:szCs w:val="24"/>
        </w:rPr>
        <w:t xml:space="preserve">May and </w:t>
      </w:r>
      <w:r w:rsidR="002D68C3" w:rsidRPr="00395738">
        <w:rPr>
          <w:rFonts w:cs="Times New Roman"/>
          <w:color w:val="000000"/>
          <w:sz w:val="24"/>
          <w:szCs w:val="24"/>
        </w:rPr>
        <w:t>October</w:t>
      </w:r>
      <w:r w:rsidRPr="00395738">
        <w:rPr>
          <w:rFonts w:cs="Times New Roman"/>
          <w:color w:val="000000"/>
          <w:sz w:val="24"/>
          <w:szCs w:val="24"/>
        </w:rPr>
        <w:t xml:space="preserve"> 201</w:t>
      </w:r>
      <w:r w:rsidR="002D68C3" w:rsidRPr="00395738">
        <w:rPr>
          <w:rFonts w:cs="Times New Roman"/>
          <w:color w:val="000000"/>
          <w:sz w:val="24"/>
          <w:szCs w:val="24"/>
        </w:rPr>
        <w:t>4</w:t>
      </w:r>
      <w:r w:rsidRPr="00395738">
        <w:rPr>
          <w:rFonts w:cs="Times New Roman"/>
          <w:color w:val="000000"/>
          <w:sz w:val="24"/>
          <w:szCs w:val="24"/>
        </w:rPr>
        <w:t xml:space="preserve">, </w:t>
      </w:r>
      <w:r w:rsidR="00A5264B" w:rsidRPr="00395738">
        <w:rPr>
          <w:rFonts w:cs="Times New Roman"/>
          <w:color w:val="000000"/>
          <w:sz w:val="24"/>
          <w:szCs w:val="24"/>
        </w:rPr>
        <w:t xml:space="preserve">respectively, </w:t>
      </w:r>
      <w:r w:rsidRPr="00395738">
        <w:rPr>
          <w:rFonts w:cs="Times New Roman"/>
          <w:color w:val="000000"/>
          <w:sz w:val="24"/>
          <w:szCs w:val="24"/>
        </w:rPr>
        <w:t xml:space="preserve">the ICCR </w:t>
      </w:r>
      <w:r w:rsidR="00A5264B" w:rsidRPr="00395738">
        <w:rPr>
          <w:rFonts w:cs="Times New Roman"/>
          <w:color w:val="000000"/>
          <w:sz w:val="24"/>
          <w:szCs w:val="24"/>
        </w:rPr>
        <w:t xml:space="preserve">agreed that more light should be shed on the role that credit reporting plays in promoting financial stability through the provision of credit data </w:t>
      </w:r>
      <w:r w:rsidR="00FA0A6A" w:rsidRPr="00395738">
        <w:rPr>
          <w:rFonts w:cs="Times New Roman"/>
          <w:color w:val="000000"/>
          <w:sz w:val="24"/>
          <w:szCs w:val="24"/>
        </w:rPr>
        <w:t xml:space="preserve">for </w:t>
      </w:r>
      <w:r w:rsidR="00CC1B1C" w:rsidRPr="00395738">
        <w:rPr>
          <w:rFonts w:cs="Times New Roman"/>
          <w:color w:val="000000"/>
          <w:sz w:val="24"/>
          <w:szCs w:val="24"/>
        </w:rPr>
        <w:t xml:space="preserve">financial sector </w:t>
      </w:r>
      <w:r w:rsidR="00A5264B" w:rsidRPr="00395738">
        <w:rPr>
          <w:rFonts w:cs="Times New Roman"/>
          <w:color w:val="000000"/>
          <w:sz w:val="24"/>
          <w:szCs w:val="24"/>
        </w:rPr>
        <w:t xml:space="preserve">micro- and macro-prudential supervisory </w:t>
      </w:r>
      <w:r w:rsidR="00D63C97" w:rsidRPr="00395738">
        <w:rPr>
          <w:rFonts w:cs="Times New Roman"/>
          <w:color w:val="000000"/>
          <w:sz w:val="24"/>
          <w:szCs w:val="24"/>
        </w:rPr>
        <w:t xml:space="preserve">and regulatory </w:t>
      </w:r>
      <w:r w:rsidR="00A5264B" w:rsidRPr="00395738">
        <w:rPr>
          <w:rFonts w:cs="Times New Roman"/>
          <w:color w:val="000000"/>
          <w:sz w:val="24"/>
          <w:szCs w:val="24"/>
        </w:rPr>
        <w:t xml:space="preserve">activities. </w:t>
      </w:r>
    </w:p>
    <w:p w14:paraId="2F743B50" w14:textId="5EA5DF28" w:rsidR="000F2C47" w:rsidRPr="00395738" w:rsidRDefault="00FA0A6A" w:rsidP="000F2C47">
      <w:pPr>
        <w:autoSpaceDE w:val="0"/>
        <w:autoSpaceDN w:val="0"/>
        <w:adjustRightInd w:val="0"/>
        <w:spacing w:after="240" w:line="360" w:lineRule="auto"/>
        <w:jc w:val="both"/>
        <w:rPr>
          <w:rFonts w:cs="Times New Roman"/>
          <w:sz w:val="24"/>
          <w:szCs w:val="24"/>
        </w:rPr>
      </w:pPr>
      <w:r w:rsidRPr="00395738">
        <w:rPr>
          <w:rFonts w:cs="Times New Roman"/>
          <w:sz w:val="24"/>
          <w:szCs w:val="24"/>
        </w:rPr>
        <w:t xml:space="preserve">In this context, the </w:t>
      </w:r>
      <w:r w:rsidR="000F2C47" w:rsidRPr="00395738">
        <w:rPr>
          <w:rFonts w:cs="Times New Roman"/>
          <w:sz w:val="24"/>
          <w:szCs w:val="24"/>
        </w:rPr>
        <w:t xml:space="preserve">ICCR has produced this report, which </w:t>
      </w:r>
      <w:r w:rsidR="00D63C97" w:rsidRPr="00395738">
        <w:rPr>
          <w:rFonts w:cs="Times New Roman"/>
          <w:sz w:val="24"/>
          <w:szCs w:val="24"/>
        </w:rPr>
        <w:t xml:space="preserve">discusses how </w:t>
      </w:r>
      <w:r w:rsidR="004D108F" w:rsidRPr="00395738">
        <w:rPr>
          <w:rFonts w:cs="Times New Roman"/>
          <w:sz w:val="24"/>
          <w:szCs w:val="24"/>
        </w:rPr>
        <w:t xml:space="preserve">credit reporting systems </w:t>
      </w:r>
      <w:r w:rsidR="00D63C97" w:rsidRPr="00395738">
        <w:rPr>
          <w:rFonts w:cs="Times New Roman"/>
          <w:sz w:val="24"/>
          <w:szCs w:val="24"/>
        </w:rPr>
        <w:t>can</w:t>
      </w:r>
      <w:r w:rsidR="001E0DEB" w:rsidRPr="00395738">
        <w:rPr>
          <w:rFonts w:cs="Times New Roman"/>
          <w:sz w:val="24"/>
          <w:szCs w:val="24"/>
        </w:rPr>
        <w:t xml:space="preserve"> support financial </w:t>
      </w:r>
      <w:r w:rsidR="00BB243A" w:rsidRPr="00395738">
        <w:rPr>
          <w:rFonts w:cs="Times New Roman"/>
          <w:sz w:val="24"/>
          <w:szCs w:val="24"/>
        </w:rPr>
        <w:t xml:space="preserve">sector </w:t>
      </w:r>
      <w:r w:rsidR="001E0DEB" w:rsidRPr="00395738">
        <w:rPr>
          <w:rFonts w:cs="Times New Roman"/>
          <w:sz w:val="24"/>
          <w:szCs w:val="24"/>
        </w:rPr>
        <w:t>regulation and supervision</w:t>
      </w:r>
      <w:r w:rsidR="00DE7878" w:rsidRPr="00395738">
        <w:rPr>
          <w:rFonts w:cs="Times New Roman"/>
          <w:sz w:val="24"/>
          <w:szCs w:val="24"/>
        </w:rPr>
        <w:t xml:space="preserve"> in an effective manner</w:t>
      </w:r>
      <w:r w:rsidR="00D63C97" w:rsidRPr="00395738">
        <w:rPr>
          <w:rFonts w:cs="Times New Roman"/>
          <w:sz w:val="24"/>
          <w:szCs w:val="24"/>
        </w:rPr>
        <w:t>. This analysis is complemented with the identification of a number of trends and associated key challenges.</w:t>
      </w:r>
    </w:p>
    <w:p w14:paraId="259843F3" w14:textId="77777777" w:rsidR="00B21B79" w:rsidRDefault="00B21B79" w:rsidP="00DE7878">
      <w:pPr>
        <w:autoSpaceDE w:val="0"/>
        <w:autoSpaceDN w:val="0"/>
        <w:adjustRightInd w:val="0"/>
        <w:spacing w:after="240" w:line="360" w:lineRule="auto"/>
        <w:jc w:val="both"/>
        <w:rPr>
          <w:rFonts w:ascii="Times New Roman" w:hAnsi="Times New Roman" w:cs="Times New Roman"/>
          <w:sz w:val="24"/>
          <w:szCs w:val="24"/>
        </w:rPr>
      </w:pPr>
    </w:p>
    <w:p w14:paraId="351336E8" w14:textId="7F98D7B5" w:rsidR="000F2C47" w:rsidRPr="00395738" w:rsidRDefault="000F2C47" w:rsidP="00DE7878">
      <w:pPr>
        <w:autoSpaceDE w:val="0"/>
        <w:autoSpaceDN w:val="0"/>
        <w:adjustRightInd w:val="0"/>
        <w:spacing w:after="240" w:line="360" w:lineRule="auto"/>
        <w:jc w:val="both"/>
        <w:rPr>
          <w:rFonts w:ascii="Times New Roman" w:hAnsi="Times New Roman" w:cs="Times New Roman"/>
          <w:sz w:val="24"/>
          <w:szCs w:val="24"/>
        </w:rPr>
      </w:pPr>
      <w:r w:rsidRPr="00395738">
        <w:rPr>
          <w:rFonts w:ascii="Times New Roman" w:hAnsi="Times New Roman" w:cs="Times New Roman"/>
          <w:sz w:val="24"/>
          <w:szCs w:val="24"/>
        </w:rPr>
        <w:br w:type="page"/>
      </w:r>
    </w:p>
    <w:p w14:paraId="3D2E402B" w14:textId="77777777" w:rsidR="00347DAD" w:rsidRPr="00395738" w:rsidRDefault="00347DAD" w:rsidP="00665D7D">
      <w:pPr>
        <w:pStyle w:val="Heading1"/>
        <w:pageBreakBefore/>
        <w:spacing w:before="0" w:after="480" w:line="240" w:lineRule="auto"/>
        <w:jc w:val="both"/>
        <w:rPr>
          <w:rFonts w:asciiTheme="minorHAnsi" w:hAnsiTheme="minorHAnsi" w:cs="Times New Roman"/>
          <w:color w:val="auto"/>
        </w:rPr>
      </w:pPr>
      <w:bookmarkStart w:id="1" w:name="_Toc427686021"/>
      <w:r w:rsidRPr="00395738">
        <w:rPr>
          <w:rFonts w:asciiTheme="minorHAnsi" w:hAnsiTheme="minorHAnsi" w:cs="Times New Roman"/>
          <w:color w:val="auto"/>
        </w:rPr>
        <w:lastRenderedPageBreak/>
        <w:t>Abbreviations</w:t>
      </w:r>
      <w:bookmarkEnd w:id="1"/>
    </w:p>
    <w:p w14:paraId="60E6F26D" w14:textId="16EF3649" w:rsidR="007838FA" w:rsidRPr="00395738" w:rsidRDefault="007838FA" w:rsidP="007838FA">
      <w:pPr>
        <w:spacing w:after="120" w:line="360" w:lineRule="auto"/>
        <w:rPr>
          <w:rFonts w:cs="Times New Roman"/>
          <w:sz w:val="24"/>
          <w:szCs w:val="24"/>
        </w:rPr>
      </w:pPr>
      <w:r w:rsidRPr="00395738">
        <w:rPr>
          <w:rFonts w:cs="Times New Roman"/>
          <w:sz w:val="24"/>
          <w:szCs w:val="24"/>
        </w:rPr>
        <w:t>ACCIS</w:t>
      </w:r>
      <w:r w:rsidRPr="00395738">
        <w:rPr>
          <w:rFonts w:cs="Times New Roman"/>
          <w:sz w:val="24"/>
          <w:szCs w:val="24"/>
        </w:rPr>
        <w:tab/>
      </w:r>
      <w:r w:rsidRPr="00395738">
        <w:rPr>
          <w:rFonts w:cs="Times New Roman"/>
          <w:sz w:val="24"/>
          <w:szCs w:val="24"/>
        </w:rPr>
        <w:tab/>
        <w:t>Association of Consumer Credit Information Suppliers</w:t>
      </w:r>
    </w:p>
    <w:p w14:paraId="1EF12206" w14:textId="23B3141A" w:rsidR="00B43F2B" w:rsidRPr="00395738" w:rsidRDefault="00B43F2B" w:rsidP="007838FA">
      <w:pPr>
        <w:spacing w:after="120" w:line="360" w:lineRule="auto"/>
        <w:rPr>
          <w:rFonts w:cs="Times New Roman"/>
          <w:sz w:val="24"/>
          <w:szCs w:val="24"/>
        </w:rPr>
      </w:pPr>
      <w:r w:rsidRPr="00395738">
        <w:rPr>
          <w:rFonts w:cs="Times New Roman"/>
          <w:sz w:val="24"/>
          <w:szCs w:val="24"/>
        </w:rPr>
        <w:t>BCBS</w:t>
      </w:r>
      <w:r w:rsidRPr="00395738">
        <w:rPr>
          <w:rFonts w:cs="Times New Roman"/>
          <w:sz w:val="24"/>
          <w:szCs w:val="24"/>
        </w:rPr>
        <w:tab/>
      </w:r>
      <w:r w:rsidRPr="00395738">
        <w:rPr>
          <w:rFonts w:cs="Times New Roman"/>
          <w:sz w:val="24"/>
          <w:szCs w:val="24"/>
        </w:rPr>
        <w:tab/>
        <w:t>Basel Committee on Banking Supervision</w:t>
      </w:r>
    </w:p>
    <w:p w14:paraId="73DFDFB9" w14:textId="5C29CB67" w:rsidR="00CC1B1C" w:rsidRPr="00395738" w:rsidRDefault="00CC1B1C" w:rsidP="007838FA">
      <w:pPr>
        <w:spacing w:after="120" w:line="360" w:lineRule="auto"/>
        <w:rPr>
          <w:rFonts w:cs="Times New Roman"/>
          <w:sz w:val="24"/>
          <w:szCs w:val="24"/>
        </w:rPr>
      </w:pPr>
      <w:r w:rsidRPr="00395738">
        <w:rPr>
          <w:rFonts w:cs="Times New Roman"/>
          <w:sz w:val="24"/>
          <w:szCs w:val="24"/>
        </w:rPr>
        <w:t>BOE</w:t>
      </w:r>
      <w:r w:rsidRPr="00395738">
        <w:rPr>
          <w:rFonts w:cs="Times New Roman"/>
          <w:sz w:val="24"/>
          <w:szCs w:val="24"/>
        </w:rPr>
        <w:tab/>
      </w:r>
      <w:r w:rsidRPr="00395738">
        <w:rPr>
          <w:rFonts w:cs="Times New Roman"/>
          <w:sz w:val="24"/>
          <w:szCs w:val="24"/>
        </w:rPr>
        <w:tab/>
        <w:t>Bank of England</w:t>
      </w:r>
    </w:p>
    <w:p w14:paraId="32607BF3" w14:textId="77777777" w:rsidR="0010388E" w:rsidRPr="00395738" w:rsidRDefault="0010388E" w:rsidP="00B80B68">
      <w:pPr>
        <w:spacing w:after="120" w:line="360" w:lineRule="auto"/>
        <w:rPr>
          <w:rFonts w:cs="Times New Roman"/>
          <w:sz w:val="24"/>
          <w:szCs w:val="24"/>
        </w:rPr>
      </w:pPr>
      <w:r w:rsidRPr="00395738">
        <w:rPr>
          <w:rFonts w:cs="Times New Roman"/>
          <w:sz w:val="24"/>
          <w:szCs w:val="24"/>
        </w:rPr>
        <w:t>CB</w:t>
      </w:r>
      <w:r w:rsidRPr="00395738">
        <w:rPr>
          <w:rFonts w:cs="Times New Roman"/>
          <w:sz w:val="24"/>
          <w:szCs w:val="24"/>
        </w:rPr>
        <w:tab/>
      </w:r>
      <w:r w:rsidRPr="00395738">
        <w:rPr>
          <w:rFonts w:cs="Times New Roman"/>
          <w:sz w:val="24"/>
          <w:szCs w:val="24"/>
        </w:rPr>
        <w:tab/>
        <w:t>Credit Bureau</w:t>
      </w:r>
    </w:p>
    <w:p w14:paraId="3A7FFA4F" w14:textId="77777777" w:rsidR="00673509" w:rsidRPr="00395738" w:rsidRDefault="00673509" w:rsidP="00B80B68">
      <w:pPr>
        <w:spacing w:after="120" w:line="360" w:lineRule="auto"/>
        <w:rPr>
          <w:rFonts w:cs="Times New Roman"/>
          <w:sz w:val="24"/>
          <w:szCs w:val="24"/>
        </w:rPr>
      </w:pPr>
      <w:r w:rsidRPr="00395738">
        <w:rPr>
          <w:rFonts w:cs="Times New Roman"/>
          <w:sz w:val="24"/>
          <w:szCs w:val="24"/>
        </w:rPr>
        <w:t>CCB</w:t>
      </w:r>
      <w:r w:rsidRPr="00395738">
        <w:rPr>
          <w:rFonts w:cs="Times New Roman"/>
          <w:sz w:val="24"/>
          <w:szCs w:val="24"/>
        </w:rPr>
        <w:tab/>
      </w:r>
      <w:r w:rsidRPr="00395738">
        <w:rPr>
          <w:rFonts w:cs="Times New Roman"/>
          <w:sz w:val="24"/>
          <w:szCs w:val="24"/>
        </w:rPr>
        <w:tab/>
        <w:t>Counter-cyclical Capital Buffer</w:t>
      </w:r>
    </w:p>
    <w:p w14:paraId="3EF8CD77" w14:textId="69EF35C7" w:rsidR="00A536D6" w:rsidRPr="00395738" w:rsidRDefault="00A536D6" w:rsidP="00B80B68">
      <w:pPr>
        <w:spacing w:after="120" w:line="360" w:lineRule="auto"/>
        <w:rPr>
          <w:rFonts w:cs="Times New Roman"/>
          <w:sz w:val="24"/>
          <w:szCs w:val="24"/>
        </w:rPr>
      </w:pPr>
      <w:r w:rsidRPr="00395738">
        <w:rPr>
          <w:rFonts w:cs="Times New Roman"/>
          <w:sz w:val="24"/>
          <w:szCs w:val="24"/>
        </w:rPr>
        <w:t>CCF</w:t>
      </w:r>
      <w:r w:rsidRPr="00395738">
        <w:rPr>
          <w:rFonts w:cs="Times New Roman"/>
          <w:sz w:val="24"/>
          <w:szCs w:val="24"/>
        </w:rPr>
        <w:tab/>
      </w:r>
      <w:r w:rsidRPr="00395738">
        <w:rPr>
          <w:rFonts w:cs="Times New Roman"/>
          <w:sz w:val="24"/>
          <w:szCs w:val="24"/>
        </w:rPr>
        <w:tab/>
        <w:t>Credit Conversion Factor</w:t>
      </w:r>
    </w:p>
    <w:p w14:paraId="5AB28B27" w14:textId="77777777" w:rsidR="0010388E" w:rsidRPr="00395738" w:rsidRDefault="0010388E" w:rsidP="00B80B68">
      <w:pPr>
        <w:spacing w:after="120" w:line="360" w:lineRule="auto"/>
        <w:rPr>
          <w:rFonts w:cs="Times New Roman"/>
          <w:sz w:val="24"/>
          <w:szCs w:val="24"/>
        </w:rPr>
      </w:pPr>
      <w:r w:rsidRPr="00395738">
        <w:rPr>
          <w:rFonts w:cs="Times New Roman"/>
          <w:sz w:val="24"/>
          <w:szCs w:val="24"/>
        </w:rPr>
        <w:t>CCRC</w:t>
      </w:r>
      <w:r w:rsidRPr="00395738">
        <w:rPr>
          <w:rFonts w:cs="Times New Roman"/>
          <w:sz w:val="24"/>
          <w:szCs w:val="24"/>
        </w:rPr>
        <w:tab/>
      </w:r>
      <w:r w:rsidRPr="00395738">
        <w:rPr>
          <w:rFonts w:cs="Times New Roman"/>
          <w:sz w:val="24"/>
          <w:szCs w:val="24"/>
        </w:rPr>
        <w:tab/>
        <w:t>Commercial Credit Reporting Company</w:t>
      </w:r>
    </w:p>
    <w:p w14:paraId="53DADCFE" w14:textId="25C982E0" w:rsidR="00BB243A" w:rsidRPr="00395738" w:rsidRDefault="00BB243A" w:rsidP="00B80B68">
      <w:pPr>
        <w:spacing w:after="120" w:line="360" w:lineRule="auto"/>
        <w:rPr>
          <w:rFonts w:cs="Times New Roman"/>
          <w:sz w:val="24"/>
          <w:szCs w:val="24"/>
        </w:rPr>
      </w:pPr>
      <w:r w:rsidRPr="00395738">
        <w:rPr>
          <w:rFonts w:cs="Times New Roman"/>
          <w:sz w:val="24"/>
          <w:szCs w:val="24"/>
        </w:rPr>
        <w:t>CNBV</w:t>
      </w:r>
      <w:r w:rsidRPr="00395738">
        <w:rPr>
          <w:rFonts w:cs="Times New Roman"/>
          <w:sz w:val="24"/>
          <w:szCs w:val="24"/>
        </w:rPr>
        <w:tab/>
      </w:r>
      <w:r w:rsidRPr="00395738">
        <w:rPr>
          <w:rFonts w:cs="Times New Roman"/>
          <w:sz w:val="24"/>
          <w:szCs w:val="24"/>
        </w:rPr>
        <w:tab/>
        <w:t>National Banking and Securities Commission of Mexico</w:t>
      </w:r>
    </w:p>
    <w:p w14:paraId="0E914AEF" w14:textId="77777777" w:rsidR="003B446F" w:rsidRPr="00395738" w:rsidRDefault="003B446F" w:rsidP="00B80B68">
      <w:pPr>
        <w:spacing w:after="120" w:line="360" w:lineRule="auto"/>
        <w:rPr>
          <w:rFonts w:cs="Times New Roman"/>
          <w:sz w:val="24"/>
          <w:szCs w:val="24"/>
        </w:rPr>
      </w:pPr>
      <w:r w:rsidRPr="00395738">
        <w:rPr>
          <w:rFonts w:cs="Times New Roman"/>
          <w:sz w:val="24"/>
          <w:szCs w:val="24"/>
        </w:rPr>
        <w:t>CR</w:t>
      </w:r>
      <w:r w:rsidRPr="00395738">
        <w:rPr>
          <w:rFonts w:cs="Times New Roman"/>
          <w:sz w:val="24"/>
          <w:szCs w:val="24"/>
        </w:rPr>
        <w:tab/>
      </w:r>
      <w:r w:rsidRPr="00395738">
        <w:rPr>
          <w:rFonts w:cs="Times New Roman"/>
          <w:sz w:val="24"/>
          <w:szCs w:val="24"/>
        </w:rPr>
        <w:tab/>
        <w:t>Credit Registry</w:t>
      </w:r>
    </w:p>
    <w:p w14:paraId="76F47EA6" w14:textId="77777777" w:rsidR="00347DAD" w:rsidRPr="00395738" w:rsidRDefault="00347DAD" w:rsidP="00B80B68">
      <w:pPr>
        <w:spacing w:after="120" w:line="360" w:lineRule="auto"/>
        <w:rPr>
          <w:rFonts w:cs="Times New Roman"/>
          <w:sz w:val="24"/>
          <w:szCs w:val="24"/>
        </w:rPr>
      </w:pPr>
      <w:r w:rsidRPr="00395738">
        <w:rPr>
          <w:rFonts w:cs="Times New Roman"/>
          <w:sz w:val="24"/>
          <w:szCs w:val="24"/>
        </w:rPr>
        <w:t>CRS(s)</w:t>
      </w:r>
      <w:r w:rsidRPr="00395738">
        <w:rPr>
          <w:rFonts w:cs="Times New Roman"/>
          <w:sz w:val="24"/>
          <w:szCs w:val="24"/>
        </w:rPr>
        <w:tab/>
      </w:r>
      <w:r w:rsidRPr="00395738">
        <w:rPr>
          <w:rFonts w:cs="Times New Roman"/>
          <w:sz w:val="24"/>
          <w:szCs w:val="24"/>
        </w:rPr>
        <w:tab/>
        <w:t>Credit Reporting System(s)</w:t>
      </w:r>
    </w:p>
    <w:p w14:paraId="1CAB9F9E" w14:textId="77777777" w:rsidR="00347DAD" w:rsidRPr="00395738" w:rsidRDefault="00347DAD" w:rsidP="00B80B68">
      <w:pPr>
        <w:spacing w:after="120" w:line="360" w:lineRule="auto"/>
        <w:rPr>
          <w:rFonts w:cs="Times New Roman"/>
          <w:sz w:val="24"/>
          <w:szCs w:val="24"/>
        </w:rPr>
      </w:pPr>
      <w:r w:rsidRPr="00395738">
        <w:rPr>
          <w:rFonts w:cs="Times New Roman"/>
          <w:sz w:val="24"/>
          <w:szCs w:val="24"/>
        </w:rPr>
        <w:t>CRSP(s)</w:t>
      </w:r>
      <w:r w:rsidRPr="00395738">
        <w:rPr>
          <w:rFonts w:cs="Times New Roman"/>
          <w:sz w:val="24"/>
          <w:szCs w:val="24"/>
        </w:rPr>
        <w:tab/>
        <w:t>Credit Reporting Service Provider(s)</w:t>
      </w:r>
    </w:p>
    <w:p w14:paraId="632F3632" w14:textId="39B7F2B6" w:rsidR="007838FA" w:rsidRPr="00395738" w:rsidRDefault="007838FA" w:rsidP="00B80B68">
      <w:pPr>
        <w:spacing w:after="120" w:line="360" w:lineRule="auto"/>
        <w:rPr>
          <w:rFonts w:cs="Times New Roman"/>
          <w:sz w:val="24"/>
          <w:szCs w:val="24"/>
        </w:rPr>
      </w:pPr>
      <w:r w:rsidRPr="00395738">
        <w:rPr>
          <w:rFonts w:cs="Times New Roman"/>
          <w:sz w:val="24"/>
          <w:szCs w:val="24"/>
        </w:rPr>
        <w:t>EAD</w:t>
      </w:r>
      <w:r w:rsidRPr="00395738">
        <w:rPr>
          <w:rFonts w:cs="Times New Roman"/>
          <w:sz w:val="24"/>
          <w:szCs w:val="24"/>
        </w:rPr>
        <w:tab/>
      </w:r>
      <w:r w:rsidRPr="00395738">
        <w:rPr>
          <w:rFonts w:cs="Times New Roman"/>
          <w:sz w:val="24"/>
          <w:szCs w:val="24"/>
        </w:rPr>
        <w:tab/>
        <w:t>Exposure At Default</w:t>
      </w:r>
    </w:p>
    <w:p w14:paraId="7F1726DE" w14:textId="77777777" w:rsidR="00962A0F" w:rsidRPr="00395738" w:rsidRDefault="00962A0F" w:rsidP="00B80B68">
      <w:pPr>
        <w:spacing w:after="120" w:line="360" w:lineRule="auto"/>
        <w:rPr>
          <w:rFonts w:cs="Times New Roman"/>
          <w:sz w:val="24"/>
          <w:szCs w:val="24"/>
        </w:rPr>
      </w:pPr>
      <w:r w:rsidRPr="00395738">
        <w:rPr>
          <w:rFonts w:cs="Times New Roman"/>
          <w:sz w:val="24"/>
          <w:szCs w:val="24"/>
        </w:rPr>
        <w:t>EBA</w:t>
      </w:r>
      <w:r w:rsidRPr="00395738">
        <w:rPr>
          <w:rFonts w:cs="Times New Roman"/>
          <w:sz w:val="24"/>
          <w:szCs w:val="24"/>
        </w:rPr>
        <w:tab/>
      </w:r>
      <w:r w:rsidRPr="00395738">
        <w:rPr>
          <w:rFonts w:cs="Times New Roman"/>
          <w:sz w:val="24"/>
          <w:szCs w:val="24"/>
        </w:rPr>
        <w:tab/>
        <w:t>European Banking Authority</w:t>
      </w:r>
    </w:p>
    <w:p w14:paraId="363B14E0" w14:textId="77777777" w:rsidR="00347DAD" w:rsidRPr="00395738" w:rsidRDefault="00347DAD" w:rsidP="00B80B68">
      <w:pPr>
        <w:spacing w:after="120" w:line="360" w:lineRule="auto"/>
        <w:rPr>
          <w:rFonts w:cs="Times New Roman"/>
          <w:sz w:val="24"/>
          <w:szCs w:val="24"/>
        </w:rPr>
      </w:pPr>
      <w:r w:rsidRPr="00395738">
        <w:rPr>
          <w:rFonts w:cs="Times New Roman"/>
          <w:sz w:val="24"/>
          <w:szCs w:val="24"/>
        </w:rPr>
        <w:t>ECB</w:t>
      </w:r>
      <w:r w:rsidRPr="00395738">
        <w:rPr>
          <w:rFonts w:cs="Times New Roman"/>
          <w:sz w:val="24"/>
          <w:szCs w:val="24"/>
        </w:rPr>
        <w:tab/>
      </w:r>
      <w:r w:rsidRPr="00395738">
        <w:rPr>
          <w:rFonts w:cs="Times New Roman"/>
          <w:sz w:val="24"/>
          <w:szCs w:val="24"/>
        </w:rPr>
        <w:tab/>
        <w:t>European Central Bank</w:t>
      </w:r>
    </w:p>
    <w:p w14:paraId="489BD558" w14:textId="4A199E4D" w:rsidR="00BB243A" w:rsidRPr="00395738" w:rsidRDefault="00BB243A" w:rsidP="00B80B68">
      <w:pPr>
        <w:spacing w:after="120" w:line="360" w:lineRule="auto"/>
        <w:rPr>
          <w:rFonts w:cs="Times New Roman"/>
          <w:sz w:val="24"/>
          <w:szCs w:val="24"/>
        </w:rPr>
      </w:pPr>
      <w:r w:rsidRPr="00395738">
        <w:rPr>
          <w:rFonts w:cs="Times New Roman"/>
          <w:sz w:val="24"/>
          <w:szCs w:val="24"/>
        </w:rPr>
        <w:t>EL</w:t>
      </w:r>
      <w:r w:rsidRPr="00395738">
        <w:rPr>
          <w:rFonts w:cs="Times New Roman"/>
          <w:sz w:val="24"/>
          <w:szCs w:val="24"/>
        </w:rPr>
        <w:tab/>
      </w:r>
      <w:r w:rsidRPr="00395738">
        <w:rPr>
          <w:rFonts w:cs="Times New Roman"/>
          <w:sz w:val="24"/>
          <w:szCs w:val="24"/>
        </w:rPr>
        <w:tab/>
        <w:t>Expected Loss</w:t>
      </w:r>
    </w:p>
    <w:p w14:paraId="139CA387" w14:textId="77777777" w:rsidR="0097548A" w:rsidRPr="00395738" w:rsidRDefault="0097548A" w:rsidP="00B80B68">
      <w:pPr>
        <w:spacing w:after="120" w:line="360" w:lineRule="auto"/>
        <w:rPr>
          <w:rFonts w:cs="Times New Roman"/>
          <w:sz w:val="24"/>
          <w:szCs w:val="24"/>
        </w:rPr>
      </w:pPr>
      <w:r w:rsidRPr="00395738">
        <w:rPr>
          <w:rFonts w:cs="Times New Roman"/>
          <w:sz w:val="24"/>
          <w:szCs w:val="24"/>
        </w:rPr>
        <w:t>ESCB</w:t>
      </w:r>
      <w:r w:rsidRPr="00395738">
        <w:rPr>
          <w:rFonts w:cs="Times New Roman"/>
          <w:sz w:val="24"/>
          <w:szCs w:val="24"/>
        </w:rPr>
        <w:tab/>
      </w:r>
      <w:r w:rsidRPr="00395738">
        <w:rPr>
          <w:rFonts w:cs="Times New Roman"/>
          <w:sz w:val="24"/>
          <w:szCs w:val="24"/>
        </w:rPr>
        <w:tab/>
        <w:t>European System of Central Banks</w:t>
      </w:r>
    </w:p>
    <w:p w14:paraId="7B3A36D3" w14:textId="77777777" w:rsidR="00962A0F" w:rsidRPr="00395738" w:rsidRDefault="00962A0F" w:rsidP="00B80B68">
      <w:pPr>
        <w:spacing w:after="120" w:line="360" w:lineRule="auto"/>
        <w:rPr>
          <w:rFonts w:cs="Times New Roman"/>
          <w:sz w:val="24"/>
          <w:szCs w:val="24"/>
        </w:rPr>
      </w:pPr>
      <w:r w:rsidRPr="00395738">
        <w:rPr>
          <w:rFonts w:cs="Times New Roman"/>
          <w:sz w:val="24"/>
          <w:szCs w:val="24"/>
        </w:rPr>
        <w:t>ESFS</w:t>
      </w:r>
      <w:r w:rsidRPr="00395738">
        <w:rPr>
          <w:rFonts w:cs="Times New Roman"/>
          <w:sz w:val="24"/>
          <w:szCs w:val="24"/>
        </w:rPr>
        <w:tab/>
      </w:r>
      <w:r w:rsidRPr="00395738">
        <w:rPr>
          <w:rFonts w:cs="Times New Roman"/>
          <w:sz w:val="24"/>
          <w:szCs w:val="24"/>
        </w:rPr>
        <w:tab/>
        <w:t>European System of Financial Supervision</w:t>
      </w:r>
    </w:p>
    <w:p w14:paraId="1CF3C01F" w14:textId="77777777" w:rsidR="00962A0F" w:rsidRPr="00395738" w:rsidRDefault="00962A0F" w:rsidP="00B80B68">
      <w:pPr>
        <w:spacing w:after="120" w:line="360" w:lineRule="auto"/>
        <w:rPr>
          <w:rFonts w:cs="Times New Roman"/>
          <w:sz w:val="24"/>
          <w:szCs w:val="24"/>
        </w:rPr>
      </w:pPr>
      <w:r w:rsidRPr="00395738">
        <w:rPr>
          <w:rFonts w:cs="Times New Roman"/>
          <w:sz w:val="24"/>
          <w:szCs w:val="24"/>
        </w:rPr>
        <w:t>EU</w:t>
      </w:r>
      <w:r w:rsidRPr="00395738">
        <w:rPr>
          <w:rFonts w:cs="Times New Roman"/>
          <w:sz w:val="24"/>
          <w:szCs w:val="24"/>
        </w:rPr>
        <w:tab/>
      </w:r>
      <w:r w:rsidRPr="00395738">
        <w:rPr>
          <w:rFonts w:cs="Times New Roman"/>
          <w:sz w:val="24"/>
          <w:szCs w:val="24"/>
        </w:rPr>
        <w:tab/>
        <w:t>European Union</w:t>
      </w:r>
    </w:p>
    <w:p w14:paraId="1C2B4758" w14:textId="59FF996A" w:rsidR="003D60EF" w:rsidRPr="00395738" w:rsidRDefault="003D60EF" w:rsidP="00B80B68">
      <w:pPr>
        <w:spacing w:after="120" w:line="360" w:lineRule="auto"/>
        <w:rPr>
          <w:rFonts w:cs="Times New Roman"/>
          <w:sz w:val="24"/>
          <w:szCs w:val="24"/>
        </w:rPr>
      </w:pPr>
      <w:r w:rsidRPr="00395738">
        <w:rPr>
          <w:sz w:val="24"/>
          <w:szCs w:val="24"/>
        </w:rPr>
        <w:t>FLESB</w:t>
      </w:r>
      <w:r w:rsidRPr="00395738">
        <w:rPr>
          <w:sz w:val="24"/>
          <w:szCs w:val="24"/>
        </w:rPr>
        <w:tab/>
      </w:r>
      <w:r w:rsidRPr="00395738">
        <w:rPr>
          <w:sz w:val="24"/>
          <w:szCs w:val="24"/>
        </w:rPr>
        <w:tab/>
        <w:t>Forward Looking Exercise on Spanish Banks</w:t>
      </w:r>
    </w:p>
    <w:p w14:paraId="4E1E1DE8" w14:textId="77777777" w:rsidR="00321FA5" w:rsidRPr="00395738" w:rsidRDefault="00321FA5" w:rsidP="00B80B68">
      <w:pPr>
        <w:spacing w:after="120" w:line="360" w:lineRule="auto"/>
        <w:rPr>
          <w:rFonts w:cs="Times New Roman"/>
          <w:sz w:val="24"/>
          <w:szCs w:val="24"/>
        </w:rPr>
      </w:pPr>
      <w:r w:rsidRPr="00395738">
        <w:rPr>
          <w:rFonts w:cs="Times New Roman"/>
          <w:sz w:val="24"/>
          <w:szCs w:val="24"/>
        </w:rPr>
        <w:t>FSB</w:t>
      </w:r>
      <w:r w:rsidRPr="00395738">
        <w:rPr>
          <w:rFonts w:cs="Times New Roman"/>
          <w:sz w:val="24"/>
          <w:szCs w:val="24"/>
        </w:rPr>
        <w:tab/>
      </w:r>
      <w:r w:rsidRPr="00395738">
        <w:rPr>
          <w:rFonts w:cs="Times New Roman"/>
          <w:sz w:val="24"/>
          <w:szCs w:val="24"/>
        </w:rPr>
        <w:tab/>
        <w:t>Financial Stability Board</w:t>
      </w:r>
    </w:p>
    <w:p w14:paraId="746E3368" w14:textId="77777777" w:rsidR="002560E9" w:rsidRPr="00395738" w:rsidRDefault="002560E9" w:rsidP="00B80B68">
      <w:pPr>
        <w:spacing w:after="120" w:line="360" w:lineRule="auto"/>
        <w:rPr>
          <w:rFonts w:cs="Times New Roman"/>
          <w:sz w:val="24"/>
          <w:szCs w:val="24"/>
        </w:rPr>
      </w:pPr>
      <w:r w:rsidRPr="00395738">
        <w:rPr>
          <w:rFonts w:cs="Times New Roman"/>
          <w:sz w:val="24"/>
          <w:szCs w:val="24"/>
        </w:rPr>
        <w:t>FSC</w:t>
      </w:r>
      <w:r w:rsidRPr="00395738">
        <w:rPr>
          <w:rFonts w:cs="Times New Roman"/>
          <w:sz w:val="24"/>
          <w:szCs w:val="24"/>
        </w:rPr>
        <w:tab/>
      </w:r>
      <w:r w:rsidRPr="00395738">
        <w:rPr>
          <w:rFonts w:cs="Times New Roman"/>
          <w:sz w:val="24"/>
          <w:szCs w:val="24"/>
        </w:rPr>
        <w:tab/>
      </w:r>
      <w:r w:rsidRPr="00395738">
        <w:rPr>
          <w:sz w:val="24"/>
          <w:szCs w:val="24"/>
        </w:rPr>
        <w:t xml:space="preserve">ESCB </w:t>
      </w:r>
      <w:r w:rsidR="0001720E" w:rsidRPr="00395738">
        <w:rPr>
          <w:sz w:val="24"/>
          <w:szCs w:val="24"/>
        </w:rPr>
        <w:t xml:space="preserve">Financial Supervision </w:t>
      </w:r>
      <w:r w:rsidRPr="00395738">
        <w:rPr>
          <w:sz w:val="24"/>
          <w:szCs w:val="24"/>
        </w:rPr>
        <w:t>Committee</w:t>
      </w:r>
    </w:p>
    <w:p w14:paraId="2206A8AF" w14:textId="7481F559" w:rsidR="0096788F" w:rsidRPr="00395738" w:rsidRDefault="0096788F" w:rsidP="0096788F">
      <w:pPr>
        <w:spacing w:after="120" w:line="360" w:lineRule="auto"/>
        <w:rPr>
          <w:rFonts w:cs="Times New Roman"/>
          <w:sz w:val="24"/>
          <w:szCs w:val="24"/>
        </w:rPr>
      </w:pPr>
      <w:r w:rsidRPr="00395738">
        <w:rPr>
          <w:rFonts w:cs="Times New Roman"/>
          <w:sz w:val="24"/>
          <w:szCs w:val="24"/>
        </w:rPr>
        <w:t>GLEI</w:t>
      </w:r>
      <w:r w:rsidRPr="00395738">
        <w:rPr>
          <w:rFonts w:cs="Times New Roman"/>
          <w:sz w:val="24"/>
          <w:szCs w:val="24"/>
        </w:rPr>
        <w:tab/>
      </w:r>
      <w:r w:rsidRPr="00395738">
        <w:rPr>
          <w:rFonts w:cs="Times New Roman"/>
          <w:sz w:val="24"/>
          <w:szCs w:val="24"/>
        </w:rPr>
        <w:tab/>
        <w:t>Global Legal Entity Identifier</w:t>
      </w:r>
    </w:p>
    <w:p w14:paraId="42B70CB9" w14:textId="456A7EBB" w:rsidR="00347DAD" w:rsidRPr="00395738" w:rsidRDefault="00347DAD" w:rsidP="00B80B68">
      <w:pPr>
        <w:spacing w:after="120" w:line="360" w:lineRule="auto"/>
        <w:rPr>
          <w:rFonts w:cs="Times New Roman"/>
          <w:sz w:val="24"/>
          <w:szCs w:val="24"/>
        </w:rPr>
      </w:pPr>
      <w:r w:rsidRPr="00395738">
        <w:rPr>
          <w:rFonts w:cs="Times New Roman"/>
          <w:sz w:val="24"/>
          <w:szCs w:val="24"/>
        </w:rPr>
        <w:lastRenderedPageBreak/>
        <w:t>GP</w:t>
      </w:r>
      <w:r w:rsidR="00551BC4" w:rsidRPr="00395738">
        <w:rPr>
          <w:rFonts w:cs="Times New Roman"/>
          <w:sz w:val="24"/>
          <w:szCs w:val="24"/>
        </w:rPr>
        <w:t>CR</w:t>
      </w:r>
      <w:r w:rsidRPr="00395738">
        <w:rPr>
          <w:rFonts w:cs="Times New Roman"/>
          <w:sz w:val="24"/>
          <w:szCs w:val="24"/>
        </w:rPr>
        <w:tab/>
      </w:r>
      <w:r w:rsidRPr="00395738">
        <w:rPr>
          <w:rFonts w:cs="Times New Roman"/>
          <w:sz w:val="24"/>
          <w:szCs w:val="24"/>
        </w:rPr>
        <w:tab/>
        <w:t>General Principles for Credit Reporting</w:t>
      </w:r>
    </w:p>
    <w:p w14:paraId="036FFD70" w14:textId="77777777" w:rsidR="00347DAD" w:rsidRPr="00395738" w:rsidRDefault="00347DAD" w:rsidP="00B80B68">
      <w:pPr>
        <w:spacing w:after="120" w:line="360" w:lineRule="auto"/>
        <w:rPr>
          <w:rFonts w:cs="Times New Roman"/>
          <w:sz w:val="24"/>
          <w:szCs w:val="24"/>
        </w:rPr>
      </w:pPr>
      <w:r w:rsidRPr="00395738">
        <w:rPr>
          <w:rFonts w:cs="Times New Roman"/>
          <w:sz w:val="24"/>
          <w:szCs w:val="24"/>
        </w:rPr>
        <w:t>ICCR</w:t>
      </w:r>
      <w:r w:rsidR="000F4C32" w:rsidRPr="00395738">
        <w:rPr>
          <w:rFonts w:cs="Times New Roman"/>
          <w:sz w:val="24"/>
          <w:szCs w:val="24"/>
        </w:rPr>
        <w:tab/>
      </w:r>
      <w:r w:rsidR="000F4C32" w:rsidRPr="00395738">
        <w:rPr>
          <w:rFonts w:cs="Times New Roman"/>
          <w:sz w:val="24"/>
          <w:szCs w:val="24"/>
        </w:rPr>
        <w:tab/>
        <w:t>International Committee on Credit Reporting</w:t>
      </w:r>
    </w:p>
    <w:p w14:paraId="7A5A5833" w14:textId="77777777" w:rsidR="00347DAD" w:rsidRPr="00395738" w:rsidRDefault="00347DAD" w:rsidP="00B80B68">
      <w:pPr>
        <w:spacing w:after="120" w:line="360" w:lineRule="auto"/>
        <w:rPr>
          <w:rFonts w:cs="Times New Roman"/>
          <w:sz w:val="24"/>
          <w:szCs w:val="24"/>
        </w:rPr>
      </w:pPr>
      <w:r w:rsidRPr="00395738">
        <w:rPr>
          <w:rFonts w:cs="Times New Roman"/>
          <w:sz w:val="24"/>
          <w:szCs w:val="24"/>
        </w:rPr>
        <w:t>IFC</w:t>
      </w:r>
      <w:r w:rsidRPr="00395738">
        <w:rPr>
          <w:rFonts w:cs="Times New Roman"/>
          <w:sz w:val="24"/>
          <w:szCs w:val="24"/>
        </w:rPr>
        <w:tab/>
      </w:r>
      <w:r w:rsidRPr="00395738">
        <w:rPr>
          <w:rFonts w:cs="Times New Roman"/>
          <w:sz w:val="24"/>
          <w:szCs w:val="24"/>
        </w:rPr>
        <w:tab/>
        <w:t>International Finance Corporation</w:t>
      </w:r>
    </w:p>
    <w:p w14:paraId="03FAC936" w14:textId="4705BD49" w:rsidR="00D22DB4" w:rsidRPr="00395738" w:rsidRDefault="00D22DB4" w:rsidP="00B80B68">
      <w:pPr>
        <w:spacing w:after="120" w:line="360" w:lineRule="auto"/>
        <w:rPr>
          <w:rFonts w:cs="Times New Roman"/>
          <w:sz w:val="24"/>
          <w:szCs w:val="24"/>
        </w:rPr>
      </w:pPr>
      <w:r w:rsidRPr="00395738">
        <w:rPr>
          <w:rFonts w:cs="Times New Roman"/>
          <w:sz w:val="24"/>
          <w:szCs w:val="24"/>
        </w:rPr>
        <w:t>IMF</w:t>
      </w:r>
      <w:r w:rsidRPr="00395738">
        <w:rPr>
          <w:rFonts w:cs="Times New Roman"/>
          <w:sz w:val="24"/>
          <w:szCs w:val="24"/>
        </w:rPr>
        <w:tab/>
      </w:r>
      <w:r w:rsidRPr="00395738">
        <w:rPr>
          <w:rFonts w:cs="Times New Roman"/>
          <w:sz w:val="24"/>
          <w:szCs w:val="24"/>
        </w:rPr>
        <w:tab/>
        <w:t>International Monetary Fund</w:t>
      </w:r>
    </w:p>
    <w:p w14:paraId="23719E87" w14:textId="12A9FE71" w:rsidR="00777414" w:rsidRPr="00395738" w:rsidRDefault="00777414" w:rsidP="00B80B68">
      <w:pPr>
        <w:spacing w:after="120" w:line="360" w:lineRule="auto"/>
        <w:rPr>
          <w:rFonts w:cs="Times New Roman"/>
          <w:sz w:val="24"/>
          <w:szCs w:val="24"/>
        </w:rPr>
      </w:pPr>
      <w:r w:rsidRPr="00395738">
        <w:rPr>
          <w:rFonts w:cs="Times New Roman"/>
          <w:sz w:val="24"/>
          <w:szCs w:val="24"/>
        </w:rPr>
        <w:t>IRB</w:t>
      </w:r>
      <w:r w:rsidRPr="00395738">
        <w:rPr>
          <w:rFonts w:cs="Times New Roman"/>
          <w:sz w:val="24"/>
          <w:szCs w:val="24"/>
        </w:rPr>
        <w:tab/>
      </w:r>
      <w:r w:rsidRPr="00395738">
        <w:rPr>
          <w:rFonts w:cs="Times New Roman"/>
          <w:sz w:val="24"/>
          <w:szCs w:val="24"/>
        </w:rPr>
        <w:tab/>
        <w:t>Internal Ratings</w:t>
      </w:r>
      <w:r w:rsidR="00B43F2B" w:rsidRPr="00395738">
        <w:rPr>
          <w:rFonts w:cs="Times New Roman"/>
          <w:sz w:val="24"/>
          <w:szCs w:val="24"/>
        </w:rPr>
        <w:t>-</w:t>
      </w:r>
      <w:r w:rsidRPr="00395738">
        <w:rPr>
          <w:rFonts w:cs="Times New Roman"/>
          <w:sz w:val="24"/>
          <w:szCs w:val="24"/>
        </w:rPr>
        <w:t>Based</w:t>
      </w:r>
    </w:p>
    <w:p w14:paraId="44F00E55" w14:textId="77F4E310" w:rsidR="00DF6944" w:rsidRPr="00395738" w:rsidRDefault="00DF6944" w:rsidP="00B80B68">
      <w:pPr>
        <w:spacing w:after="120" w:line="360" w:lineRule="auto"/>
        <w:rPr>
          <w:rFonts w:cs="Times New Roman"/>
          <w:sz w:val="24"/>
          <w:szCs w:val="24"/>
        </w:rPr>
      </w:pPr>
      <w:r w:rsidRPr="00395738">
        <w:rPr>
          <w:rFonts w:cs="Times New Roman"/>
          <w:sz w:val="24"/>
          <w:szCs w:val="24"/>
        </w:rPr>
        <w:t>IMF</w:t>
      </w:r>
      <w:r w:rsidRPr="00395738">
        <w:rPr>
          <w:rFonts w:cs="Times New Roman"/>
          <w:sz w:val="24"/>
          <w:szCs w:val="24"/>
        </w:rPr>
        <w:tab/>
      </w:r>
      <w:r w:rsidRPr="00395738">
        <w:rPr>
          <w:rFonts w:cs="Times New Roman"/>
          <w:sz w:val="24"/>
          <w:szCs w:val="24"/>
        </w:rPr>
        <w:tab/>
        <w:t>International Monetary Fund</w:t>
      </w:r>
    </w:p>
    <w:p w14:paraId="6CC10A2D" w14:textId="180B4A63" w:rsidR="00034257" w:rsidRPr="00395738" w:rsidRDefault="00034257" w:rsidP="00B80B68">
      <w:pPr>
        <w:spacing w:after="120" w:line="360" w:lineRule="auto"/>
        <w:rPr>
          <w:rFonts w:cs="Times New Roman"/>
          <w:sz w:val="24"/>
          <w:szCs w:val="24"/>
        </w:rPr>
      </w:pPr>
      <w:r w:rsidRPr="00395738">
        <w:rPr>
          <w:rFonts w:cs="Times New Roman"/>
          <w:sz w:val="24"/>
          <w:szCs w:val="24"/>
        </w:rPr>
        <w:t>INFONAVIT</w:t>
      </w:r>
      <w:r w:rsidRPr="00395738">
        <w:rPr>
          <w:rFonts w:cs="Times New Roman"/>
          <w:sz w:val="24"/>
          <w:szCs w:val="24"/>
        </w:rPr>
        <w:tab/>
        <w:t xml:space="preserve">Mexico’s </w:t>
      </w:r>
      <w:r w:rsidRPr="00395738">
        <w:rPr>
          <w:rFonts w:cstheme="minorHAnsi"/>
          <w:sz w:val="24"/>
          <w:szCs w:val="24"/>
        </w:rPr>
        <w:t>National Institute of the Fund for the Provision of Housing for Workers</w:t>
      </w:r>
    </w:p>
    <w:p w14:paraId="6A3E6DD7" w14:textId="77777777" w:rsidR="00B80B68" w:rsidRPr="00395738" w:rsidRDefault="00B80B68" w:rsidP="00B80B68">
      <w:pPr>
        <w:spacing w:after="120" w:line="360" w:lineRule="auto"/>
        <w:rPr>
          <w:rFonts w:cs="Times New Roman"/>
          <w:sz w:val="24"/>
          <w:szCs w:val="24"/>
        </w:rPr>
      </w:pPr>
      <w:r w:rsidRPr="00395738">
        <w:rPr>
          <w:rFonts w:cs="Times New Roman"/>
          <w:sz w:val="24"/>
          <w:szCs w:val="24"/>
        </w:rPr>
        <w:t>LGD</w:t>
      </w:r>
      <w:r w:rsidRPr="00395738">
        <w:rPr>
          <w:rFonts w:cs="Times New Roman"/>
          <w:sz w:val="24"/>
          <w:szCs w:val="24"/>
        </w:rPr>
        <w:tab/>
      </w:r>
      <w:r w:rsidRPr="00395738">
        <w:rPr>
          <w:rFonts w:cs="Times New Roman"/>
          <w:sz w:val="24"/>
          <w:szCs w:val="24"/>
        </w:rPr>
        <w:tab/>
        <w:t>Loss Given Default</w:t>
      </w:r>
    </w:p>
    <w:p w14:paraId="00650E88" w14:textId="3FEB257D" w:rsidR="003D60EF" w:rsidRPr="00395738" w:rsidRDefault="003D60EF" w:rsidP="00B80B68">
      <w:pPr>
        <w:spacing w:after="120" w:line="360" w:lineRule="auto"/>
        <w:rPr>
          <w:rFonts w:cs="Times New Roman"/>
          <w:sz w:val="24"/>
          <w:szCs w:val="24"/>
        </w:rPr>
      </w:pPr>
      <w:r w:rsidRPr="00395738">
        <w:rPr>
          <w:rFonts w:cs="Times New Roman"/>
          <w:sz w:val="24"/>
          <w:szCs w:val="24"/>
        </w:rPr>
        <w:t>LGL</w:t>
      </w:r>
      <w:r w:rsidRPr="00395738">
        <w:rPr>
          <w:rFonts w:cs="Times New Roman"/>
          <w:sz w:val="24"/>
          <w:szCs w:val="24"/>
        </w:rPr>
        <w:tab/>
      </w:r>
      <w:r w:rsidRPr="00395738">
        <w:rPr>
          <w:rFonts w:cs="Times New Roman"/>
          <w:sz w:val="24"/>
          <w:szCs w:val="24"/>
        </w:rPr>
        <w:tab/>
        <w:t>Loss Given loss</w:t>
      </w:r>
    </w:p>
    <w:p w14:paraId="7808B249" w14:textId="77777777" w:rsidR="00321FA5" w:rsidRPr="00395738" w:rsidRDefault="00673509" w:rsidP="00B80B68">
      <w:pPr>
        <w:spacing w:after="120" w:line="360" w:lineRule="auto"/>
        <w:rPr>
          <w:rFonts w:cs="Times New Roman"/>
          <w:sz w:val="24"/>
          <w:szCs w:val="24"/>
        </w:rPr>
      </w:pPr>
      <w:r w:rsidRPr="00395738">
        <w:rPr>
          <w:rFonts w:cs="Times New Roman"/>
          <w:sz w:val="24"/>
          <w:szCs w:val="24"/>
        </w:rPr>
        <w:t>LTI</w:t>
      </w:r>
      <w:r w:rsidRPr="00395738">
        <w:rPr>
          <w:rFonts w:cs="Times New Roman"/>
          <w:sz w:val="24"/>
          <w:szCs w:val="24"/>
        </w:rPr>
        <w:tab/>
      </w:r>
      <w:r w:rsidRPr="00395738">
        <w:rPr>
          <w:rFonts w:cs="Times New Roman"/>
          <w:sz w:val="24"/>
          <w:szCs w:val="24"/>
        </w:rPr>
        <w:tab/>
        <w:t>Loan-to-Income</w:t>
      </w:r>
    </w:p>
    <w:p w14:paraId="00AC8AEB" w14:textId="77777777" w:rsidR="00673509" w:rsidRPr="00395738" w:rsidRDefault="00673509" w:rsidP="00B80B68">
      <w:pPr>
        <w:spacing w:after="120" w:line="360" w:lineRule="auto"/>
        <w:rPr>
          <w:rFonts w:cs="Times New Roman"/>
          <w:sz w:val="24"/>
          <w:szCs w:val="24"/>
        </w:rPr>
      </w:pPr>
      <w:r w:rsidRPr="00395738">
        <w:rPr>
          <w:rFonts w:cs="Times New Roman"/>
          <w:sz w:val="24"/>
          <w:szCs w:val="24"/>
        </w:rPr>
        <w:t>LTV</w:t>
      </w:r>
      <w:r w:rsidRPr="00395738">
        <w:rPr>
          <w:rFonts w:cs="Times New Roman"/>
          <w:sz w:val="24"/>
          <w:szCs w:val="24"/>
        </w:rPr>
        <w:tab/>
      </w:r>
      <w:r w:rsidRPr="00395738">
        <w:rPr>
          <w:rFonts w:cs="Times New Roman"/>
          <w:sz w:val="24"/>
          <w:szCs w:val="24"/>
        </w:rPr>
        <w:tab/>
        <w:t>Loan-to-Value</w:t>
      </w:r>
    </w:p>
    <w:p w14:paraId="44B0672F" w14:textId="3E735DC7" w:rsidR="00682F0D" w:rsidRPr="00395738" w:rsidRDefault="00682F0D" w:rsidP="00B80B68">
      <w:pPr>
        <w:spacing w:after="120" w:line="360" w:lineRule="auto"/>
        <w:rPr>
          <w:rFonts w:cs="Times New Roman"/>
          <w:sz w:val="24"/>
          <w:szCs w:val="24"/>
        </w:rPr>
      </w:pPr>
      <w:r w:rsidRPr="00395738">
        <w:rPr>
          <w:rFonts w:cs="Times New Roman"/>
          <w:sz w:val="24"/>
          <w:szCs w:val="24"/>
        </w:rPr>
        <w:t>MOU</w:t>
      </w:r>
      <w:r w:rsidRPr="00395738">
        <w:rPr>
          <w:rFonts w:cs="Times New Roman"/>
          <w:sz w:val="24"/>
          <w:szCs w:val="24"/>
        </w:rPr>
        <w:tab/>
      </w:r>
      <w:r w:rsidRPr="00395738">
        <w:rPr>
          <w:rFonts w:cs="Times New Roman"/>
          <w:sz w:val="24"/>
          <w:szCs w:val="24"/>
        </w:rPr>
        <w:tab/>
        <w:t>Memorandum of Understanding</w:t>
      </w:r>
    </w:p>
    <w:p w14:paraId="7659F82A" w14:textId="77777777" w:rsidR="003A4307" w:rsidRPr="00395738" w:rsidRDefault="003A4307" w:rsidP="00B80B68">
      <w:pPr>
        <w:spacing w:after="120" w:line="360" w:lineRule="auto"/>
        <w:rPr>
          <w:rFonts w:cs="Times New Roman"/>
          <w:sz w:val="24"/>
          <w:szCs w:val="24"/>
        </w:rPr>
      </w:pPr>
      <w:r w:rsidRPr="00395738">
        <w:rPr>
          <w:rFonts w:cs="Times New Roman"/>
          <w:sz w:val="24"/>
          <w:szCs w:val="24"/>
        </w:rPr>
        <w:t>NCA</w:t>
      </w:r>
      <w:r w:rsidRPr="00395738">
        <w:rPr>
          <w:rFonts w:cs="Times New Roman"/>
          <w:sz w:val="24"/>
          <w:szCs w:val="24"/>
        </w:rPr>
        <w:tab/>
      </w:r>
      <w:r w:rsidRPr="00395738">
        <w:rPr>
          <w:rFonts w:cs="Times New Roman"/>
          <w:sz w:val="24"/>
          <w:szCs w:val="24"/>
        </w:rPr>
        <w:tab/>
        <w:t>National Competent Authorities</w:t>
      </w:r>
    </w:p>
    <w:p w14:paraId="74925632" w14:textId="77777777" w:rsidR="003A4307" w:rsidRPr="00395738" w:rsidRDefault="003A4307" w:rsidP="00B80B68">
      <w:pPr>
        <w:spacing w:after="120" w:line="360" w:lineRule="auto"/>
        <w:rPr>
          <w:rFonts w:cs="Times New Roman"/>
          <w:sz w:val="24"/>
          <w:szCs w:val="24"/>
        </w:rPr>
      </w:pPr>
      <w:r w:rsidRPr="00395738">
        <w:rPr>
          <w:rFonts w:cs="Times New Roman"/>
          <w:sz w:val="24"/>
          <w:szCs w:val="24"/>
        </w:rPr>
        <w:t>NCB(s)</w:t>
      </w:r>
      <w:r w:rsidRPr="00395738">
        <w:rPr>
          <w:rFonts w:cs="Times New Roman"/>
          <w:sz w:val="24"/>
          <w:szCs w:val="24"/>
        </w:rPr>
        <w:tab/>
      </w:r>
      <w:r w:rsidRPr="00395738">
        <w:rPr>
          <w:rFonts w:cs="Times New Roman"/>
          <w:sz w:val="24"/>
          <w:szCs w:val="24"/>
        </w:rPr>
        <w:tab/>
        <w:t>National Central Banks</w:t>
      </w:r>
    </w:p>
    <w:p w14:paraId="2D01B9F8" w14:textId="716271EF" w:rsidR="00347DAD" w:rsidRPr="00395738" w:rsidRDefault="00347DAD" w:rsidP="00B80B68">
      <w:pPr>
        <w:spacing w:after="120" w:line="360" w:lineRule="auto"/>
        <w:rPr>
          <w:rFonts w:cs="Times New Roman"/>
          <w:sz w:val="24"/>
          <w:szCs w:val="24"/>
        </w:rPr>
      </w:pPr>
      <w:r w:rsidRPr="00395738">
        <w:rPr>
          <w:rFonts w:cs="Times New Roman"/>
          <w:sz w:val="24"/>
          <w:szCs w:val="24"/>
        </w:rPr>
        <w:t>OECD</w:t>
      </w:r>
      <w:r w:rsidRPr="00395738">
        <w:rPr>
          <w:rFonts w:cs="Times New Roman"/>
          <w:sz w:val="24"/>
          <w:szCs w:val="24"/>
        </w:rPr>
        <w:tab/>
      </w:r>
      <w:r w:rsidRPr="00395738">
        <w:rPr>
          <w:rFonts w:cs="Times New Roman"/>
          <w:sz w:val="24"/>
          <w:szCs w:val="24"/>
        </w:rPr>
        <w:tab/>
        <w:t>Organization for Economic Co-operation and Development</w:t>
      </w:r>
    </w:p>
    <w:p w14:paraId="36483809" w14:textId="77777777" w:rsidR="00B80B68" w:rsidRPr="00395738" w:rsidRDefault="00B80B68" w:rsidP="00B80B68">
      <w:pPr>
        <w:spacing w:after="120" w:line="360" w:lineRule="auto"/>
        <w:rPr>
          <w:rFonts w:cs="Times New Roman"/>
          <w:sz w:val="24"/>
          <w:szCs w:val="24"/>
        </w:rPr>
      </w:pPr>
      <w:r w:rsidRPr="00395738">
        <w:rPr>
          <w:rFonts w:cs="Times New Roman"/>
          <w:sz w:val="24"/>
          <w:szCs w:val="24"/>
        </w:rPr>
        <w:t>PD</w:t>
      </w:r>
      <w:r w:rsidRPr="00395738">
        <w:rPr>
          <w:rFonts w:cs="Times New Roman"/>
          <w:sz w:val="24"/>
          <w:szCs w:val="24"/>
        </w:rPr>
        <w:tab/>
      </w:r>
      <w:r w:rsidRPr="00395738">
        <w:rPr>
          <w:rFonts w:cs="Times New Roman"/>
          <w:sz w:val="24"/>
          <w:szCs w:val="24"/>
        </w:rPr>
        <w:tab/>
        <w:t>Probability of Default</w:t>
      </w:r>
    </w:p>
    <w:p w14:paraId="0B9A7C0D" w14:textId="77777777" w:rsidR="00673509" w:rsidRPr="00395738" w:rsidRDefault="00673509" w:rsidP="00B80B68">
      <w:pPr>
        <w:spacing w:after="120" w:line="360" w:lineRule="auto"/>
        <w:rPr>
          <w:rFonts w:cs="Times New Roman"/>
          <w:sz w:val="24"/>
          <w:szCs w:val="24"/>
        </w:rPr>
      </w:pPr>
      <w:r w:rsidRPr="00395738">
        <w:rPr>
          <w:rFonts w:cs="Times New Roman"/>
          <w:sz w:val="24"/>
          <w:szCs w:val="24"/>
        </w:rPr>
        <w:t>SCR</w:t>
      </w:r>
      <w:r w:rsidRPr="00395738">
        <w:rPr>
          <w:rFonts w:cs="Times New Roman"/>
          <w:sz w:val="24"/>
          <w:szCs w:val="24"/>
        </w:rPr>
        <w:tab/>
      </w:r>
      <w:r w:rsidRPr="00395738">
        <w:rPr>
          <w:rFonts w:cs="Times New Roman"/>
          <w:sz w:val="24"/>
          <w:szCs w:val="24"/>
        </w:rPr>
        <w:tab/>
        <w:t>Sectoral Capital Requirements</w:t>
      </w:r>
    </w:p>
    <w:p w14:paraId="4095BCD7" w14:textId="77777777" w:rsidR="00CC2AC9" w:rsidRPr="00395738" w:rsidRDefault="00CC2AC9" w:rsidP="00B80B68">
      <w:pPr>
        <w:spacing w:after="120" w:line="360" w:lineRule="auto"/>
        <w:rPr>
          <w:rFonts w:cs="Times New Roman"/>
          <w:sz w:val="24"/>
          <w:szCs w:val="24"/>
        </w:rPr>
      </w:pPr>
      <w:r w:rsidRPr="00395738">
        <w:rPr>
          <w:rFonts w:cs="Times New Roman"/>
          <w:sz w:val="24"/>
          <w:szCs w:val="24"/>
        </w:rPr>
        <w:t>SME</w:t>
      </w:r>
      <w:r w:rsidRPr="00395738">
        <w:rPr>
          <w:rFonts w:cs="Times New Roman"/>
          <w:sz w:val="24"/>
          <w:szCs w:val="24"/>
        </w:rPr>
        <w:tab/>
      </w:r>
      <w:r w:rsidRPr="00395738">
        <w:rPr>
          <w:rFonts w:cs="Times New Roman"/>
          <w:sz w:val="24"/>
          <w:szCs w:val="24"/>
        </w:rPr>
        <w:tab/>
        <w:t>Small and Medium Enterprises</w:t>
      </w:r>
    </w:p>
    <w:p w14:paraId="4B7A4DD6" w14:textId="1771D2FE" w:rsidR="003A4307" w:rsidRPr="00395738" w:rsidRDefault="003A4307" w:rsidP="00B80B68">
      <w:pPr>
        <w:spacing w:after="120" w:line="360" w:lineRule="auto"/>
        <w:rPr>
          <w:rFonts w:cs="Times New Roman"/>
          <w:sz w:val="24"/>
          <w:szCs w:val="24"/>
        </w:rPr>
      </w:pPr>
      <w:r w:rsidRPr="00395738">
        <w:rPr>
          <w:rFonts w:cs="Times New Roman"/>
          <w:sz w:val="24"/>
          <w:szCs w:val="24"/>
        </w:rPr>
        <w:t>SSM</w:t>
      </w:r>
      <w:r w:rsidRPr="00395738">
        <w:rPr>
          <w:rFonts w:cs="Times New Roman"/>
          <w:sz w:val="24"/>
          <w:szCs w:val="24"/>
        </w:rPr>
        <w:tab/>
      </w:r>
      <w:r w:rsidRPr="00395738">
        <w:rPr>
          <w:rFonts w:cs="Times New Roman"/>
          <w:sz w:val="24"/>
          <w:szCs w:val="24"/>
        </w:rPr>
        <w:tab/>
        <w:t>Single Supervisory Mechanism</w:t>
      </w:r>
    </w:p>
    <w:p w14:paraId="2E08DA64" w14:textId="77777777" w:rsidR="0001720E" w:rsidRPr="00395738" w:rsidRDefault="0001720E" w:rsidP="00B80B68">
      <w:pPr>
        <w:spacing w:after="120" w:line="360" w:lineRule="auto"/>
        <w:rPr>
          <w:rFonts w:cs="Times New Roman"/>
          <w:sz w:val="24"/>
          <w:szCs w:val="24"/>
        </w:rPr>
      </w:pPr>
      <w:r w:rsidRPr="00395738">
        <w:rPr>
          <w:rFonts w:cs="Times New Roman"/>
          <w:sz w:val="24"/>
          <w:szCs w:val="24"/>
        </w:rPr>
        <w:t>STC</w:t>
      </w:r>
      <w:r w:rsidRPr="00395738">
        <w:rPr>
          <w:rFonts w:cs="Times New Roman"/>
          <w:sz w:val="24"/>
          <w:szCs w:val="24"/>
        </w:rPr>
        <w:tab/>
      </w:r>
      <w:r w:rsidRPr="00395738">
        <w:rPr>
          <w:rFonts w:cs="Times New Roman"/>
          <w:sz w:val="24"/>
          <w:szCs w:val="24"/>
        </w:rPr>
        <w:tab/>
        <w:t>ESCB Statistics Committee</w:t>
      </w:r>
    </w:p>
    <w:p w14:paraId="4A6D12D2" w14:textId="5577EB6A" w:rsidR="00CC1B1C" w:rsidRPr="00395738" w:rsidRDefault="00CC1B1C" w:rsidP="00B80B68">
      <w:pPr>
        <w:spacing w:after="120" w:line="360" w:lineRule="auto"/>
        <w:rPr>
          <w:rFonts w:cs="Times New Roman"/>
          <w:sz w:val="24"/>
          <w:szCs w:val="24"/>
        </w:rPr>
      </w:pPr>
      <w:r w:rsidRPr="00395738">
        <w:rPr>
          <w:rFonts w:cs="Times New Roman"/>
          <w:sz w:val="24"/>
          <w:szCs w:val="24"/>
        </w:rPr>
        <w:t>UK</w:t>
      </w:r>
      <w:r w:rsidRPr="00395738">
        <w:rPr>
          <w:rFonts w:cs="Times New Roman"/>
          <w:sz w:val="24"/>
          <w:szCs w:val="24"/>
        </w:rPr>
        <w:tab/>
      </w:r>
      <w:r w:rsidRPr="00395738">
        <w:rPr>
          <w:rFonts w:cs="Times New Roman"/>
          <w:sz w:val="24"/>
          <w:szCs w:val="24"/>
        </w:rPr>
        <w:tab/>
        <w:t>United Kingdom</w:t>
      </w:r>
    </w:p>
    <w:p w14:paraId="24AF0B64" w14:textId="47D5387F" w:rsidR="00673509" w:rsidRPr="00395738" w:rsidRDefault="00673509" w:rsidP="00B80B68">
      <w:pPr>
        <w:spacing w:after="120" w:line="360" w:lineRule="auto"/>
        <w:rPr>
          <w:rFonts w:cs="Times New Roman"/>
          <w:sz w:val="24"/>
          <w:szCs w:val="24"/>
        </w:rPr>
      </w:pPr>
    </w:p>
    <w:p w14:paraId="6A54C5BB" w14:textId="77777777" w:rsidR="00347DAD" w:rsidRPr="00395738" w:rsidRDefault="00347DAD" w:rsidP="00347DAD">
      <w:pPr>
        <w:spacing w:line="240" w:lineRule="auto"/>
        <w:rPr>
          <w:rFonts w:ascii="Times New Roman" w:hAnsi="Times New Roman" w:cs="Times New Roman"/>
        </w:rPr>
      </w:pPr>
      <w:r w:rsidRPr="00395738">
        <w:rPr>
          <w:rFonts w:ascii="Times New Roman" w:hAnsi="Times New Roman" w:cs="Times New Roman"/>
        </w:rPr>
        <w:br w:type="page"/>
      </w:r>
    </w:p>
    <w:p w14:paraId="51327EEF" w14:textId="5CA7CA42" w:rsidR="00347DAD" w:rsidRPr="00395738" w:rsidRDefault="00347DAD" w:rsidP="00942E73">
      <w:pPr>
        <w:pStyle w:val="Heading1"/>
        <w:numPr>
          <w:ilvl w:val="0"/>
          <w:numId w:val="2"/>
        </w:numPr>
        <w:spacing w:after="480"/>
      </w:pPr>
      <w:bookmarkStart w:id="2" w:name="_Toc427686022"/>
      <w:r w:rsidRPr="00395738">
        <w:lastRenderedPageBreak/>
        <w:t>Introducti</w:t>
      </w:r>
      <w:r w:rsidR="003D7C7B" w:rsidRPr="00395738">
        <w:t>on</w:t>
      </w:r>
      <w:bookmarkEnd w:id="2"/>
    </w:p>
    <w:p w14:paraId="193C7529" w14:textId="3E46941F" w:rsidR="0027366A" w:rsidRPr="00395738" w:rsidRDefault="000B757A" w:rsidP="0061580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T</w:t>
      </w:r>
      <w:r w:rsidR="008F01BD" w:rsidRPr="00395738">
        <w:rPr>
          <w:rFonts w:cs="Times New Roman"/>
          <w:color w:val="000000"/>
          <w:sz w:val="24"/>
          <w:szCs w:val="24"/>
        </w:rPr>
        <w:t xml:space="preserve">he General Principles for Credit Reporting </w:t>
      </w:r>
      <w:r w:rsidR="00A060FE" w:rsidRPr="00395738">
        <w:rPr>
          <w:rFonts w:cs="Times New Roman"/>
          <w:color w:val="000000"/>
          <w:sz w:val="24"/>
          <w:szCs w:val="24"/>
        </w:rPr>
        <w:t xml:space="preserve">(GPCR) </w:t>
      </w:r>
      <w:r w:rsidR="008F01BD" w:rsidRPr="00395738">
        <w:rPr>
          <w:rFonts w:cs="Times New Roman"/>
          <w:color w:val="000000"/>
          <w:sz w:val="24"/>
          <w:szCs w:val="24"/>
        </w:rPr>
        <w:t>were issued by the World Bank</w:t>
      </w:r>
      <w:r w:rsidRPr="00395738">
        <w:rPr>
          <w:rFonts w:cs="Times New Roman"/>
          <w:color w:val="000000"/>
          <w:sz w:val="24"/>
          <w:szCs w:val="24"/>
        </w:rPr>
        <w:t xml:space="preserve"> in September 2011</w:t>
      </w:r>
      <w:r w:rsidR="008F01BD" w:rsidRPr="00395738">
        <w:rPr>
          <w:rFonts w:cs="Times New Roman"/>
          <w:color w:val="000000"/>
          <w:sz w:val="24"/>
          <w:szCs w:val="24"/>
        </w:rPr>
        <w:t>.</w:t>
      </w:r>
      <w:r w:rsidRPr="00395738">
        <w:rPr>
          <w:rStyle w:val="FootnoteReference"/>
          <w:rFonts w:cs="Times New Roman"/>
          <w:color w:val="000000"/>
          <w:sz w:val="24"/>
          <w:szCs w:val="24"/>
        </w:rPr>
        <w:footnoteReference w:id="1"/>
      </w:r>
      <w:r w:rsidR="008F01BD" w:rsidRPr="00395738">
        <w:rPr>
          <w:rFonts w:cs="Times New Roman"/>
          <w:color w:val="000000"/>
          <w:sz w:val="24"/>
          <w:szCs w:val="24"/>
        </w:rPr>
        <w:t xml:space="preserve"> </w:t>
      </w:r>
      <w:r w:rsidRPr="00395738">
        <w:rPr>
          <w:rFonts w:cs="Times New Roman"/>
          <w:color w:val="000000"/>
          <w:sz w:val="24"/>
          <w:szCs w:val="24"/>
        </w:rPr>
        <w:t>Since then, t</w:t>
      </w:r>
      <w:r w:rsidR="008F01BD" w:rsidRPr="00395738">
        <w:rPr>
          <w:rFonts w:cs="Times New Roman"/>
          <w:color w:val="000000"/>
          <w:sz w:val="24"/>
          <w:szCs w:val="24"/>
        </w:rPr>
        <w:t xml:space="preserve">he World Bank and the International Committee on Credit Reporting (ICCR) </w:t>
      </w:r>
      <w:r w:rsidRPr="00395738">
        <w:rPr>
          <w:rFonts w:cs="Times New Roman"/>
          <w:color w:val="000000"/>
          <w:sz w:val="24"/>
          <w:szCs w:val="24"/>
        </w:rPr>
        <w:t xml:space="preserve">have been leading efforts </w:t>
      </w:r>
      <w:r w:rsidR="008F01BD" w:rsidRPr="00395738">
        <w:rPr>
          <w:rFonts w:cs="Times New Roman"/>
          <w:color w:val="000000"/>
          <w:sz w:val="24"/>
          <w:szCs w:val="24"/>
        </w:rPr>
        <w:t>towards the implementation of the G</w:t>
      </w:r>
      <w:r w:rsidR="00A060FE" w:rsidRPr="00395738">
        <w:rPr>
          <w:rFonts w:cs="Times New Roman"/>
          <w:color w:val="000000"/>
          <w:sz w:val="24"/>
          <w:szCs w:val="24"/>
        </w:rPr>
        <w:t xml:space="preserve">PCR </w:t>
      </w:r>
      <w:r w:rsidR="008F01BD" w:rsidRPr="00395738">
        <w:rPr>
          <w:rFonts w:cs="Times New Roman"/>
          <w:color w:val="000000"/>
          <w:sz w:val="24"/>
          <w:szCs w:val="24"/>
        </w:rPr>
        <w:t>worldwide. A</w:t>
      </w:r>
      <w:r w:rsidRPr="00395738">
        <w:rPr>
          <w:rFonts w:cs="Times New Roman"/>
          <w:color w:val="000000"/>
          <w:sz w:val="24"/>
          <w:szCs w:val="24"/>
        </w:rPr>
        <w:t>mong those efforts</w:t>
      </w:r>
      <w:r w:rsidR="008F01BD" w:rsidRPr="00395738">
        <w:rPr>
          <w:rFonts w:cs="Times New Roman"/>
          <w:color w:val="000000"/>
          <w:sz w:val="24"/>
          <w:szCs w:val="24"/>
        </w:rPr>
        <w:t xml:space="preserve">, the World Bank and the ICCR are developing </w:t>
      </w:r>
      <w:r w:rsidRPr="00395738">
        <w:rPr>
          <w:rFonts w:cs="Times New Roman"/>
          <w:color w:val="000000"/>
          <w:sz w:val="24"/>
          <w:szCs w:val="24"/>
        </w:rPr>
        <w:t xml:space="preserve">more </w:t>
      </w:r>
      <w:r w:rsidR="008F01BD" w:rsidRPr="00395738">
        <w:rPr>
          <w:rFonts w:cs="Times New Roman"/>
          <w:color w:val="000000"/>
          <w:sz w:val="24"/>
          <w:szCs w:val="24"/>
        </w:rPr>
        <w:t xml:space="preserve">detailed guidance for specific credit reporting areas and </w:t>
      </w:r>
      <w:r w:rsidR="00D63C97" w:rsidRPr="00395738">
        <w:rPr>
          <w:rFonts w:cs="Times New Roman"/>
          <w:color w:val="000000"/>
          <w:sz w:val="24"/>
          <w:szCs w:val="24"/>
        </w:rPr>
        <w:t xml:space="preserve">connected </w:t>
      </w:r>
      <w:r w:rsidR="008F01BD" w:rsidRPr="00395738">
        <w:rPr>
          <w:rFonts w:cs="Times New Roman"/>
          <w:color w:val="000000"/>
          <w:sz w:val="24"/>
          <w:szCs w:val="24"/>
        </w:rPr>
        <w:t xml:space="preserve">activities. </w:t>
      </w:r>
    </w:p>
    <w:p w14:paraId="5580870F" w14:textId="77777777" w:rsidR="003D7C7B" w:rsidRPr="00395738" w:rsidRDefault="002D68C3" w:rsidP="0061580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In this context, at its </w:t>
      </w:r>
      <w:r w:rsidR="0027366A" w:rsidRPr="00395738">
        <w:rPr>
          <w:rFonts w:cs="Times New Roman"/>
          <w:color w:val="000000"/>
          <w:sz w:val="24"/>
          <w:szCs w:val="24"/>
        </w:rPr>
        <w:t xml:space="preserve">May </w:t>
      </w:r>
      <w:r w:rsidRPr="00395738">
        <w:rPr>
          <w:rFonts w:cs="Times New Roman"/>
          <w:color w:val="000000"/>
          <w:sz w:val="24"/>
          <w:szCs w:val="24"/>
        </w:rPr>
        <w:t xml:space="preserve">2014 meeting the ICCR included the topic “The Role of Credit Reporting in Financial </w:t>
      </w:r>
      <w:r w:rsidR="00A060FE" w:rsidRPr="00395738">
        <w:rPr>
          <w:rFonts w:cs="Times New Roman"/>
          <w:color w:val="000000"/>
          <w:sz w:val="24"/>
          <w:szCs w:val="24"/>
        </w:rPr>
        <w:t xml:space="preserve">Sector </w:t>
      </w:r>
      <w:r w:rsidR="0027366A" w:rsidRPr="00395738">
        <w:rPr>
          <w:rFonts w:cs="Times New Roman"/>
          <w:color w:val="000000"/>
          <w:sz w:val="24"/>
          <w:szCs w:val="24"/>
        </w:rPr>
        <w:t xml:space="preserve">Regulation and </w:t>
      </w:r>
      <w:r w:rsidRPr="00395738">
        <w:rPr>
          <w:rFonts w:cs="Times New Roman"/>
          <w:color w:val="000000"/>
          <w:sz w:val="24"/>
          <w:szCs w:val="24"/>
        </w:rPr>
        <w:t>Supervision” in its list of work streams</w:t>
      </w:r>
      <w:r w:rsidR="00C213E2" w:rsidRPr="00395738">
        <w:rPr>
          <w:rFonts w:cs="Times New Roman"/>
          <w:color w:val="000000"/>
          <w:sz w:val="24"/>
          <w:szCs w:val="24"/>
        </w:rPr>
        <w:t xml:space="preserve"> meriting </w:t>
      </w:r>
      <w:r w:rsidR="001731ED" w:rsidRPr="00395738">
        <w:rPr>
          <w:rFonts w:cs="Times New Roman"/>
          <w:color w:val="000000"/>
          <w:sz w:val="24"/>
          <w:szCs w:val="24"/>
        </w:rPr>
        <w:t xml:space="preserve">an </w:t>
      </w:r>
      <w:r w:rsidR="00C213E2" w:rsidRPr="00395738">
        <w:rPr>
          <w:rFonts w:cs="Times New Roman"/>
          <w:color w:val="000000"/>
          <w:sz w:val="24"/>
          <w:szCs w:val="24"/>
        </w:rPr>
        <w:t>in-depth discussion and analysis</w:t>
      </w:r>
      <w:r w:rsidR="0027366A" w:rsidRPr="00395738">
        <w:rPr>
          <w:rFonts w:cs="Times New Roman"/>
          <w:color w:val="000000"/>
          <w:sz w:val="24"/>
          <w:szCs w:val="24"/>
        </w:rPr>
        <w:t>, and at its October 2014 meeting decided to produce a report on this subject</w:t>
      </w:r>
      <w:r w:rsidR="003D7C7B" w:rsidRPr="00395738">
        <w:rPr>
          <w:rFonts w:cs="Times New Roman"/>
          <w:color w:val="000000"/>
          <w:sz w:val="24"/>
          <w:szCs w:val="24"/>
        </w:rPr>
        <w:t xml:space="preserve"> as a</w:t>
      </w:r>
      <w:r w:rsidR="0027366A" w:rsidRPr="00395738">
        <w:rPr>
          <w:rFonts w:cs="Times New Roman"/>
          <w:color w:val="000000"/>
          <w:sz w:val="24"/>
          <w:szCs w:val="24"/>
        </w:rPr>
        <w:t xml:space="preserve"> concrete output of the </w:t>
      </w:r>
      <w:r w:rsidR="00C213E2" w:rsidRPr="00395738">
        <w:rPr>
          <w:rFonts w:cs="Times New Roman"/>
          <w:color w:val="000000"/>
          <w:sz w:val="24"/>
          <w:szCs w:val="24"/>
        </w:rPr>
        <w:t xml:space="preserve">follow-up work in connection with the implementation of </w:t>
      </w:r>
      <w:r w:rsidR="0027366A" w:rsidRPr="00395738">
        <w:rPr>
          <w:rFonts w:cs="Times New Roman"/>
          <w:color w:val="000000"/>
          <w:sz w:val="24"/>
          <w:szCs w:val="24"/>
        </w:rPr>
        <w:t>the G</w:t>
      </w:r>
      <w:r w:rsidR="00A060FE" w:rsidRPr="00395738">
        <w:rPr>
          <w:rFonts w:cs="Times New Roman"/>
          <w:color w:val="000000"/>
          <w:sz w:val="24"/>
          <w:szCs w:val="24"/>
        </w:rPr>
        <w:t>PCR</w:t>
      </w:r>
      <w:r w:rsidR="0027366A" w:rsidRPr="00395738">
        <w:rPr>
          <w:rFonts w:cs="Times New Roman"/>
          <w:color w:val="000000"/>
          <w:sz w:val="24"/>
          <w:szCs w:val="24"/>
        </w:rPr>
        <w:t xml:space="preserve">. </w:t>
      </w:r>
    </w:p>
    <w:p w14:paraId="7ECD55C9" w14:textId="4F87483A" w:rsidR="002D68C3" w:rsidRPr="00395738" w:rsidRDefault="003D7C7B" w:rsidP="0061580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Indeed, t</w:t>
      </w:r>
      <w:r w:rsidR="0027366A" w:rsidRPr="00395738">
        <w:rPr>
          <w:rFonts w:cs="Times New Roman"/>
          <w:color w:val="000000"/>
          <w:sz w:val="24"/>
          <w:szCs w:val="24"/>
        </w:rPr>
        <w:t>he overarching public policy objectives for credit reporting in the G</w:t>
      </w:r>
      <w:r w:rsidR="00A060FE" w:rsidRPr="00395738">
        <w:rPr>
          <w:rFonts w:cs="Times New Roman"/>
          <w:color w:val="000000"/>
          <w:sz w:val="24"/>
          <w:szCs w:val="24"/>
        </w:rPr>
        <w:t xml:space="preserve">PCR </w:t>
      </w:r>
      <w:r w:rsidR="0027366A" w:rsidRPr="00395738">
        <w:rPr>
          <w:rFonts w:cs="Times New Roman"/>
          <w:color w:val="000000"/>
          <w:sz w:val="24"/>
          <w:szCs w:val="24"/>
        </w:rPr>
        <w:t xml:space="preserve">state that </w:t>
      </w:r>
      <w:r w:rsidR="002D68C3" w:rsidRPr="00395738">
        <w:rPr>
          <w:rFonts w:cs="Times New Roman"/>
          <w:color w:val="000000"/>
          <w:sz w:val="24"/>
          <w:szCs w:val="24"/>
        </w:rPr>
        <w:t>“</w:t>
      </w:r>
      <w:r w:rsidR="002D68C3" w:rsidRPr="00395738">
        <w:rPr>
          <w:rFonts w:cs="Times New Roman"/>
          <w:i/>
          <w:color w:val="000000"/>
          <w:sz w:val="24"/>
          <w:szCs w:val="24"/>
        </w:rPr>
        <w:t>Credit reporting systems should effectively support the sound and fair extension of credit in an economy as the foundation for robust and competitive credit markets. In doing so, credit reporting systems should be safe and efficient and fully supportive of data subjects and consumer rights</w:t>
      </w:r>
      <w:r w:rsidR="002D68C3" w:rsidRPr="00395738">
        <w:rPr>
          <w:rFonts w:cs="Times New Roman"/>
          <w:color w:val="000000"/>
          <w:sz w:val="24"/>
          <w:szCs w:val="24"/>
        </w:rPr>
        <w:t xml:space="preserve">”. </w:t>
      </w:r>
      <w:r w:rsidR="0027366A" w:rsidRPr="00395738">
        <w:rPr>
          <w:rFonts w:cs="Times New Roman"/>
          <w:color w:val="000000"/>
          <w:sz w:val="24"/>
          <w:szCs w:val="24"/>
        </w:rPr>
        <w:t xml:space="preserve">This </w:t>
      </w:r>
      <w:r w:rsidR="002D68C3" w:rsidRPr="00395738">
        <w:rPr>
          <w:rFonts w:cs="Times New Roman"/>
          <w:color w:val="000000"/>
          <w:sz w:val="24"/>
          <w:szCs w:val="24"/>
        </w:rPr>
        <w:t xml:space="preserve">overarching objective </w:t>
      </w:r>
      <w:r w:rsidR="0027366A" w:rsidRPr="00395738">
        <w:rPr>
          <w:rFonts w:cs="Times New Roman"/>
          <w:color w:val="000000"/>
          <w:sz w:val="24"/>
          <w:szCs w:val="24"/>
        </w:rPr>
        <w:t>is further developed in the G</w:t>
      </w:r>
      <w:r w:rsidR="00A060FE" w:rsidRPr="00395738">
        <w:rPr>
          <w:rFonts w:cs="Times New Roman"/>
          <w:color w:val="000000"/>
          <w:sz w:val="24"/>
          <w:szCs w:val="24"/>
        </w:rPr>
        <w:t>PCR</w:t>
      </w:r>
      <w:r w:rsidR="0027366A" w:rsidRPr="00395738">
        <w:rPr>
          <w:rFonts w:cs="Times New Roman"/>
          <w:color w:val="000000"/>
          <w:sz w:val="24"/>
          <w:szCs w:val="24"/>
        </w:rPr>
        <w:t xml:space="preserve"> report</w:t>
      </w:r>
      <w:r w:rsidR="00C213E2" w:rsidRPr="00395738">
        <w:rPr>
          <w:rFonts w:cs="Times New Roman"/>
          <w:color w:val="000000"/>
          <w:sz w:val="24"/>
          <w:szCs w:val="24"/>
        </w:rPr>
        <w:t xml:space="preserve"> into a set of more specific objectives, one of which is that </w:t>
      </w:r>
      <w:r w:rsidR="002D68C3" w:rsidRPr="00395738">
        <w:rPr>
          <w:rFonts w:cs="Times New Roman"/>
          <w:color w:val="000000"/>
          <w:sz w:val="24"/>
          <w:szCs w:val="24"/>
        </w:rPr>
        <w:t>an effective credit reporting system should “</w:t>
      </w:r>
      <w:r w:rsidR="002D68C3" w:rsidRPr="00395738">
        <w:rPr>
          <w:rFonts w:cs="Times New Roman"/>
          <w:i/>
          <w:color w:val="000000"/>
          <w:sz w:val="24"/>
          <w:szCs w:val="24"/>
        </w:rPr>
        <w:t>support financial regulators in supervising regulated institutions in order to ensure that the latter remain safe and sound, minimizing systemic risk</w:t>
      </w:r>
      <w:r w:rsidR="002D68C3" w:rsidRPr="00395738">
        <w:rPr>
          <w:rFonts w:cs="Times New Roman"/>
          <w:color w:val="000000"/>
          <w:sz w:val="24"/>
          <w:szCs w:val="24"/>
        </w:rPr>
        <w:t>”.</w:t>
      </w:r>
    </w:p>
    <w:p w14:paraId="53EFFE40" w14:textId="25CCBC73" w:rsidR="00EC71B4" w:rsidRPr="00395738" w:rsidRDefault="00C213E2" w:rsidP="0061580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In many countries</w:t>
      </w:r>
      <w:r w:rsidR="007A69D3" w:rsidRPr="00395738">
        <w:rPr>
          <w:rFonts w:cs="Times New Roman"/>
          <w:color w:val="000000"/>
          <w:sz w:val="24"/>
          <w:szCs w:val="24"/>
        </w:rPr>
        <w:t>,</w:t>
      </w:r>
      <w:r w:rsidRPr="00395738">
        <w:rPr>
          <w:rFonts w:cs="Times New Roman"/>
          <w:color w:val="000000"/>
          <w:sz w:val="24"/>
          <w:szCs w:val="24"/>
        </w:rPr>
        <w:t xml:space="preserve"> </w:t>
      </w:r>
      <w:r w:rsidR="00EC71B4" w:rsidRPr="00395738">
        <w:rPr>
          <w:rFonts w:cs="Times New Roman"/>
          <w:color w:val="000000"/>
          <w:sz w:val="24"/>
          <w:szCs w:val="24"/>
        </w:rPr>
        <w:t xml:space="preserve">credit </w:t>
      </w:r>
      <w:r w:rsidRPr="00395738">
        <w:rPr>
          <w:rFonts w:cs="Times New Roman"/>
          <w:color w:val="000000"/>
          <w:sz w:val="24"/>
          <w:szCs w:val="24"/>
        </w:rPr>
        <w:t>reporting</w:t>
      </w:r>
      <w:r w:rsidR="003B446F" w:rsidRPr="00395738">
        <w:rPr>
          <w:rFonts w:cs="Times New Roman"/>
          <w:color w:val="000000"/>
          <w:sz w:val="24"/>
          <w:szCs w:val="24"/>
        </w:rPr>
        <w:t xml:space="preserve"> </w:t>
      </w:r>
      <w:r w:rsidRPr="00395738">
        <w:rPr>
          <w:rFonts w:cs="Times New Roman"/>
          <w:color w:val="000000"/>
          <w:sz w:val="24"/>
          <w:szCs w:val="24"/>
        </w:rPr>
        <w:t>already play</w:t>
      </w:r>
      <w:r w:rsidR="007A69D3" w:rsidRPr="00395738">
        <w:rPr>
          <w:rFonts w:cs="Times New Roman"/>
          <w:color w:val="000000"/>
          <w:sz w:val="24"/>
          <w:szCs w:val="24"/>
        </w:rPr>
        <w:t>s</w:t>
      </w:r>
      <w:r w:rsidRPr="00395738">
        <w:rPr>
          <w:rFonts w:cs="Times New Roman"/>
          <w:color w:val="000000"/>
          <w:sz w:val="24"/>
          <w:szCs w:val="24"/>
        </w:rPr>
        <w:t xml:space="preserve"> a significant role in supporting financial </w:t>
      </w:r>
      <w:r w:rsidR="00D51777" w:rsidRPr="00395738">
        <w:rPr>
          <w:rFonts w:cs="Times New Roman"/>
          <w:color w:val="000000"/>
          <w:sz w:val="24"/>
          <w:szCs w:val="24"/>
        </w:rPr>
        <w:t xml:space="preserve">sector regulation and </w:t>
      </w:r>
      <w:r w:rsidRPr="00395738">
        <w:rPr>
          <w:rFonts w:cs="Times New Roman"/>
          <w:color w:val="000000"/>
          <w:sz w:val="24"/>
          <w:szCs w:val="24"/>
        </w:rPr>
        <w:t>supervision</w:t>
      </w:r>
      <w:r w:rsidR="00F3115D" w:rsidRPr="00395738">
        <w:rPr>
          <w:rFonts w:cs="Times New Roman"/>
          <w:color w:val="000000"/>
          <w:sz w:val="24"/>
          <w:szCs w:val="24"/>
        </w:rPr>
        <w:t>, both f</w:t>
      </w:r>
      <w:r w:rsidR="00D13D5D" w:rsidRPr="00395738">
        <w:rPr>
          <w:rFonts w:cs="Times New Roman"/>
          <w:color w:val="000000"/>
          <w:sz w:val="24"/>
          <w:szCs w:val="24"/>
        </w:rPr>
        <w:t xml:space="preserve">rom </w:t>
      </w:r>
      <w:r w:rsidR="001731ED" w:rsidRPr="00395738">
        <w:rPr>
          <w:rFonts w:cs="Times New Roman"/>
          <w:color w:val="000000"/>
          <w:sz w:val="24"/>
          <w:szCs w:val="24"/>
        </w:rPr>
        <w:t>the</w:t>
      </w:r>
      <w:r w:rsidR="00F3115D" w:rsidRPr="00395738">
        <w:rPr>
          <w:rFonts w:cs="Times New Roman"/>
          <w:color w:val="000000"/>
          <w:sz w:val="24"/>
          <w:szCs w:val="24"/>
        </w:rPr>
        <w:t xml:space="preserve"> micro-prudential </w:t>
      </w:r>
      <w:r w:rsidR="00D13D5D" w:rsidRPr="00395738">
        <w:rPr>
          <w:rFonts w:cs="Times New Roman"/>
          <w:color w:val="000000"/>
          <w:sz w:val="24"/>
          <w:szCs w:val="24"/>
        </w:rPr>
        <w:t>perspective</w:t>
      </w:r>
      <w:r w:rsidR="001731ED" w:rsidRPr="00395738">
        <w:rPr>
          <w:rFonts w:cs="Times New Roman"/>
          <w:color w:val="000000"/>
          <w:sz w:val="24"/>
          <w:szCs w:val="24"/>
        </w:rPr>
        <w:t xml:space="preserve"> as well as from a macro-prudential angle</w:t>
      </w:r>
      <w:r w:rsidR="00F3115D" w:rsidRPr="00395738">
        <w:rPr>
          <w:rFonts w:cs="Times New Roman"/>
          <w:color w:val="000000"/>
          <w:sz w:val="24"/>
          <w:szCs w:val="24"/>
        </w:rPr>
        <w:t>.</w:t>
      </w:r>
      <w:r w:rsidR="001731ED" w:rsidRPr="00395738">
        <w:rPr>
          <w:rStyle w:val="FootnoteReference"/>
          <w:rFonts w:cs="Times New Roman"/>
          <w:color w:val="000000"/>
          <w:sz w:val="24"/>
          <w:szCs w:val="24"/>
        </w:rPr>
        <w:footnoteReference w:id="2"/>
      </w:r>
      <w:r w:rsidR="00071E31" w:rsidRPr="00395738">
        <w:rPr>
          <w:rFonts w:cs="Times New Roman"/>
          <w:color w:val="000000"/>
          <w:sz w:val="24"/>
          <w:szCs w:val="24"/>
        </w:rPr>
        <w:t xml:space="preserve"> </w:t>
      </w:r>
    </w:p>
    <w:p w14:paraId="11D7E64A" w14:textId="0C624042" w:rsidR="00071E31" w:rsidRPr="00395738" w:rsidRDefault="007474FD" w:rsidP="0061580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lastRenderedPageBreak/>
        <w:t>F</w:t>
      </w:r>
      <w:r w:rsidR="00D51777" w:rsidRPr="00395738">
        <w:rPr>
          <w:rFonts w:cs="Times New Roman"/>
          <w:color w:val="000000"/>
          <w:sz w:val="24"/>
          <w:szCs w:val="24"/>
        </w:rPr>
        <w:t xml:space="preserve">inancial sector </w:t>
      </w:r>
      <w:r w:rsidR="00071E31" w:rsidRPr="00395738">
        <w:rPr>
          <w:rFonts w:cs="Times New Roman"/>
          <w:color w:val="000000"/>
          <w:sz w:val="24"/>
          <w:szCs w:val="24"/>
        </w:rPr>
        <w:t xml:space="preserve">regulators and supervisors </w:t>
      </w:r>
      <w:r w:rsidR="00402946" w:rsidRPr="00395738">
        <w:rPr>
          <w:rFonts w:cs="Times New Roman"/>
          <w:color w:val="000000"/>
          <w:sz w:val="24"/>
          <w:szCs w:val="24"/>
        </w:rPr>
        <w:t xml:space="preserve">worldwide </w:t>
      </w:r>
      <w:r w:rsidR="00071E31" w:rsidRPr="00395738">
        <w:rPr>
          <w:rFonts w:cs="Times New Roman"/>
          <w:color w:val="000000"/>
          <w:sz w:val="24"/>
          <w:szCs w:val="24"/>
        </w:rPr>
        <w:t xml:space="preserve">have shown a strong preference </w:t>
      </w:r>
      <w:r w:rsidR="00AC19E5" w:rsidRPr="00395738">
        <w:rPr>
          <w:rFonts w:cs="Times New Roman"/>
          <w:color w:val="000000"/>
          <w:sz w:val="24"/>
          <w:szCs w:val="24"/>
        </w:rPr>
        <w:t xml:space="preserve">for </w:t>
      </w:r>
      <w:r w:rsidR="00071E31" w:rsidRPr="00395738">
        <w:rPr>
          <w:rFonts w:cs="Times New Roman"/>
          <w:color w:val="000000"/>
          <w:sz w:val="24"/>
          <w:szCs w:val="24"/>
        </w:rPr>
        <w:t xml:space="preserve">sourcing the data they need from </w:t>
      </w:r>
      <w:r w:rsidR="00BE5016" w:rsidRPr="00395738">
        <w:rPr>
          <w:rFonts w:cs="Times New Roman"/>
          <w:color w:val="000000"/>
          <w:sz w:val="24"/>
          <w:szCs w:val="24"/>
        </w:rPr>
        <w:t>credit reporting service providers (</w:t>
      </w:r>
      <w:r w:rsidR="00402946" w:rsidRPr="00395738">
        <w:rPr>
          <w:rFonts w:cs="Times New Roman"/>
          <w:color w:val="000000"/>
          <w:sz w:val="24"/>
          <w:szCs w:val="24"/>
        </w:rPr>
        <w:t>CRSPs</w:t>
      </w:r>
      <w:r w:rsidR="00BE5016" w:rsidRPr="00395738">
        <w:rPr>
          <w:rFonts w:cs="Times New Roman"/>
          <w:color w:val="000000"/>
          <w:sz w:val="24"/>
          <w:szCs w:val="24"/>
        </w:rPr>
        <w:t>)</w:t>
      </w:r>
      <w:r w:rsidR="00402946" w:rsidRPr="00395738">
        <w:rPr>
          <w:rFonts w:cs="Times New Roman"/>
          <w:color w:val="000000"/>
          <w:sz w:val="24"/>
          <w:szCs w:val="24"/>
        </w:rPr>
        <w:t xml:space="preserve"> as well as from other </w:t>
      </w:r>
      <w:r w:rsidR="00A060FE" w:rsidRPr="00395738">
        <w:rPr>
          <w:rFonts w:cs="Times New Roman"/>
          <w:color w:val="000000"/>
          <w:sz w:val="24"/>
          <w:szCs w:val="24"/>
        </w:rPr>
        <w:t xml:space="preserve">types of </w:t>
      </w:r>
      <w:r w:rsidR="00402946" w:rsidRPr="00395738">
        <w:rPr>
          <w:rFonts w:cs="Times New Roman"/>
          <w:color w:val="000000"/>
          <w:sz w:val="24"/>
          <w:szCs w:val="24"/>
        </w:rPr>
        <w:t>centralized credit databases</w:t>
      </w:r>
      <w:r w:rsidR="00071E31" w:rsidRPr="00395738">
        <w:rPr>
          <w:rFonts w:cs="Times New Roman"/>
          <w:color w:val="000000"/>
          <w:sz w:val="24"/>
          <w:szCs w:val="24"/>
        </w:rPr>
        <w:t xml:space="preserve">, rather than relying on </w:t>
      </w:r>
      <w:r w:rsidR="00071E31" w:rsidRPr="00395738">
        <w:rPr>
          <w:rFonts w:cs="Times New Roman"/>
          <w:i/>
          <w:color w:val="000000"/>
          <w:sz w:val="24"/>
          <w:szCs w:val="24"/>
        </w:rPr>
        <w:t>ad hoc</w:t>
      </w:r>
      <w:r w:rsidR="00402946" w:rsidRPr="00395738">
        <w:rPr>
          <w:rFonts w:cs="Times New Roman"/>
          <w:i/>
          <w:color w:val="000000"/>
          <w:sz w:val="24"/>
          <w:szCs w:val="24"/>
        </w:rPr>
        <w:t>,</w:t>
      </w:r>
      <w:r w:rsidR="00402946" w:rsidRPr="00395738">
        <w:rPr>
          <w:rFonts w:cs="Times New Roman"/>
          <w:color w:val="000000"/>
          <w:sz w:val="24"/>
          <w:szCs w:val="24"/>
        </w:rPr>
        <w:t xml:space="preserve"> unstructured </w:t>
      </w:r>
      <w:r w:rsidR="00071E31" w:rsidRPr="00395738">
        <w:rPr>
          <w:rFonts w:cs="Times New Roman"/>
          <w:color w:val="000000"/>
          <w:sz w:val="24"/>
          <w:szCs w:val="24"/>
        </w:rPr>
        <w:t xml:space="preserve">data </w:t>
      </w:r>
      <w:r w:rsidR="00C33628" w:rsidRPr="00395738">
        <w:rPr>
          <w:rFonts w:cs="Times New Roman"/>
          <w:color w:val="000000"/>
          <w:sz w:val="24"/>
          <w:szCs w:val="24"/>
        </w:rPr>
        <w:t xml:space="preserve">requests </w:t>
      </w:r>
      <w:r w:rsidR="00A060FE" w:rsidRPr="00395738">
        <w:rPr>
          <w:rFonts w:cs="Times New Roman"/>
          <w:color w:val="000000"/>
          <w:sz w:val="24"/>
          <w:szCs w:val="24"/>
        </w:rPr>
        <w:t xml:space="preserve">to </w:t>
      </w:r>
      <w:r w:rsidRPr="00395738">
        <w:rPr>
          <w:rFonts w:cs="Times New Roman"/>
          <w:color w:val="000000"/>
          <w:sz w:val="24"/>
          <w:szCs w:val="24"/>
        </w:rPr>
        <w:t xml:space="preserve">the </w:t>
      </w:r>
      <w:r w:rsidR="00071E31" w:rsidRPr="00395738">
        <w:rPr>
          <w:rFonts w:cs="Times New Roman"/>
          <w:color w:val="000000"/>
          <w:sz w:val="24"/>
          <w:szCs w:val="24"/>
        </w:rPr>
        <w:t xml:space="preserve">regulated/supervised entities. </w:t>
      </w:r>
      <w:r w:rsidR="00EC71B4" w:rsidRPr="00395738">
        <w:rPr>
          <w:rFonts w:cs="Times New Roman"/>
          <w:color w:val="000000"/>
          <w:sz w:val="24"/>
          <w:szCs w:val="24"/>
        </w:rPr>
        <w:t xml:space="preserve">A key </w:t>
      </w:r>
      <w:r w:rsidR="00AC19E5" w:rsidRPr="00395738">
        <w:rPr>
          <w:rFonts w:cs="Times New Roman"/>
          <w:color w:val="000000"/>
          <w:sz w:val="24"/>
          <w:szCs w:val="24"/>
        </w:rPr>
        <w:t>reason</w:t>
      </w:r>
      <w:r w:rsidR="00EC71B4" w:rsidRPr="00395738">
        <w:rPr>
          <w:rFonts w:cs="Times New Roman"/>
          <w:color w:val="000000"/>
          <w:sz w:val="24"/>
          <w:szCs w:val="24"/>
        </w:rPr>
        <w:t xml:space="preserve"> behind </w:t>
      </w:r>
      <w:r w:rsidR="00AC19E5" w:rsidRPr="00395738">
        <w:rPr>
          <w:rFonts w:cs="Times New Roman"/>
          <w:color w:val="000000"/>
          <w:sz w:val="24"/>
          <w:szCs w:val="24"/>
        </w:rPr>
        <w:t>this i</w:t>
      </w:r>
      <w:r w:rsidR="00071E31" w:rsidRPr="00395738">
        <w:rPr>
          <w:rFonts w:cs="Times New Roman"/>
          <w:color w:val="000000"/>
          <w:sz w:val="24"/>
          <w:szCs w:val="24"/>
        </w:rPr>
        <w:t xml:space="preserve">s </w:t>
      </w:r>
      <w:r w:rsidR="00AC19E5" w:rsidRPr="00395738">
        <w:rPr>
          <w:rFonts w:cs="Times New Roman"/>
          <w:color w:val="000000"/>
          <w:sz w:val="24"/>
          <w:szCs w:val="24"/>
        </w:rPr>
        <w:t xml:space="preserve">that </w:t>
      </w:r>
      <w:r w:rsidR="00071E31" w:rsidRPr="00395738">
        <w:rPr>
          <w:rFonts w:cs="Times New Roman"/>
          <w:color w:val="000000"/>
          <w:sz w:val="24"/>
          <w:szCs w:val="24"/>
        </w:rPr>
        <w:t xml:space="preserve">integrated reporting </w:t>
      </w:r>
      <w:r w:rsidR="00777414" w:rsidRPr="00395738">
        <w:rPr>
          <w:rFonts w:cs="Times New Roman"/>
          <w:color w:val="000000"/>
          <w:sz w:val="24"/>
          <w:szCs w:val="24"/>
        </w:rPr>
        <w:t xml:space="preserve">mechanisms </w:t>
      </w:r>
      <w:r w:rsidR="00AC19E5" w:rsidRPr="00395738">
        <w:rPr>
          <w:rFonts w:cs="Times New Roman"/>
          <w:color w:val="000000"/>
          <w:sz w:val="24"/>
          <w:szCs w:val="24"/>
        </w:rPr>
        <w:t xml:space="preserve">like those of CRSPs </w:t>
      </w:r>
      <w:r w:rsidR="00071E31" w:rsidRPr="00395738">
        <w:rPr>
          <w:rFonts w:cs="Times New Roman"/>
          <w:color w:val="000000"/>
          <w:sz w:val="24"/>
          <w:szCs w:val="24"/>
        </w:rPr>
        <w:t xml:space="preserve">normally ensure higher data quality </w:t>
      </w:r>
      <w:r w:rsidR="00D51777" w:rsidRPr="00395738">
        <w:rPr>
          <w:rFonts w:cs="Times New Roman"/>
          <w:color w:val="000000"/>
          <w:sz w:val="24"/>
          <w:szCs w:val="24"/>
        </w:rPr>
        <w:t xml:space="preserve">and </w:t>
      </w:r>
      <w:r w:rsidR="00BE5016" w:rsidRPr="00395738">
        <w:rPr>
          <w:rFonts w:cs="Times New Roman"/>
          <w:color w:val="000000"/>
          <w:sz w:val="24"/>
          <w:szCs w:val="24"/>
        </w:rPr>
        <w:t xml:space="preserve">better </w:t>
      </w:r>
      <w:r w:rsidR="00D51777" w:rsidRPr="00395738">
        <w:rPr>
          <w:rFonts w:cs="Times New Roman"/>
          <w:color w:val="000000"/>
          <w:sz w:val="24"/>
          <w:szCs w:val="24"/>
        </w:rPr>
        <w:t>overall usability of such data</w:t>
      </w:r>
      <w:r w:rsidRPr="00395738">
        <w:rPr>
          <w:rFonts w:cs="Times New Roman"/>
          <w:color w:val="000000"/>
          <w:sz w:val="24"/>
          <w:szCs w:val="24"/>
        </w:rPr>
        <w:t>, in addition to greater efficiency</w:t>
      </w:r>
      <w:r w:rsidR="00AC19E5" w:rsidRPr="00395738">
        <w:rPr>
          <w:rFonts w:cs="Times New Roman"/>
          <w:color w:val="000000"/>
          <w:sz w:val="24"/>
          <w:szCs w:val="24"/>
        </w:rPr>
        <w:t>.</w:t>
      </w:r>
      <w:r w:rsidR="00C40DB0" w:rsidRPr="00395738">
        <w:rPr>
          <w:rFonts w:cs="Times New Roman"/>
          <w:color w:val="000000"/>
          <w:sz w:val="24"/>
          <w:szCs w:val="24"/>
        </w:rPr>
        <w:t xml:space="preserve"> Box 1 provides a description of the main types of CRSPs, i.e. credit registries, credit bureaus and commercial credit reporting companies.</w:t>
      </w:r>
    </w:p>
    <w:p w14:paraId="614F807A" w14:textId="05D89E12" w:rsidR="00C40DB0" w:rsidRPr="00395738" w:rsidRDefault="00C40DB0" w:rsidP="00C40DB0">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240" w:line="240" w:lineRule="auto"/>
        <w:ind w:left="720"/>
        <w:jc w:val="center"/>
        <w:rPr>
          <w:rFonts w:cs="Times New Roman"/>
          <w:b/>
          <w:color w:val="000000"/>
          <w:sz w:val="28"/>
          <w:szCs w:val="28"/>
        </w:rPr>
      </w:pPr>
      <w:r w:rsidRPr="00395738">
        <w:rPr>
          <w:rFonts w:cs="Times New Roman"/>
          <w:b/>
          <w:color w:val="000000"/>
          <w:sz w:val="28"/>
          <w:szCs w:val="28"/>
        </w:rPr>
        <w:t xml:space="preserve">Box 1: Credit </w:t>
      </w:r>
      <w:r w:rsidR="00CF454A" w:rsidRPr="00395738">
        <w:rPr>
          <w:rFonts w:cs="Times New Roman"/>
          <w:b/>
          <w:color w:val="000000"/>
          <w:sz w:val="28"/>
          <w:szCs w:val="28"/>
        </w:rPr>
        <w:t>r</w:t>
      </w:r>
      <w:r w:rsidRPr="00395738">
        <w:rPr>
          <w:rFonts w:cs="Times New Roman"/>
          <w:b/>
          <w:color w:val="000000"/>
          <w:sz w:val="28"/>
          <w:szCs w:val="28"/>
        </w:rPr>
        <w:t xml:space="preserve">eporting </w:t>
      </w:r>
      <w:r w:rsidR="00CF454A" w:rsidRPr="00395738">
        <w:rPr>
          <w:rFonts w:cs="Times New Roman"/>
          <w:b/>
          <w:color w:val="000000"/>
          <w:sz w:val="28"/>
          <w:szCs w:val="28"/>
        </w:rPr>
        <w:t>s</w:t>
      </w:r>
      <w:r w:rsidRPr="00395738">
        <w:rPr>
          <w:rFonts w:cs="Times New Roman"/>
          <w:b/>
          <w:color w:val="000000"/>
          <w:sz w:val="28"/>
          <w:szCs w:val="28"/>
        </w:rPr>
        <w:t xml:space="preserve">ervice </w:t>
      </w:r>
      <w:r w:rsidR="00CF454A" w:rsidRPr="00395738">
        <w:rPr>
          <w:rFonts w:cs="Times New Roman"/>
          <w:b/>
          <w:color w:val="000000"/>
          <w:sz w:val="28"/>
          <w:szCs w:val="28"/>
        </w:rPr>
        <w:t>p</w:t>
      </w:r>
      <w:r w:rsidRPr="00395738">
        <w:rPr>
          <w:rFonts w:cs="Times New Roman"/>
          <w:b/>
          <w:color w:val="000000"/>
          <w:sz w:val="28"/>
          <w:szCs w:val="28"/>
        </w:rPr>
        <w:t>roviders</w:t>
      </w:r>
    </w:p>
    <w:p w14:paraId="572ECB74" w14:textId="483A1126" w:rsidR="00B8454F" w:rsidRPr="00395738" w:rsidRDefault="00B8454F" w:rsidP="00E03A43">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line="240" w:lineRule="auto"/>
        <w:ind w:left="720"/>
        <w:jc w:val="both"/>
        <w:rPr>
          <w:rFonts w:eastAsiaTheme="minorHAnsi" w:cs="GaramondITCbyBT-Light"/>
        </w:rPr>
      </w:pPr>
      <w:r w:rsidRPr="00395738">
        <w:rPr>
          <w:rFonts w:cs="Arial"/>
          <w:color w:val="000000" w:themeColor="text1"/>
        </w:rPr>
        <w:t xml:space="preserve">In essence, credit reporting service providers (CRSPs) </w:t>
      </w:r>
      <w:r w:rsidR="00F100C3" w:rsidRPr="00395738">
        <w:rPr>
          <w:rFonts w:cs="Arial"/>
          <w:color w:val="000000" w:themeColor="text1"/>
        </w:rPr>
        <w:t xml:space="preserve">enable or facilitate information flows between </w:t>
      </w:r>
      <w:r w:rsidR="00312A61" w:rsidRPr="00395738">
        <w:rPr>
          <w:rFonts w:cs="Arial"/>
          <w:color w:val="000000" w:themeColor="text1"/>
        </w:rPr>
        <w:t xml:space="preserve">entities </w:t>
      </w:r>
      <w:r w:rsidR="00F100C3" w:rsidRPr="00395738">
        <w:rPr>
          <w:rFonts w:eastAsiaTheme="minorHAnsi" w:cs="GaramondITCbyBT-Light"/>
        </w:rPr>
        <w:t xml:space="preserve">that gather </w:t>
      </w:r>
      <w:r w:rsidR="00D8708D" w:rsidRPr="00395738">
        <w:rPr>
          <w:rFonts w:eastAsiaTheme="minorHAnsi" w:cs="GaramondITCbyBT-Light"/>
        </w:rPr>
        <w:t xml:space="preserve">credit and credit-related </w:t>
      </w:r>
      <w:r w:rsidR="00312A61" w:rsidRPr="00395738">
        <w:rPr>
          <w:rFonts w:eastAsiaTheme="minorHAnsi" w:cs="GaramondITCbyBT-Light"/>
        </w:rPr>
        <w:t>data</w:t>
      </w:r>
      <w:r w:rsidR="00F100C3" w:rsidRPr="00395738">
        <w:rPr>
          <w:rFonts w:eastAsiaTheme="minorHAnsi" w:cs="GaramondITCbyBT-Light"/>
        </w:rPr>
        <w:t xml:space="preserve"> directly from individuals and businesses </w:t>
      </w:r>
      <w:r w:rsidR="00312A61" w:rsidRPr="00395738">
        <w:rPr>
          <w:rFonts w:eastAsiaTheme="minorHAnsi" w:cs="GaramondITCbyBT-Light"/>
        </w:rPr>
        <w:t xml:space="preserve">(i.e. data providers) and parties that use such data for a variety of purposes (i.e. users). </w:t>
      </w:r>
      <w:r w:rsidRPr="00395738">
        <w:rPr>
          <w:rFonts w:eastAsiaTheme="minorHAnsi" w:cs="GaramondITCbyBT-Light"/>
        </w:rPr>
        <w:t>C</w:t>
      </w:r>
      <w:r w:rsidR="00F100C3" w:rsidRPr="00395738">
        <w:rPr>
          <w:rFonts w:eastAsiaTheme="minorHAnsi" w:cs="GaramondITCbyBT-Light"/>
        </w:rPr>
        <w:t xml:space="preserve">RSPS </w:t>
      </w:r>
      <w:r w:rsidRPr="00395738">
        <w:rPr>
          <w:rFonts w:eastAsiaTheme="minorHAnsi" w:cs="GaramondITCbyBT-Light"/>
        </w:rPr>
        <w:t xml:space="preserve">perform </w:t>
      </w:r>
      <w:r w:rsidR="00312A61" w:rsidRPr="00395738">
        <w:rPr>
          <w:rFonts w:eastAsiaTheme="minorHAnsi" w:cs="GaramondITCbyBT-Light"/>
        </w:rPr>
        <w:t xml:space="preserve">several </w:t>
      </w:r>
      <w:r w:rsidRPr="00395738">
        <w:rPr>
          <w:rFonts w:eastAsiaTheme="minorHAnsi" w:cs="GaramondITCbyBT-Light"/>
        </w:rPr>
        <w:t xml:space="preserve">important functions. For </w:t>
      </w:r>
      <w:r w:rsidR="00F100C3" w:rsidRPr="00395738">
        <w:rPr>
          <w:rFonts w:eastAsiaTheme="minorHAnsi" w:cs="GaramondITCbyBT-Light"/>
        </w:rPr>
        <w:t>example,</w:t>
      </w:r>
      <w:r w:rsidRPr="00395738">
        <w:rPr>
          <w:rFonts w:eastAsiaTheme="minorHAnsi" w:cs="GaramondITCbyBT-Light"/>
        </w:rPr>
        <w:t xml:space="preserve"> </w:t>
      </w:r>
      <w:r w:rsidR="00F100C3" w:rsidRPr="00395738">
        <w:rPr>
          <w:rFonts w:eastAsiaTheme="minorHAnsi" w:cs="GaramondITCbyBT-Light"/>
        </w:rPr>
        <w:t>data</w:t>
      </w:r>
      <w:r w:rsidRPr="00395738">
        <w:rPr>
          <w:rFonts w:eastAsiaTheme="minorHAnsi" w:cs="GaramondITCbyBT-Light"/>
        </w:rPr>
        <w:t xml:space="preserve"> received from data providers</w:t>
      </w:r>
      <w:r w:rsidR="00312A61" w:rsidRPr="00395738">
        <w:rPr>
          <w:rFonts w:eastAsiaTheme="minorHAnsi" w:cs="GaramondITCbyBT-Light"/>
        </w:rPr>
        <w:t xml:space="preserve"> </w:t>
      </w:r>
      <w:r w:rsidRPr="00395738">
        <w:rPr>
          <w:rFonts w:eastAsiaTheme="minorHAnsi" w:cs="GaramondITCbyBT-Light"/>
        </w:rPr>
        <w:t>is cleaned, validated and stored in a standardized data format. C</w:t>
      </w:r>
      <w:r w:rsidR="00F100C3" w:rsidRPr="00395738">
        <w:rPr>
          <w:rFonts w:eastAsiaTheme="minorHAnsi" w:cs="GaramondITCbyBT-Light"/>
        </w:rPr>
        <w:t xml:space="preserve">RSPs </w:t>
      </w:r>
      <w:r w:rsidRPr="00395738">
        <w:rPr>
          <w:rFonts w:eastAsiaTheme="minorHAnsi" w:cs="GaramondITCbyBT-Light"/>
        </w:rPr>
        <w:t xml:space="preserve">then supply organized information to users in a certain format that </w:t>
      </w:r>
      <w:r w:rsidR="00D8708D" w:rsidRPr="00395738">
        <w:rPr>
          <w:rFonts w:eastAsiaTheme="minorHAnsi" w:cs="GaramondITCbyBT-Light"/>
        </w:rPr>
        <w:t xml:space="preserve">facilitates </w:t>
      </w:r>
      <w:r w:rsidRPr="00395738">
        <w:rPr>
          <w:rFonts w:eastAsiaTheme="minorHAnsi" w:cs="GaramondITCbyBT-Light"/>
        </w:rPr>
        <w:t>credit assessment</w:t>
      </w:r>
      <w:r w:rsidR="00D8708D" w:rsidRPr="00395738">
        <w:rPr>
          <w:rFonts w:eastAsiaTheme="minorHAnsi" w:cs="GaramondITCbyBT-Light"/>
        </w:rPr>
        <w:t>s and other tasks</w:t>
      </w:r>
      <w:r w:rsidRPr="00395738">
        <w:rPr>
          <w:rFonts w:eastAsiaTheme="minorHAnsi" w:cs="GaramondITCbyBT-Light"/>
        </w:rPr>
        <w:t xml:space="preserve">. </w:t>
      </w:r>
    </w:p>
    <w:p w14:paraId="7E97FFE9" w14:textId="01AD6E96" w:rsidR="00B8454F" w:rsidRPr="00395738" w:rsidRDefault="00B8454F" w:rsidP="00E03A43">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line="240" w:lineRule="auto"/>
        <w:ind w:left="720"/>
        <w:jc w:val="both"/>
        <w:rPr>
          <w:rFonts w:eastAsiaTheme="minorHAnsi" w:cs="GaramondITCbyBT-Light"/>
        </w:rPr>
      </w:pPr>
      <w:r w:rsidRPr="00395738">
        <w:rPr>
          <w:rFonts w:eastAsiaTheme="minorHAnsi" w:cs="GaramondITCbyBT-Light"/>
        </w:rPr>
        <w:t>The main types of CRSPs are credit registries, credit bureaus and commercial credit reporting companies</w:t>
      </w:r>
      <w:r w:rsidR="00312A61" w:rsidRPr="00395738">
        <w:rPr>
          <w:rFonts w:eastAsiaTheme="minorHAnsi" w:cs="GaramondITCbyBT-Light"/>
        </w:rPr>
        <w:t>.</w:t>
      </w:r>
    </w:p>
    <w:p w14:paraId="622A1E44" w14:textId="76B0B917" w:rsidR="00B8454F" w:rsidRPr="00395738" w:rsidRDefault="00B8454F" w:rsidP="00E03A43">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line="240" w:lineRule="auto"/>
        <w:ind w:left="720"/>
        <w:jc w:val="both"/>
      </w:pPr>
      <w:r w:rsidRPr="00395738">
        <w:t>As per the GPCR, a credit registry is “</w:t>
      </w:r>
      <w:r w:rsidRPr="00395738">
        <w:rPr>
          <w:i/>
        </w:rPr>
        <w:t xml:space="preserve">A </w:t>
      </w:r>
      <w:r w:rsidRPr="00395738">
        <w:rPr>
          <w:rFonts w:eastAsiaTheme="minorHAnsi" w:cs="GaramondITCbyBT-Light"/>
          <w:i/>
        </w:rPr>
        <w:t>Model of credit information exchange whose main objectives are assisting bank supervision and enabling data access to regulated financial institutions to improve the quality of their credit portfolios</w:t>
      </w:r>
      <w:r w:rsidRPr="00395738">
        <w:rPr>
          <w:i/>
        </w:rPr>
        <w:t xml:space="preserve">.” </w:t>
      </w:r>
      <w:r w:rsidRPr="00395738">
        <w:rPr>
          <w:rFonts w:cs="Arial"/>
          <w:color w:val="000000" w:themeColor="text1"/>
        </w:rPr>
        <w:t xml:space="preserve">Credit registries are typically owned and operated by a central bank or other financial supervisors. In most countries, credit registries </w:t>
      </w:r>
      <w:r w:rsidR="00867A90" w:rsidRPr="00395738">
        <w:rPr>
          <w:rFonts w:cs="Arial"/>
          <w:color w:val="000000" w:themeColor="text1"/>
        </w:rPr>
        <w:t xml:space="preserve">focus on </w:t>
      </w:r>
      <w:r w:rsidRPr="00395738">
        <w:rPr>
          <w:rFonts w:cs="Arial"/>
          <w:color w:val="000000" w:themeColor="text1"/>
        </w:rPr>
        <w:t>collect</w:t>
      </w:r>
      <w:r w:rsidR="00867A90" w:rsidRPr="00395738">
        <w:rPr>
          <w:rFonts w:cs="Arial"/>
          <w:color w:val="000000" w:themeColor="text1"/>
        </w:rPr>
        <w:t>ing</w:t>
      </w:r>
      <w:r w:rsidRPr="00395738">
        <w:rPr>
          <w:rFonts w:cs="Arial"/>
          <w:color w:val="000000" w:themeColor="text1"/>
        </w:rPr>
        <w:t xml:space="preserve"> credit information from prudentially regulated financial </w:t>
      </w:r>
      <w:r w:rsidRPr="00395738">
        <w:t>institutions</w:t>
      </w:r>
      <w:r w:rsidR="00867A90" w:rsidRPr="00395738">
        <w:t>.</w:t>
      </w:r>
    </w:p>
    <w:p w14:paraId="708CC5C8" w14:textId="74B9A2D6" w:rsidR="00B8454F" w:rsidRPr="00395738" w:rsidRDefault="00B8454F" w:rsidP="00E03A43">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line="240" w:lineRule="auto"/>
        <w:ind w:left="720"/>
        <w:jc w:val="both"/>
        <w:rPr>
          <w:rFonts w:cs="Arial"/>
          <w:color w:val="000000" w:themeColor="text1"/>
        </w:rPr>
      </w:pPr>
      <w:r w:rsidRPr="00395738">
        <w:t>Credit bureaus are defined in the GPCR as “</w:t>
      </w:r>
      <w:r w:rsidRPr="00395738">
        <w:rPr>
          <w:i/>
        </w:rPr>
        <w:t xml:space="preserve">A </w:t>
      </w:r>
      <w:r w:rsidRPr="00395738">
        <w:rPr>
          <w:rFonts w:eastAsiaTheme="minorHAnsi" w:cs="GaramondITCbyBT-Light"/>
          <w:i/>
        </w:rPr>
        <w:t xml:space="preserve">Model of credit information exchange whose primary objective is to improve the quality and availability of data for creditors to make better-informed decisions”. </w:t>
      </w:r>
      <w:r w:rsidRPr="00395738">
        <w:rPr>
          <w:rFonts w:eastAsiaTheme="minorHAnsi" w:cs="GaramondITCbyBT-Light"/>
        </w:rPr>
        <w:t>C</w:t>
      </w:r>
      <w:r w:rsidR="00F100C3" w:rsidRPr="00395738">
        <w:rPr>
          <w:rFonts w:eastAsiaTheme="minorHAnsi" w:cs="GaramondITCbyBT-Light"/>
        </w:rPr>
        <w:t xml:space="preserve">redit bureaus </w:t>
      </w:r>
      <w:r w:rsidRPr="00395738">
        <w:rPr>
          <w:rFonts w:eastAsia="Times New Roman" w:cs="Arial"/>
        </w:rPr>
        <w:t xml:space="preserve">collect credit data from banks, other regulated financial institutions, other non-financial lenders and in some cases </w:t>
      </w:r>
      <w:r w:rsidR="00F100C3" w:rsidRPr="00395738">
        <w:rPr>
          <w:rFonts w:eastAsia="Times New Roman" w:cs="Arial"/>
        </w:rPr>
        <w:t>from entities providing non-financial services but from which a payment obligation is derived</w:t>
      </w:r>
      <w:r w:rsidRPr="00395738">
        <w:rPr>
          <w:rFonts w:eastAsia="Times New Roman" w:cs="Arial"/>
        </w:rPr>
        <w:t xml:space="preserve"> (e.g. payment of utilities), and </w:t>
      </w:r>
      <w:r w:rsidRPr="00395738">
        <w:rPr>
          <w:rFonts w:eastAsiaTheme="minorHAnsi" w:cs="GaramondITCbyBT-Light"/>
        </w:rPr>
        <w:t>generally target retail credit and small business lending markets.</w:t>
      </w:r>
    </w:p>
    <w:p w14:paraId="23A8F25B" w14:textId="784CB5FF" w:rsidR="00B8454F" w:rsidRPr="00395738" w:rsidRDefault="00312A61" w:rsidP="00E03A43">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ind w:left="720"/>
        <w:jc w:val="both"/>
        <w:rPr>
          <w:rFonts w:cs="Arial"/>
          <w:color w:val="000000" w:themeColor="text1"/>
          <w:sz w:val="24"/>
          <w:szCs w:val="24"/>
        </w:rPr>
      </w:pPr>
      <w:r w:rsidRPr="00395738">
        <w:t>Finally, the GPCRs define c</w:t>
      </w:r>
      <w:r w:rsidR="00B8454F" w:rsidRPr="00395738">
        <w:t xml:space="preserve">ommercial </w:t>
      </w:r>
      <w:r w:rsidRPr="00395738">
        <w:t>c</w:t>
      </w:r>
      <w:r w:rsidR="00B8454F" w:rsidRPr="00395738">
        <w:t xml:space="preserve">redit </w:t>
      </w:r>
      <w:r w:rsidRPr="00395738">
        <w:t>r</w:t>
      </w:r>
      <w:r w:rsidR="00B8454F" w:rsidRPr="00395738">
        <w:t xml:space="preserve">eporting </w:t>
      </w:r>
      <w:r w:rsidRPr="00395738">
        <w:t>c</w:t>
      </w:r>
      <w:r w:rsidR="00B8454F" w:rsidRPr="00395738">
        <w:t>ompanies a</w:t>
      </w:r>
      <w:r w:rsidRPr="00395738">
        <w:t>s</w:t>
      </w:r>
      <w:r w:rsidR="00B8454F" w:rsidRPr="00395738">
        <w:t xml:space="preserve"> “</w:t>
      </w:r>
      <w:r w:rsidR="00B8454F" w:rsidRPr="00395738">
        <w:rPr>
          <w:rFonts w:eastAsiaTheme="minorHAnsi" w:cs="GaramondITCbyBT-Light"/>
          <w:i/>
        </w:rPr>
        <w:t>Entities that collect information on businesses, including sole proprietorships, partnerships and corporations for the purpose of credit risk assessment, credit scoring or for other business purposes such as the extension of trade credit</w:t>
      </w:r>
      <w:r w:rsidR="00B8454F" w:rsidRPr="00395738">
        <w:rPr>
          <w:rFonts w:eastAsiaTheme="minorHAnsi" w:cs="GaramondITCbyBT-Light"/>
        </w:rPr>
        <w:t xml:space="preserve">.” </w:t>
      </w:r>
      <w:r w:rsidR="00F100C3" w:rsidRPr="00395738">
        <w:rPr>
          <w:rFonts w:eastAsiaTheme="minorHAnsi" w:cs="GaramondITCbyBT-Light"/>
        </w:rPr>
        <w:t>These entities c</w:t>
      </w:r>
      <w:r w:rsidR="00B8454F" w:rsidRPr="00395738">
        <w:rPr>
          <w:rFonts w:eastAsiaTheme="minorHAnsi" w:cs="GaramondITCbyBT-Light"/>
        </w:rPr>
        <w:t>ollect credit data from banks, other regulated financial institutions, other non-financial lenders and other sources</w:t>
      </w:r>
      <w:r w:rsidRPr="00395738">
        <w:rPr>
          <w:rFonts w:eastAsiaTheme="minorHAnsi" w:cs="GaramondITCbyBT-Light"/>
        </w:rPr>
        <w:t>, and generally target the medium and large company lending market segments</w:t>
      </w:r>
      <w:r w:rsidR="00B8454F" w:rsidRPr="00395738">
        <w:rPr>
          <w:rFonts w:eastAsiaTheme="minorHAnsi" w:cs="GaramondITCbyBT-Light"/>
        </w:rPr>
        <w:t>.</w:t>
      </w:r>
    </w:p>
    <w:p w14:paraId="2F60BA87" w14:textId="78EF6B0D" w:rsidR="00312A61" w:rsidRPr="00395738" w:rsidRDefault="00312A61" w:rsidP="00312A61">
      <w:pPr>
        <w:pStyle w:val="ListParagraph"/>
        <w:autoSpaceDE w:val="0"/>
        <w:autoSpaceDN w:val="0"/>
        <w:adjustRightInd w:val="0"/>
        <w:spacing w:after="240" w:line="360" w:lineRule="auto"/>
        <w:contextualSpacing w:val="0"/>
        <w:jc w:val="both"/>
        <w:rPr>
          <w:rFonts w:cs="Times New Roman"/>
          <w:color w:val="000000"/>
          <w:sz w:val="24"/>
          <w:szCs w:val="24"/>
        </w:rPr>
      </w:pPr>
      <w:r w:rsidRPr="00395738">
        <w:rPr>
          <w:rFonts w:cs="Arial"/>
          <w:i/>
          <w:color w:val="000000" w:themeColor="text1"/>
          <w:sz w:val="18"/>
          <w:szCs w:val="18"/>
        </w:rPr>
        <w:t>Source</w:t>
      </w:r>
      <w:r w:rsidRPr="00395738">
        <w:rPr>
          <w:rFonts w:cs="Arial"/>
          <w:color w:val="000000" w:themeColor="text1"/>
          <w:sz w:val="18"/>
          <w:szCs w:val="18"/>
        </w:rPr>
        <w:t>: Adapted from the GPCR</w:t>
      </w:r>
      <w:r w:rsidR="00C268D6" w:rsidRPr="00395738">
        <w:rPr>
          <w:rFonts w:cs="Arial"/>
          <w:color w:val="000000" w:themeColor="text1"/>
          <w:sz w:val="18"/>
          <w:szCs w:val="18"/>
        </w:rPr>
        <w:t xml:space="preserve"> report</w:t>
      </w:r>
      <w:r w:rsidRPr="00395738">
        <w:rPr>
          <w:rFonts w:cs="Arial"/>
          <w:color w:val="000000" w:themeColor="text1"/>
          <w:sz w:val="18"/>
          <w:szCs w:val="18"/>
        </w:rPr>
        <w:t>.</w:t>
      </w:r>
      <w:r w:rsidR="00C268D6" w:rsidRPr="00395738">
        <w:rPr>
          <w:rStyle w:val="FootnoteReference"/>
          <w:rFonts w:cs="Arial"/>
          <w:color w:val="000000" w:themeColor="text1"/>
          <w:sz w:val="18"/>
          <w:szCs w:val="18"/>
        </w:rPr>
        <w:footnoteReference w:id="3"/>
      </w:r>
    </w:p>
    <w:p w14:paraId="73F329A0" w14:textId="385F21B7" w:rsidR="00D13D5D" w:rsidRPr="00395738" w:rsidRDefault="00D13D5D" w:rsidP="0061580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lastRenderedPageBreak/>
        <w:t xml:space="preserve">Data in credit registries (and in other centralized credit databases operated by central banks and/or other financial sector authorities) has been used extensively </w:t>
      </w:r>
      <w:r w:rsidR="003B446F" w:rsidRPr="00395738">
        <w:rPr>
          <w:rFonts w:cs="Times New Roman"/>
          <w:color w:val="000000"/>
          <w:sz w:val="24"/>
          <w:szCs w:val="24"/>
        </w:rPr>
        <w:t xml:space="preserve">for many years </w:t>
      </w:r>
      <w:r w:rsidRPr="00395738">
        <w:rPr>
          <w:rFonts w:cs="Times New Roman"/>
          <w:color w:val="000000"/>
          <w:sz w:val="24"/>
          <w:szCs w:val="24"/>
        </w:rPr>
        <w:t>to s</w:t>
      </w:r>
      <w:r w:rsidR="00C213E2" w:rsidRPr="00395738">
        <w:rPr>
          <w:rFonts w:cs="Times New Roman"/>
          <w:color w:val="000000"/>
          <w:sz w:val="24"/>
          <w:szCs w:val="24"/>
        </w:rPr>
        <w:t>upport</w:t>
      </w:r>
      <w:r w:rsidRPr="00395738">
        <w:rPr>
          <w:rFonts w:cs="Times New Roman"/>
          <w:color w:val="000000"/>
          <w:sz w:val="24"/>
          <w:szCs w:val="24"/>
        </w:rPr>
        <w:t xml:space="preserve"> regulation and </w:t>
      </w:r>
      <w:r w:rsidR="00C213E2" w:rsidRPr="00395738">
        <w:rPr>
          <w:rFonts w:cs="Times New Roman"/>
          <w:color w:val="000000"/>
          <w:sz w:val="24"/>
          <w:szCs w:val="24"/>
        </w:rPr>
        <w:t>supervision of individual financial institutions</w:t>
      </w:r>
      <w:r w:rsidRPr="00395738">
        <w:rPr>
          <w:rFonts w:cs="Times New Roman"/>
          <w:color w:val="000000"/>
          <w:sz w:val="24"/>
          <w:szCs w:val="24"/>
        </w:rPr>
        <w:t xml:space="preserve">. </w:t>
      </w:r>
      <w:r w:rsidR="003B446F" w:rsidRPr="00395738">
        <w:rPr>
          <w:rFonts w:cs="Times New Roman"/>
          <w:color w:val="000000"/>
          <w:sz w:val="24"/>
          <w:szCs w:val="24"/>
        </w:rPr>
        <w:t xml:space="preserve">For example, </w:t>
      </w:r>
      <w:r w:rsidR="003645FA" w:rsidRPr="00395738">
        <w:rPr>
          <w:rFonts w:cs="Times New Roman"/>
          <w:color w:val="000000"/>
          <w:sz w:val="24"/>
          <w:szCs w:val="24"/>
        </w:rPr>
        <w:t xml:space="preserve">credit data </w:t>
      </w:r>
      <w:r w:rsidR="00A060FE" w:rsidRPr="00395738">
        <w:rPr>
          <w:rFonts w:cs="Times New Roman"/>
          <w:color w:val="000000"/>
          <w:sz w:val="24"/>
          <w:szCs w:val="24"/>
        </w:rPr>
        <w:t xml:space="preserve">at the level of </w:t>
      </w:r>
      <w:r w:rsidR="00402946" w:rsidRPr="00395738">
        <w:rPr>
          <w:rFonts w:cs="Times New Roman"/>
          <w:color w:val="000000"/>
          <w:sz w:val="24"/>
          <w:szCs w:val="24"/>
        </w:rPr>
        <w:t xml:space="preserve">each </w:t>
      </w:r>
      <w:r w:rsidR="00F5658B" w:rsidRPr="00395738">
        <w:rPr>
          <w:rFonts w:cs="Times New Roman"/>
          <w:color w:val="000000"/>
          <w:sz w:val="24"/>
          <w:szCs w:val="24"/>
        </w:rPr>
        <w:t>re</w:t>
      </w:r>
      <w:r w:rsidR="007A69D3" w:rsidRPr="00395738">
        <w:rPr>
          <w:rFonts w:cs="Times New Roman"/>
          <w:color w:val="000000"/>
          <w:sz w:val="24"/>
          <w:szCs w:val="24"/>
        </w:rPr>
        <w:t xml:space="preserve">porting </w:t>
      </w:r>
      <w:r w:rsidR="00402946" w:rsidRPr="00395738">
        <w:rPr>
          <w:rFonts w:cs="Times New Roman"/>
          <w:color w:val="000000"/>
          <w:sz w:val="24"/>
          <w:szCs w:val="24"/>
        </w:rPr>
        <w:t xml:space="preserve">financial </w:t>
      </w:r>
      <w:r w:rsidR="007A69D3" w:rsidRPr="00395738">
        <w:rPr>
          <w:rFonts w:cs="Times New Roman"/>
          <w:color w:val="000000"/>
          <w:sz w:val="24"/>
          <w:szCs w:val="24"/>
        </w:rPr>
        <w:t>institution</w:t>
      </w:r>
      <w:r w:rsidRPr="00395738">
        <w:rPr>
          <w:rFonts w:cs="Times New Roman"/>
          <w:color w:val="000000"/>
          <w:sz w:val="24"/>
          <w:szCs w:val="24"/>
        </w:rPr>
        <w:t xml:space="preserve"> is </w:t>
      </w:r>
      <w:r w:rsidR="003B446F" w:rsidRPr="00395738">
        <w:rPr>
          <w:rFonts w:cs="Times New Roman"/>
          <w:color w:val="000000"/>
          <w:sz w:val="24"/>
          <w:szCs w:val="24"/>
        </w:rPr>
        <w:t xml:space="preserve">a key input for </w:t>
      </w:r>
      <w:r w:rsidRPr="00395738">
        <w:rPr>
          <w:rFonts w:cs="Times New Roman"/>
          <w:color w:val="000000"/>
          <w:sz w:val="24"/>
          <w:szCs w:val="24"/>
        </w:rPr>
        <w:t>off-site supervision</w:t>
      </w:r>
      <w:r w:rsidR="003B446F" w:rsidRPr="00395738">
        <w:rPr>
          <w:rFonts w:cs="Times New Roman"/>
          <w:color w:val="000000"/>
          <w:sz w:val="24"/>
          <w:szCs w:val="24"/>
        </w:rPr>
        <w:t xml:space="preserve">. More recently, credit data </w:t>
      </w:r>
      <w:r w:rsidR="007A69D3" w:rsidRPr="00395738">
        <w:rPr>
          <w:rFonts w:cs="Times New Roman"/>
          <w:color w:val="000000"/>
          <w:sz w:val="24"/>
          <w:szCs w:val="24"/>
        </w:rPr>
        <w:t xml:space="preserve">has also become </w:t>
      </w:r>
      <w:r w:rsidR="003B446F" w:rsidRPr="00395738">
        <w:rPr>
          <w:rFonts w:cs="Times New Roman"/>
          <w:color w:val="000000"/>
          <w:sz w:val="24"/>
          <w:szCs w:val="24"/>
        </w:rPr>
        <w:t xml:space="preserve">important in areas </w:t>
      </w:r>
      <w:r w:rsidR="00A060FE" w:rsidRPr="00395738">
        <w:rPr>
          <w:rFonts w:cs="Times New Roman"/>
          <w:color w:val="000000"/>
          <w:sz w:val="24"/>
          <w:szCs w:val="24"/>
        </w:rPr>
        <w:t xml:space="preserve">like </w:t>
      </w:r>
      <w:r w:rsidR="003B446F" w:rsidRPr="00395738">
        <w:rPr>
          <w:rFonts w:cs="Times New Roman"/>
          <w:color w:val="000000"/>
          <w:sz w:val="24"/>
          <w:szCs w:val="24"/>
        </w:rPr>
        <w:t xml:space="preserve">the implementation of the internal </w:t>
      </w:r>
      <w:r w:rsidR="006B5F8B" w:rsidRPr="00395738">
        <w:rPr>
          <w:rFonts w:cs="Times New Roman"/>
          <w:color w:val="000000"/>
          <w:sz w:val="24"/>
          <w:szCs w:val="24"/>
        </w:rPr>
        <w:t xml:space="preserve">ratings-based (IRB) </w:t>
      </w:r>
      <w:r w:rsidR="003B446F" w:rsidRPr="00395738">
        <w:rPr>
          <w:rFonts w:cs="Times New Roman"/>
          <w:color w:val="000000"/>
          <w:sz w:val="24"/>
          <w:szCs w:val="24"/>
        </w:rPr>
        <w:t xml:space="preserve">approach of the Basel </w:t>
      </w:r>
      <w:r w:rsidR="00BE5016" w:rsidRPr="00395738">
        <w:rPr>
          <w:rFonts w:cs="Times New Roman"/>
          <w:color w:val="000000"/>
          <w:sz w:val="24"/>
          <w:szCs w:val="24"/>
        </w:rPr>
        <w:t>reg</w:t>
      </w:r>
      <w:r w:rsidR="003B446F" w:rsidRPr="00395738">
        <w:rPr>
          <w:rFonts w:cs="Times New Roman"/>
          <w:color w:val="000000"/>
          <w:sz w:val="24"/>
          <w:szCs w:val="24"/>
        </w:rPr>
        <w:t xml:space="preserve">ulatory </w:t>
      </w:r>
      <w:r w:rsidR="007A69D3" w:rsidRPr="00395738">
        <w:rPr>
          <w:rFonts w:cs="Times New Roman"/>
          <w:color w:val="000000"/>
          <w:sz w:val="24"/>
          <w:szCs w:val="24"/>
        </w:rPr>
        <w:t xml:space="preserve">capital </w:t>
      </w:r>
      <w:r w:rsidR="003B446F" w:rsidRPr="00395738">
        <w:rPr>
          <w:rFonts w:cs="Times New Roman"/>
          <w:color w:val="000000"/>
          <w:sz w:val="24"/>
          <w:szCs w:val="24"/>
        </w:rPr>
        <w:t xml:space="preserve">framework for banks, for example by facilitating supervisory validation of </w:t>
      </w:r>
      <w:r w:rsidR="006B5F8B" w:rsidRPr="00395738">
        <w:rPr>
          <w:rFonts w:cs="Times New Roman"/>
          <w:color w:val="000000"/>
          <w:sz w:val="24"/>
          <w:szCs w:val="24"/>
        </w:rPr>
        <w:t>internally</w:t>
      </w:r>
      <w:r w:rsidR="007A69D3" w:rsidRPr="00395738">
        <w:rPr>
          <w:rFonts w:cs="Times New Roman"/>
          <w:color w:val="000000"/>
          <w:sz w:val="24"/>
          <w:szCs w:val="24"/>
        </w:rPr>
        <w:t>-</w:t>
      </w:r>
      <w:r w:rsidR="006B5F8B" w:rsidRPr="00395738">
        <w:rPr>
          <w:rFonts w:cs="Times New Roman"/>
          <w:color w:val="000000"/>
          <w:sz w:val="24"/>
          <w:szCs w:val="24"/>
        </w:rPr>
        <w:t>estimated risk parameters.</w:t>
      </w:r>
    </w:p>
    <w:p w14:paraId="5290C8C6" w14:textId="38292FEB" w:rsidR="006B5F8B" w:rsidRPr="00395738" w:rsidRDefault="006B5F8B" w:rsidP="0061580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As the most recent financial crisis showed, </w:t>
      </w:r>
      <w:r w:rsidR="007A69D3" w:rsidRPr="00395738">
        <w:rPr>
          <w:rFonts w:cs="Times New Roman"/>
          <w:color w:val="000000"/>
          <w:sz w:val="24"/>
          <w:szCs w:val="24"/>
        </w:rPr>
        <w:t xml:space="preserve">focusing on </w:t>
      </w:r>
      <w:r w:rsidRPr="00395738">
        <w:rPr>
          <w:rFonts w:cs="Times New Roman"/>
          <w:color w:val="000000"/>
          <w:sz w:val="24"/>
          <w:szCs w:val="24"/>
        </w:rPr>
        <w:t xml:space="preserve">the stability of individual financial institutions alone </w:t>
      </w:r>
      <w:r w:rsidR="007A69D3" w:rsidRPr="00395738">
        <w:rPr>
          <w:rFonts w:cs="Times New Roman"/>
          <w:color w:val="000000"/>
          <w:sz w:val="24"/>
          <w:szCs w:val="24"/>
        </w:rPr>
        <w:t xml:space="preserve">is </w:t>
      </w:r>
      <w:r w:rsidRPr="00395738">
        <w:rPr>
          <w:rFonts w:cs="Times New Roman"/>
          <w:color w:val="000000"/>
          <w:sz w:val="24"/>
          <w:szCs w:val="24"/>
        </w:rPr>
        <w:t>however not enough to ensure the stability of the financial system as a whole. This is why policy-makers and academic circles alike have been developing a complementary macro-prudential approach to financial supervision</w:t>
      </w:r>
      <w:r w:rsidR="00BE5016" w:rsidRPr="00395738">
        <w:rPr>
          <w:rFonts w:cs="Times New Roman"/>
          <w:color w:val="000000"/>
          <w:sz w:val="24"/>
          <w:szCs w:val="24"/>
        </w:rPr>
        <w:t xml:space="preserve"> and regulation</w:t>
      </w:r>
      <w:r w:rsidRPr="00395738">
        <w:rPr>
          <w:rFonts w:cs="Times New Roman"/>
          <w:color w:val="000000"/>
          <w:sz w:val="24"/>
          <w:szCs w:val="24"/>
        </w:rPr>
        <w:t>.</w:t>
      </w:r>
      <w:r w:rsidR="00836236" w:rsidRPr="00395738">
        <w:rPr>
          <w:rFonts w:cs="Times New Roman"/>
          <w:color w:val="000000"/>
          <w:sz w:val="24"/>
          <w:szCs w:val="24"/>
        </w:rPr>
        <w:t xml:space="preserve"> </w:t>
      </w:r>
      <w:r w:rsidR="00836236" w:rsidRPr="00395738">
        <w:rPr>
          <w:rFonts w:cs="Times New Roman"/>
          <w:sz w:val="24"/>
          <w:szCs w:val="24"/>
        </w:rPr>
        <w:t xml:space="preserve">Hence, </w:t>
      </w:r>
      <w:r w:rsidR="003A4A2A" w:rsidRPr="00395738">
        <w:rPr>
          <w:rFonts w:cs="Times New Roman"/>
          <w:sz w:val="24"/>
          <w:szCs w:val="24"/>
        </w:rPr>
        <w:t xml:space="preserve">as part of this </w:t>
      </w:r>
      <w:r w:rsidR="00AA49E8" w:rsidRPr="00395738">
        <w:rPr>
          <w:rFonts w:cs="Times New Roman"/>
          <w:sz w:val="24"/>
          <w:szCs w:val="24"/>
        </w:rPr>
        <w:t xml:space="preserve">complementary approach </w:t>
      </w:r>
      <w:r w:rsidRPr="00395738">
        <w:rPr>
          <w:rFonts w:cs="Times New Roman"/>
          <w:sz w:val="24"/>
          <w:szCs w:val="24"/>
        </w:rPr>
        <w:t xml:space="preserve">central banks and/or other financial supervisors </w:t>
      </w:r>
      <w:r w:rsidR="00836236" w:rsidRPr="00395738">
        <w:rPr>
          <w:rFonts w:cs="Times New Roman"/>
          <w:sz w:val="24"/>
          <w:szCs w:val="24"/>
        </w:rPr>
        <w:t>perform a series of analyses</w:t>
      </w:r>
      <w:r w:rsidR="000F6909" w:rsidRPr="00395738">
        <w:rPr>
          <w:rFonts w:cs="Times New Roman"/>
          <w:sz w:val="24"/>
          <w:szCs w:val="24"/>
        </w:rPr>
        <w:t xml:space="preserve"> and </w:t>
      </w:r>
      <w:r w:rsidR="00836236" w:rsidRPr="00395738">
        <w:rPr>
          <w:rFonts w:cs="Times New Roman"/>
          <w:sz w:val="24"/>
          <w:szCs w:val="24"/>
        </w:rPr>
        <w:t>have de</w:t>
      </w:r>
      <w:r w:rsidR="003A4A2A" w:rsidRPr="00395738">
        <w:rPr>
          <w:rFonts w:cs="Times New Roman"/>
          <w:sz w:val="24"/>
          <w:szCs w:val="24"/>
        </w:rPr>
        <w:t xml:space="preserve">signed </w:t>
      </w:r>
      <w:r w:rsidR="007A69D3" w:rsidRPr="00395738">
        <w:rPr>
          <w:rFonts w:cs="Times New Roman"/>
          <w:sz w:val="24"/>
          <w:szCs w:val="24"/>
        </w:rPr>
        <w:t>i</w:t>
      </w:r>
      <w:r w:rsidR="00836236" w:rsidRPr="00395738">
        <w:rPr>
          <w:rFonts w:cs="Times New Roman"/>
          <w:sz w:val="24"/>
          <w:szCs w:val="24"/>
        </w:rPr>
        <w:t>nstruments to</w:t>
      </w:r>
      <w:r w:rsidR="003A4A2A" w:rsidRPr="00395738">
        <w:rPr>
          <w:rFonts w:cs="Times New Roman"/>
          <w:sz w:val="24"/>
          <w:szCs w:val="24"/>
        </w:rPr>
        <w:t>, respectively,</w:t>
      </w:r>
      <w:r w:rsidR="00836236" w:rsidRPr="00395738">
        <w:rPr>
          <w:rFonts w:cs="Times New Roman"/>
          <w:sz w:val="24"/>
          <w:szCs w:val="24"/>
        </w:rPr>
        <w:t xml:space="preserve"> </w:t>
      </w:r>
      <w:r w:rsidRPr="00395738">
        <w:rPr>
          <w:rFonts w:cs="Times New Roman"/>
          <w:sz w:val="24"/>
          <w:szCs w:val="24"/>
        </w:rPr>
        <w:t>continuously monitor the stability of the financial system a</w:t>
      </w:r>
      <w:r w:rsidR="00836236" w:rsidRPr="00395738">
        <w:rPr>
          <w:rFonts w:cs="Times New Roman"/>
          <w:sz w:val="24"/>
          <w:szCs w:val="24"/>
        </w:rPr>
        <w:t>nd take preventive measures</w:t>
      </w:r>
      <w:r w:rsidR="003A4A2A" w:rsidRPr="00395738">
        <w:rPr>
          <w:rFonts w:cs="Times New Roman"/>
          <w:sz w:val="24"/>
          <w:szCs w:val="24"/>
        </w:rPr>
        <w:t xml:space="preserve"> if and where </w:t>
      </w:r>
      <w:r w:rsidR="00836236" w:rsidRPr="00395738">
        <w:rPr>
          <w:rFonts w:cs="Times New Roman"/>
          <w:color w:val="000000"/>
          <w:sz w:val="24"/>
          <w:szCs w:val="24"/>
        </w:rPr>
        <w:t>appropriate.</w:t>
      </w:r>
      <w:r w:rsidRPr="00395738">
        <w:rPr>
          <w:rFonts w:cs="Times New Roman"/>
          <w:color w:val="000000"/>
          <w:sz w:val="24"/>
          <w:szCs w:val="24"/>
        </w:rPr>
        <w:t xml:space="preserve"> </w:t>
      </w:r>
      <w:r w:rsidR="00836236" w:rsidRPr="00395738">
        <w:rPr>
          <w:rFonts w:cs="Times New Roman"/>
          <w:color w:val="000000"/>
          <w:sz w:val="24"/>
          <w:szCs w:val="24"/>
        </w:rPr>
        <w:t>Da</w:t>
      </w:r>
      <w:r w:rsidRPr="00395738">
        <w:rPr>
          <w:rFonts w:cs="Times New Roman"/>
          <w:color w:val="000000"/>
          <w:sz w:val="24"/>
          <w:szCs w:val="24"/>
        </w:rPr>
        <w:t xml:space="preserve">ta obtained </w:t>
      </w:r>
      <w:r w:rsidR="00777414" w:rsidRPr="00395738">
        <w:rPr>
          <w:rFonts w:cs="Times New Roman"/>
          <w:color w:val="000000"/>
          <w:sz w:val="24"/>
          <w:szCs w:val="24"/>
        </w:rPr>
        <w:t xml:space="preserve">through </w:t>
      </w:r>
      <w:r w:rsidRPr="00395738">
        <w:rPr>
          <w:rFonts w:cs="Times New Roman"/>
          <w:color w:val="000000"/>
          <w:sz w:val="24"/>
          <w:szCs w:val="24"/>
        </w:rPr>
        <w:t xml:space="preserve">credit registries </w:t>
      </w:r>
      <w:r w:rsidR="000F6909" w:rsidRPr="00395738">
        <w:rPr>
          <w:rFonts w:cs="Times New Roman"/>
          <w:color w:val="000000"/>
          <w:sz w:val="24"/>
          <w:szCs w:val="24"/>
        </w:rPr>
        <w:t>(</w:t>
      </w:r>
      <w:r w:rsidRPr="00395738">
        <w:rPr>
          <w:rFonts w:cs="Times New Roman"/>
          <w:color w:val="000000"/>
          <w:sz w:val="24"/>
          <w:szCs w:val="24"/>
        </w:rPr>
        <w:t>and</w:t>
      </w:r>
      <w:r w:rsidR="00D63C97" w:rsidRPr="00395738">
        <w:rPr>
          <w:rFonts w:cs="Times New Roman"/>
          <w:color w:val="000000"/>
          <w:sz w:val="24"/>
          <w:szCs w:val="24"/>
        </w:rPr>
        <w:t>/or</w:t>
      </w:r>
      <w:r w:rsidRPr="00395738">
        <w:rPr>
          <w:rFonts w:cs="Times New Roman"/>
          <w:color w:val="000000"/>
          <w:sz w:val="24"/>
          <w:szCs w:val="24"/>
        </w:rPr>
        <w:t xml:space="preserve"> other centralized credit databases</w:t>
      </w:r>
      <w:r w:rsidR="00D63C97" w:rsidRPr="00395738">
        <w:rPr>
          <w:rFonts w:cs="Times New Roman"/>
          <w:color w:val="000000"/>
          <w:sz w:val="24"/>
          <w:szCs w:val="24"/>
        </w:rPr>
        <w:t xml:space="preserve"> operated by financial sector regulators/supervisors</w:t>
      </w:r>
      <w:r w:rsidR="00836236" w:rsidRPr="00395738">
        <w:rPr>
          <w:rFonts w:cs="Times New Roman"/>
          <w:color w:val="000000"/>
          <w:sz w:val="24"/>
          <w:szCs w:val="24"/>
        </w:rPr>
        <w:t>)</w:t>
      </w:r>
      <w:r w:rsidR="00E454DA" w:rsidRPr="00395738">
        <w:rPr>
          <w:rFonts w:cs="Times New Roman"/>
          <w:color w:val="000000"/>
          <w:sz w:val="24"/>
          <w:szCs w:val="24"/>
        </w:rPr>
        <w:t xml:space="preserve"> </w:t>
      </w:r>
      <w:r w:rsidRPr="00395738">
        <w:rPr>
          <w:rFonts w:cs="Times New Roman"/>
          <w:color w:val="000000"/>
          <w:sz w:val="24"/>
          <w:szCs w:val="24"/>
        </w:rPr>
        <w:t xml:space="preserve">is </w:t>
      </w:r>
      <w:r w:rsidR="00F54E7C" w:rsidRPr="00395738">
        <w:rPr>
          <w:rFonts w:cs="Times New Roman"/>
          <w:color w:val="000000"/>
          <w:sz w:val="24"/>
          <w:szCs w:val="24"/>
        </w:rPr>
        <w:t xml:space="preserve">one of </w:t>
      </w:r>
      <w:r w:rsidRPr="00395738">
        <w:rPr>
          <w:rFonts w:cs="Times New Roman"/>
          <w:color w:val="000000"/>
          <w:sz w:val="24"/>
          <w:szCs w:val="24"/>
        </w:rPr>
        <w:t>the key input</w:t>
      </w:r>
      <w:r w:rsidR="00F54E7C" w:rsidRPr="00395738">
        <w:rPr>
          <w:rFonts w:cs="Times New Roman"/>
          <w:color w:val="000000"/>
          <w:sz w:val="24"/>
          <w:szCs w:val="24"/>
        </w:rPr>
        <w:t>s</w:t>
      </w:r>
      <w:r w:rsidRPr="00395738">
        <w:rPr>
          <w:rFonts w:cs="Times New Roman"/>
          <w:color w:val="000000"/>
          <w:sz w:val="24"/>
          <w:szCs w:val="24"/>
        </w:rPr>
        <w:t xml:space="preserve"> that allow central banks and other financial </w:t>
      </w:r>
      <w:r w:rsidR="00D63C97" w:rsidRPr="00395738">
        <w:rPr>
          <w:rFonts w:cs="Times New Roman"/>
          <w:color w:val="000000"/>
          <w:sz w:val="24"/>
          <w:szCs w:val="24"/>
        </w:rPr>
        <w:t xml:space="preserve">sector regulators and </w:t>
      </w:r>
      <w:r w:rsidRPr="00395738">
        <w:rPr>
          <w:rFonts w:cs="Times New Roman"/>
          <w:color w:val="000000"/>
          <w:sz w:val="24"/>
          <w:szCs w:val="24"/>
        </w:rPr>
        <w:t xml:space="preserve">supervisors to perform </w:t>
      </w:r>
      <w:r w:rsidR="00836236" w:rsidRPr="00395738">
        <w:rPr>
          <w:rFonts w:cs="Times New Roman"/>
          <w:color w:val="000000"/>
          <w:sz w:val="24"/>
          <w:szCs w:val="24"/>
        </w:rPr>
        <w:t xml:space="preserve">such </w:t>
      </w:r>
      <w:r w:rsidRPr="00395738">
        <w:rPr>
          <w:rFonts w:cs="Times New Roman"/>
          <w:color w:val="000000"/>
          <w:sz w:val="24"/>
          <w:szCs w:val="24"/>
        </w:rPr>
        <w:t xml:space="preserve">analyses from a systemic perspective. </w:t>
      </w:r>
      <w:r w:rsidR="00836236" w:rsidRPr="00395738">
        <w:rPr>
          <w:rFonts w:cs="Times New Roman"/>
          <w:color w:val="000000"/>
          <w:sz w:val="24"/>
          <w:szCs w:val="24"/>
        </w:rPr>
        <w:t xml:space="preserve">Moreover, </w:t>
      </w:r>
      <w:r w:rsidR="00F54E7C" w:rsidRPr="00395738">
        <w:rPr>
          <w:rFonts w:cs="Times New Roman"/>
          <w:color w:val="000000"/>
          <w:sz w:val="24"/>
          <w:szCs w:val="24"/>
        </w:rPr>
        <w:t xml:space="preserve">credit </w:t>
      </w:r>
      <w:r w:rsidR="00836236" w:rsidRPr="00395738">
        <w:rPr>
          <w:rFonts w:cs="Times New Roman"/>
          <w:color w:val="000000"/>
          <w:sz w:val="24"/>
          <w:szCs w:val="24"/>
        </w:rPr>
        <w:t xml:space="preserve">data </w:t>
      </w:r>
      <w:r w:rsidR="00C33628" w:rsidRPr="00395738">
        <w:rPr>
          <w:rFonts w:cs="Times New Roman"/>
          <w:color w:val="000000"/>
          <w:sz w:val="24"/>
          <w:szCs w:val="24"/>
        </w:rPr>
        <w:t xml:space="preserve">from these sources </w:t>
      </w:r>
      <w:r w:rsidR="00836236" w:rsidRPr="00395738">
        <w:rPr>
          <w:rFonts w:cs="Times New Roman"/>
          <w:color w:val="000000"/>
          <w:sz w:val="24"/>
          <w:szCs w:val="24"/>
        </w:rPr>
        <w:t xml:space="preserve">is crucial for the calibration of </w:t>
      </w:r>
      <w:r w:rsidR="001F4E30" w:rsidRPr="00395738">
        <w:rPr>
          <w:rFonts w:cs="Times New Roman"/>
          <w:color w:val="000000"/>
          <w:sz w:val="24"/>
          <w:szCs w:val="24"/>
        </w:rPr>
        <w:t xml:space="preserve">macro-prudential policy </w:t>
      </w:r>
      <w:r w:rsidR="00746642" w:rsidRPr="00395738">
        <w:rPr>
          <w:rFonts w:cs="Times New Roman"/>
          <w:color w:val="000000"/>
          <w:sz w:val="24"/>
          <w:szCs w:val="24"/>
        </w:rPr>
        <w:t xml:space="preserve">regulations or </w:t>
      </w:r>
      <w:r w:rsidR="001F4E30" w:rsidRPr="00395738">
        <w:rPr>
          <w:rFonts w:cs="Times New Roman"/>
          <w:color w:val="000000"/>
          <w:sz w:val="24"/>
          <w:szCs w:val="24"/>
        </w:rPr>
        <w:t>measures (e.</w:t>
      </w:r>
      <w:r w:rsidR="00E42F23" w:rsidRPr="00395738">
        <w:rPr>
          <w:rFonts w:cs="Times New Roman"/>
          <w:color w:val="000000"/>
          <w:sz w:val="24"/>
          <w:szCs w:val="24"/>
        </w:rPr>
        <w:t>g.</w:t>
      </w:r>
      <w:r w:rsidR="00D63C97" w:rsidRPr="00395738">
        <w:rPr>
          <w:rFonts w:cs="Times New Roman"/>
          <w:color w:val="000000"/>
          <w:sz w:val="24"/>
          <w:szCs w:val="24"/>
        </w:rPr>
        <w:t>,</w:t>
      </w:r>
      <w:r w:rsidR="00E42F23" w:rsidRPr="00395738">
        <w:rPr>
          <w:rFonts w:cs="Times New Roman"/>
          <w:color w:val="000000"/>
          <w:sz w:val="24"/>
          <w:szCs w:val="24"/>
        </w:rPr>
        <w:t xml:space="preserve"> </w:t>
      </w:r>
      <w:r w:rsidR="00836236" w:rsidRPr="00395738">
        <w:rPr>
          <w:rFonts w:cs="Times New Roman"/>
          <w:color w:val="000000"/>
          <w:sz w:val="24"/>
          <w:szCs w:val="24"/>
        </w:rPr>
        <w:t>counter-cyclical capital buffers</w:t>
      </w:r>
      <w:r w:rsidR="00E42F23" w:rsidRPr="00395738">
        <w:rPr>
          <w:rFonts w:cs="Times New Roman"/>
          <w:color w:val="000000"/>
          <w:sz w:val="24"/>
          <w:szCs w:val="24"/>
        </w:rPr>
        <w:t xml:space="preserve">, </w:t>
      </w:r>
      <w:r w:rsidR="00D63C97" w:rsidRPr="00395738">
        <w:rPr>
          <w:rFonts w:cs="Times New Roman"/>
          <w:color w:val="000000"/>
          <w:sz w:val="24"/>
          <w:szCs w:val="24"/>
        </w:rPr>
        <w:t xml:space="preserve">or </w:t>
      </w:r>
      <w:r w:rsidR="005E4A5F" w:rsidRPr="00395738">
        <w:rPr>
          <w:rFonts w:cs="Times New Roman"/>
          <w:color w:val="000000"/>
          <w:sz w:val="24"/>
          <w:szCs w:val="24"/>
        </w:rPr>
        <w:t>quantitative limits to certain key ratios in lending such as loan-to-value and loan-to-income).</w:t>
      </w:r>
    </w:p>
    <w:p w14:paraId="17733244" w14:textId="5009C181" w:rsidR="00C213E2" w:rsidRPr="00395738" w:rsidRDefault="00836236" w:rsidP="0061580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It should be noted that credit bureaus </w:t>
      </w:r>
      <w:r w:rsidR="00D51777" w:rsidRPr="00395738">
        <w:rPr>
          <w:rFonts w:cs="Times New Roman"/>
          <w:color w:val="000000"/>
          <w:sz w:val="24"/>
          <w:szCs w:val="24"/>
        </w:rPr>
        <w:t xml:space="preserve">and commercial credit reporting companies </w:t>
      </w:r>
      <w:r w:rsidRPr="00395738">
        <w:rPr>
          <w:rFonts w:cs="Times New Roman"/>
          <w:color w:val="000000"/>
          <w:sz w:val="24"/>
          <w:szCs w:val="24"/>
        </w:rPr>
        <w:t>can also play a role in supporting financial regulation and supervision</w:t>
      </w:r>
      <w:r w:rsidR="001C2560" w:rsidRPr="00395738">
        <w:rPr>
          <w:rFonts w:cs="Times New Roman"/>
          <w:color w:val="000000"/>
          <w:sz w:val="24"/>
          <w:szCs w:val="24"/>
        </w:rPr>
        <w:t xml:space="preserve"> and broader financial stability tasks. As a matter of fact</w:t>
      </w:r>
      <w:r w:rsidR="00E42F23" w:rsidRPr="00395738">
        <w:rPr>
          <w:rFonts w:cs="Times New Roman"/>
          <w:color w:val="000000"/>
          <w:sz w:val="24"/>
          <w:szCs w:val="24"/>
        </w:rPr>
        <w:t>,</w:t>
      </w:r>
      <w:r w:rsidR="001C2560" w:rsidRPr="00395738">
        <w:rPr>
          <w:rFonts w:cs="Times New Roman"/>
          <w:color w:val="000000"/>
          <w:sz w:val="24"/>
          <w:szCs w:val="24"/>
        </w:rPr>
        <w:t xml:space="preserve"> s</w:t>
      </w:r>
      <w:r w:rsidR="003B446F" w:rsidRPr="00395738">
        <w:rPr>
          <w:rFonts w:cs="Times New Roman"/>
          <w:color w:val="000000"/>
          <w:sz w:val="24"/>
          <w:szCs w:val="24"/>
        </w:rPr>
        <w:t xml:space="preserve">ome central banks and financial supervisors </w:t>
      </w:r>
      <w:r w:rsidR="001C2560" w:rsidRPr="00395738">
        <w:rPr>
          <w:rFonts w:cs="Times New Roman"/>
          <w:color w:val="000000"/>
          <w:sz w:val="24"/>
          <w:szCs w:val="24"/>
        </w:rPr>
        <w:t xml:space="preserve">already </w:t>
      </w:r>
      <w:r w:rsidRPr="00395738">
        <w:rPr>
          <w:rFonts w:cs="Times New Roman"/>
          <w:color w:val="000000"/>
          <w:sz w:val="24"/>
          <w:szCs w:val="24"/>
        </w:rPr>
        <w:t>re</w:t>
      </w:r>
      <w:r w:rsidR="00CD0C61" w:rsidRPr="00395738">
        <w:rPr>
          <w:rFonts w:cs="Times New Roman"/>
          <w:color w:val="000000"/>
          <w:sz w:val="24"/>
          <w:szCs w:val="24"/>
        </w:rPr>
        <w:t xml:space="preserve">sort </w:t>
      </w:r>
      <w:r w:rsidR="003B446F" w:rsidRPr="00395738">
        <w:rPr>
          <w:rFonts w:cs="Times New Roman"/>
          <w:color w:val="000000"/>
          <w:sz w:val="24"/>
          <w:szCs w:val="24"/>
        </w:rPr>
        <w:t xml:space="preserve">to credit bureaus </w:t>
      </w:r>
      <w:r w:rsidR="00AA49E8" w:rsidRPr="00395738">
        <w:rPr>
          <w:rFonts w:cs="Times New Roman"/>
          <w:color w:val="000000"/>
          <w:sz w:val="24"/>
          <w:szCs w:val="24"/>
        </w:rPr>
        <w:t xml:space="preserve">and commercial credit reporting companies </w:t>
      </w:r>
      <w:r w:rsidR="00E454DA" w:rsidRPr="00395738">
        <w:rPr>
          <w:rFonts w:cs="Times New Roman"/>
          <w:color w:val="000000"/>
          <w:sz w:val="24"/>
          <w:szCs w:val="24"/>
        </w:rPr>
        <w:t xml:space="preserve">to obtain </w:t>
      </w:r>
      <w:r w:rsidR="003B446F" w:rsidRPr="00395738">
        <w:rPr>
          <w:rFonts w:cs="Times New Roman"/>
          <w:color w:val="000000"/>
          <w:sz w:val="24"/>
          <w:szCs w:val="24"/>
        </w:rPr>
        <w:t>th</w:t>
      </w:r>
      <w:r w:rsidRPr="00395738">
        <w:rPr>
          <w:rFonts w:cs="Times New Roman"/>
          <w:color w:val="000000"/>
          <w:sz w:val="24"/>
          <w:szCs w:val="24"/>
        </w:rPr>
        <w:t>e</w:t>
      </w:r>
      <w:r w:rsidR="003B446F" w:rsidRPr="00395738">
        <w:rPr>
          <w:rFonts w:cs="Times New Roman"/>
          <w:color w:val="000000"/>
          <w:sz w:val="24"/>
          <w:szCs w:val="24"/>
        </w:rPr>
        <w:t xml:space="preserve"> data</w:t>
      </w:r>
      <w:r w:rsidRPr="00395738">
        <w:rPr>
          <w:rFonts w:cs="Times New Roman"/>
          <w:color w:val="000000"/>
          <w:sz w:val="24"/>
          <w:szCs w:val="24"/>
        </w:rPr>
        <w:t xml:space="preserve"> they need to discharge their micro- and/or macro-prudential responsibilities</w:t>
      </w:r>
      <w:r w:rsidR="005D1393" w:rsidRPr="00395738">
        <w:rPr>
          <w:rFonts w:cs="Times New Roman"/>
          <w:color w:val="000000"/>
          <w:sz w:val="24"/>
          <w:szCs w:val="24"/>
        </w:rPr>
        <w:t>.</w:t>
      </w:r>
      <w:r w:rsidR="00F5658B" w:rsidRPr="00395738">
        <w:rPr>
          <w:rStyle w:val="FootnoteReference"/>
          <w:rFonts w:cs="Times New Roman"/>
          <w:color w:val="000000"/>
          <w:sz w:val="24"/>
          <w:szCs w:val="24"/>
        </w:rPr>
        <w:footnoteReference w:id="4"/>
      </w:r>
      <w:r w:rsidR="005D1393" w:rsidRPr="00395738">
        <w:rPr>
          <w:rFonts w:cs="Times New Roman"/>
          <w:color w:val="000000"/>
          <w:sz w:val="24"/>
          <w:szCs w:val="24"/>
        </w:rPr>
        <w:t xml:space="preserve"> Depending </w:t>
      </w:r>
      <w:r w:rsidR="005D1393" w:rsidRPr="00395738">
        <w:rPr>
          <w:rFonts w:cs="Times New Roman"/>
          <w:color w:val="000000"/>
          <w:sz w:val="24"/>
          <w:szCs w:val="24"/>
        </w:rPr>
        <w:lastRenderedPageBreak/>
        <w:t>on a number of factors</w:t>
      </w:r>
      <w:r w:rsidR="001C2560" w:rsidRPr="00395738">
        <w:rPr>
          <w:rFonts w:cs="Times New Roman"/>
          <w:color w:val="000000"/>
          <w:sz w:val="24"/>
          <w:szCs w:val="24"/>
        </w:rPr>
        <w:t>,</w:t>
      </w:r>
      <w:r w:rsidR="005D1393" w:rsidRPr="00395738">
        <w:rPr>
          <w:rFonts w:cs="Times New Roman"/>
          <w:color w:val="000000"/>
          <w:sz w:val="24"/>
          <w:szCs w:val="24"/>
        </w:rPr>
        <w:t xml:space="preserve"> data in </w:t>
      </w:r>
      <w:r w:rsidR="00AA49E8" w:rsidRPr="00395738">
        <w:rPr>
          <w:rFonts w:cs="Times New Roman"/>
          <w:color w:val="000000"/>
          <w:sz w:val="24"/>
          <w:szCs w:val="24"/>
        </w:rPr>
        <w:t>these CRSPs</w:t>
      </w:r>
      <w:r w:rsidR="005D1393" w:rsidRPr="00395738">
        <w:rPr>
          <w:rFonts w:cs="Times New Roman"/>
          <w:color w:val="000000"/>
          <w:sz w:val="24"/>
          <w:szCs w:val="24"/>
        </w:rPr>
        <w:t xml:space="preserve"> may be sought as a complement to the data available in the credit registry (or other credit databases operated by financial authorities),</w:t>
      </w:r>
      <w:r w:rsidR="005D1393" w:rsidRPr="00395738">
        <w:rPr>
          <w:rStyle w:val="FootnoteReference"/>
          <w:rFonts w:cs="Times New Roman"/>
          <w:color w:val="000000"/>
          <w:sz w:val="24"/>
          <w:szCs w:val="24"/>
        </w:rPr>
        <w:footnoteReference w:id="5"/>
      </w:r>
      <w:r w:rsidR="005D1393" w:rsidRPr="00395738">
        <w:rPr>
          <w:rFonts w:cs="Times New Roman"/>
          <w:color w:val="000000"/>
          <w:sz w:val="24"/>
          <w:szCs w:val="24"/>
        </w:rPr>
        <w:t xml:space="preserve"> or </w:t>
      </w:r>
      <w:r w:rsidR="00E42F23" w:rsidRPr="00395738">
        <w:rPr>
          <w:rFonts w:cs="Times New Roman"/>
          <w:color w:val="000000"/>
          <w:sz w:val="24"/>
          <w:szCs w:val="24"/>
        </w:rPr>
        <w:t xml:space="preserve">in some cases </w:t>
      </w:r>
      <w:r w:rsidRPr="00395738">
        <w:rPr>
          <w:rFonts w:cs="Times New Roman"/>
          <w:color w:val="000000"/>
          <w:sz w:val="24"/>
          <w:szCs w:val="24"/>
        </w:rPr>
        <w:t xml:space="preserve">may </w:t>
      </w:r>
      <w:r w:rsidR="005D1393" w:rsidRPr="00395738">
        <w:rPr>
          <w:rFonts w:cs="Times New Roman"/>
          <w:color w:val="000000"/>
          <w:sz w:val="24"/>
          <w:szCs w:val="24"/>
        </w:rPr>
        <w:t xml:space="preserve">actually </w:t>
      </w:r>
      <w:r w:rsidRPr="00395738">
        <w:rPr>
          <w:rFonts w:cs="Times New Roman"/>
          <w:color w:val="000000"/>
          <w:sz w:val="24"/>
          <w:szCs w:val="24"/>
        </w:rPr>
        <w:t xml:space="preserve">be the </w:t>
      </w:r>
      <w:r w:rsidR="003B446F" w:rsidRPr="00395738">
        <w:rPr>
          <w:rFonts w:cs="Times New Roman"/>
          <w:color w:val="000000"/>
          <w:sz w:val="24"/>
          <w:szCs w:val="24"/>
        </w:rPr>
        <w:t>main</w:t>
      </w:r>
      <w:r w:rsidRPr="00395738">
        <w:rPr>
          <w:rFonts w:cs="Times New Roman"/>
          <w:color w:val="000000"/>
          <w:sz w:val="24"/>
          <w:szCs w:val="24"/>
        </w:rPr>
        <w:t xml:space="preserve"> </w:t>
      </w:r>
      <w:r w:rsidR="003B446F" w:rsidRPr="00395738">
        <w:rPr>
          <w:rFonts w:cs="Times New Roman"/>
          <w:color w:val="000000"/>
          <w:sz w:val="24"/>
          <w:szCs w:val="24"/>
        </w:rPr>
        <w:t xml:space="preserve">source </w:t>
      </w:r>
      <w:r w:rsidRPr="00395738">
        <w:rPr>
          <w:rFonts w:cs="Times New Roman"/>
          <w:color w:val="000000"/>
          <w:sz w:val="24"/>
          <w:szCs w:val="24"/>
        </w:rPr>
        <w:t>for such data</w:t>
      </w:r>
      <w:r w:rsidR="005D1393" w:rsidRPr="00395738">
        <w:rPr>
          <w:rFonts w:cs="Times New Roman"/>
          <w:color w:val="000000"/>
          <w:sz w:val="24"/>
          <w:szCs w:val="24"/>
        </w:rPr>
        <w:t xml:space="preserve">, for example </w:t>
      </w:r>
      <w:r w:rsidR="0010388E" w:rsidRPr="00395738">
        <w:rPr>
          <w:rFonts w:cs="Times New Roman"/>
          <w:color w:val="000000"/>
          <w:sz w:val="24"/>
          <w:szCs w:val="24"/>
        </w:rPr>
        <w:t xml:space="preserve">when </w:t>
      </w:r>
      <w:r w:rsidR="005D1393" w:rsidRPr="00395738">
        <w:rPr>
          <w:rFonts w:cs="Times New Roman"/>
          <w:color w:val="000000"/>
          <w:sz w:val="24"/>
          <w:szCs w:val="24"/>
        </w:rPr>
        <w:t>a credit registry does not exist</w:t>
      </w:r>
      <w:r w:rsidR="0010388E" w:rsidRPr="00395738">
        <w:rPr>
          <w:rFonts w:cs="Times New Roman"/>
          <w:color w:val="000000"/>
          <w:sz w:val="24"/>
          <w:szCs w:val="24"/>
        </w:rPr>
        <w:t xml:space="preserve"> in the corresponding jurisdiction</w:t>
      </w:r>
      <w:r w:rsidR="005D1393" w:rsidRPr="00395738">
        <w:rPr>
          <w:rFonts w:cs="Times New Roman"/>
          <w:color w:val="000000"/>
          <w:sz w:val="24"/>
          <w:szCs w:val="24"/>
        </w:rPr>
        <w:t>.</w:t>
      </w:r>
    </w:p>
    <w:p w14:paraId="395C287B" w14:textId="77777777" w:rsidR="002D68C3" w:rsidRPr="00395738" w:rsidRDefault="007259F8" w:rsidP="005D1393">
      <w:pPr>
        <w:pStyle w:val="Subtitle"/>
        <w:rPr>
          <w:rFonts w:asciiTheme="minorHAnsi" w:hAnsiTheme="minorHAnsi"/>
        </w:rPr>
      </w:pPr>
      <w:r w:rsidRPr="00395738">
        <w:rPr>
          <w:rFonts w:asciiTheme="minorHAnsi" w:hAnsiTheme="minorHAnsi"/>
        </w:rPr>
        <w:t>O</w:t>
      </w:r>
      <w:r w:rsidR="005D1393" w:rsidRPr="00395738">
        <w:rPr>
          <w:rFonts w:asciiTheme="minorHAnsi" w:hAnsiTheme="minorHAnsi"/>
        </w:rPr>
        <w:t>bjective</w:t>
      </w:r>
      <w:r w:rsidRPr="00395738">
        <w:rPr>
          <w:rFonts w:asciiTheme="minorHAnsi" w:hAnsiTheme="minorHAnsi"/>
        </w:rPr>
        <w:t>s</w:t>
      </w:r>
      <w:r w:rsidR="005D1393" w:rsidRPr="00395738">
        <w:rPr>
          <w:rFonts w:asciiTheme="minorHAnsi" w:hAnsiTheme="minorHAnsi"/>
        </w:rPr>
        <w:t xml:space="preserve"> of this report</w:t>
      </w:r>
    </w:p>
    <w:p w14:paraId="1F89BEFE" w14:textId="6F38FDAD" w:rsidR="002D68C3" w:rsidRPr="00395738" w:rsidRDefault="002D68C3" w:rsidP="0061580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Many central banks/other financial supervisors throughout the world </w:t>
      </w:r>
      <w:r w:rsidR="00D24F74" w:rsidRPr="00395738">
        <w:rPr>
          <w:rFonts w:cs="Times New Roman"/>
          <w:color w:val="000000"/>
          <w:sz w:val="24"/>
          <w:szCs w:val="24"/>
        </w:rPr>
        <w:t xml:space="preserve">still </w:t>
      </w:r>
      <w:r w:rsidRPr="00395738">
        <w:rPr>
          <w:rFonts w:cs="Times New Roman"/>
          <w:color w:val="000000"/>
          <w:sz w:val="24"/>
          <w:szCs w:val="24"/>
        </w:rPr>
        <w:t xml:space="preserve">do not rely on any form of </w:t>
      </w:r>
      <w:r w:rsidR="00D24F74" w:rsidRPr="00395738">
        <w:rPr>
          <w:rFonts w:cs="Times New Roman"/>
          <w:color w:val="000000"/>
          <w:sz w:val="24"/>
          <w:szCs w:val="24"/>
        </w:rPr>
        <w:t xml:space="preserve">credit registry, credit bureau or other </w:t>
      </w:r>
      <w:r w:rsidR="00D51777" w:rsidRPr="00395738">
        <w:rPr>
          <w:rFonts w:cs="Times New Roman"/>
          <w:color w:val="000000"/>
          <w:sz w:val="24"/>
          <w:szCs w:val="24"/>
        </w:rPr>
        <w:t>CRSP</w:t>
      </w:r>
      <w:r w:rsidRPr="00395738">
        <w:rPr>
          <w:rFonts w:cs="Times New Roman"/>
          <w:color w:val="000000"/>
          <w:sz w:val="24"/>
          <w:szCs w:val="24"/>
        </w:rPr>
        <w:t xml:space="preserve"> to support them in discharging their supervisory</w:t>
      </w:r>
      <w:r w:rsidR="00746642" w:rsidRPr="00395738">
        <w:rPr>
          <w:rFonts w:cs="Times New Roman"/>
          <w:color w:val="000000"/>
          <w:sz w:val="24"/>
          <w:szCs w:val="24"/>
        </w:rPr>
        <w:t>, regulatory</w:t>
      </w:r>
      <w:r w:rsidRPr="00395738">
        <w:rPr>
          <w:rFonts w:cs="Times New Roman"/>
          <w:color w:val="000000"/>
          <w:sz w:val="24"/>
          <w:szCs w:val="24"/>
        </w:rPr>
        <w:t xml:space="preserve"> and financial stability responsibilities. Others </w:t>
      </w:r>
      <w:r w:rsidR="00AA49E8" w:rsidRPr="00395738">
        <w:rPr>
          <w:rFonts w:cs="Times New Roman"/>
          <w:color w:val="000000"/>
          <w:sz w:val="24"/>
          <w:szCs w:val="24"/>
        </w:rPr>
        <w:t xml:space="preserve">that have already </w:t>
      </w:r>
      <w:r w:rsidRPr="00395738">
        <w:rPr>
          <w:rFonts w:cs="Times New Roman"/>
          <w:color w:val="000000"/>
          <w:sz w:val="24"/>
          <w:szCs w:val="24"/>
        </w:rPr>
        <w:t>tak</w:t>
      </w:r>
      <w:r w:rsidR="00AA49E8" w:rsidRPr="00395738">
        <w:rPr>
          <w:rFonts w:cs="Times New Roman"/>
          <w:color w:val="000000"/>
          <w:sz w:val="24"/>
          <w:szCs w:val="24"/>
        </w:rPr>
        <w:t>en s</w:t>
      </w:r>
      <w:r w:rsidRPr="00395738">
        <w:rPr>
          <w:rFonts w:cs="Times New Roman"/>
          <w:color w:val="000000"/>
          <w:sz w:val="24"/>
          <w:szCs w:val="24"/>
        </w:rPr>
        <w:t xml:space="preserve">teps in this direction are </w:t>
      </w:r>
      <w:r w:rsidR="00AA49E8" w:rsidRPr="00395738">
        <w:rPr>
          <w:rFonts w:cs="Times New Roman"/>
          <w:color w:val="000000"/>
          <w:sz w:val="24"/>
          <w:szCs w:val="24"/>
        </w:rPr>
        <w:t>modernizing the existing credit registry</w:t>
      </w:r>
      <w:r w:rsidR="00A5201F" w:rsidRPr="00395738">
        <w:rPr>
          <w:rFonts w:cs="Times New Roman"/>
          <w:color w:val="000000"/>
          <w:sz w:val="24"/>
          <w:szCs w:val="24"/>
        </w:rPr>
        <w:t>, while others are promoting improvements in credit bureaus and/or commercial credit reporting companies to ensure that these can also contribute more effectively to financial sector regulatory and supervisory tasks.</w:t>
      </w:r>
      <w:r w:rsidRPr="00395738">
        <w:rPr>
          <w:rFonts w:cs="Times New Roman"/>
          <w:color w:val="000000"/>
          <w:sz w:val="24"/>
          <w:szCs w:val="24"/>
        </w:rPr>
        <w:t xml:space="preserve"> </w:t>
      </w:r>
    </w:p>
    <w:p w14:paraId="0270D49E" w14:textId="3E78EE4F" w:rsidR="002D68C3" w:rsidRPr="00395738" w:rsidRDefault="00A5201F" w:rsidP="00615803">
      <w:pPr>
        <w:pStyle w:val="ListParagraph"/>
        <w:numPr>
          <w:ilvl w:val="0"/>
          <w:numId w:val="1"/>
        </w:numPr>
        <w:autoSpaceDE w:val="0"/>
        <w:autoSpaceDN w:val="0"/>
        <w:adjustRightInd w:val="0"/>
        <w:spacing w:after="240" w:line="360" w:lineRule="auto"/>
        <w:contextualSpacing w:val="0"/>
        <w:jc w:val="both"/>
        <w:rPr>
          <w:rFonts w:cs="Times New Roman"/>
          <w:sz w:val="24"/>
          <w:szCs w:val="24"/>
        </w:rPr>
      </w:pPr>
      <w:r w:rsidRPr="00395738">
        <w:rPr>
          <w:rFonts w:cs="Times New Roman"/>
          <w:color w:val="000000"/>
          <w:sz w:val="24"/>
          <w:szCs w:val="24"/>
        </w:rPr>
        <w:t xml:space="preserve">In this context, </w:t>
      </w:r>
      <w:r w:rsidR="002D68C3" w:rsidRPr="00395738">
        <w:rPr>
          <w:rFonts w:cs="Times New Roman"/>
          <w:color w:val="000000"/>
          <w:sz w:val="24"/>
          <w:szCs w:val="24"/>
        </w:rPr>
        <w:t xml:space="preserve">one of the </w:t>
      </w:r>
      <w:r w:rsidR="001C2560" w:rsidRPr="00395738">
        <w:rPr>
          <w:rFonts w:cs="Times New Roman"/>
          <w:color w:val="000000"/>
          <w:sz w:val="24"/>
          <w:szCs w:val="24"/>
        </w:rPr>
        <w:t xml:space="preserve">main </w:t>
      </w:r>
      <w:r w:rsidR="002D68C3" w:rsidRPr="00395738">
        <w:rPr>
          <w:rFonts w:cs="Times New Roman"/>
          <w:color w:val="000000"/>
          <w:sz w:val="24"/>
          <w:szCs w:val="24"/>
        </w:rPr>
        <w:t xml:space="preserve">purposes of this report </w:t>
      </w:r>
      <w:r w:rsidR="001C2560" w:rsidRPr="00395738">
        <w:rPr>
          <w:rFonts w:cs="Times New Roman"/>
          <w:color w:val="000000"/>
          <w:sz w:val="24"/>
          <w:szCs w:val="24"/>
        </w:rPr>
        <w:t xml:space="preserve">is </w:t>
      </w:r>
      <w:r w:rsidR="002D68C3" w:rsidRPr="00395738">
        <w:rPr>
          <w:rFonts w:cs="Times New Roman"/>
          <w:color w:val="000000"/>
          <w:sz w:val="24"/>
          <w:szCs w:val="24"/>
        </w:rPr>
        <w:t xml:space="preserve">to identify </w:t>
      </w:r>
      <w:r w:rsidR="004D108F" w:rsidRPr="00395738">
        <w:rPr>
          <w:rFonts w:cs="Times New Roman"/>
          <w:color w:val="000000"/>
          <w:sz w:val="24"/>
          <w:szCs w:val="24"/>
        </w:rPr>
        <w:t xml:space="preserve">the </w:t>
      </w:r>
      <w:r w:rsidR="001C2560" w:rsidRPr="00395738">
        <w:rPr>
          <w:rFonts w:cs="Times New Roman"/>
          <w:color w:val="000000"/>
          <w:sz w:val="24"/>
          <w:szCs w:val="24"/>
        </w:rPr>
        <w:t xml:space="preserve">key </w:t>
      </w:r>
      <w:r w:rsidR="004D108F" w:rsidRPr="00395738">
        <w:rPr>
          <w:rFonts w:cs="Times New Roman"/>
          <w:color w:val="000000"/>
          <w:sz w:val="24"/>
          <w:szCs w:val="24"/>
        </w:rPr>
        <w:t>elements</w:t>
      </w:r>
      <w:r w:rsidR="001C2560" w:rsidRPr="00395738">
        <w:rPr>
          <w:rFonts w:cs="Times New Roman"/>
          <w:color w:val="000000"/>
          <w:sz w:val="24"/>
          <w:szCs w:val="24"/>
        </w:rPr>
        <w:t xml:space="preserve"> and practices </w:t>
      </w:r>
      <w:r w:rsidR="004D108F" w:rsidRPr="00395738">
        <w:rPr>
          <w:rFonts w:cs="Times New Roman"/>
          <w:color w:val="000000"/>
          <w:sz w:val="24"/>
          <w:szCs w:val="24"/>
        </w:rPr>
        <w:t>that characterize a</w:t>
      </w:r>
      <w:r w:rsidR="002D68C3" w:rsidRPr="00395738">
        <w:rPr>
          <w:rFonts w:cs="Times New Roman"/>
          <w:color w:val="000000"/>
          <w:sz w:val="24"/>
          <w:szCs w:val="24"/>
        </w:rPr>
        <w:t xml:space="preserve"> credit reporting system </w:t>
      </w:r>
      <w:r w:rsidR="004D108F" w:rsidRPr="00395738">
        <w:rPr>
          <w:rFonts w:cs="Times New Roman"/>
          <w:color w:val="000000"/>
          <w:sz w:val="24"/>
          <w:szCs w:val="24"/>
        </w:rPr>
        <w:t xml:space="preserve">that </w:t>
      </w:r>
      <w:r w:rsidR="002D68C3" w:rsidRPr="00395738">
        <w:rPr>
          <w:rFonts w:cs="Times New Roman"/>
          <w:color w:val="000000"/>
          <w:sz w:val="24"/>
          <w:szCs w:val="24"/>
        </w:rPr>
        <w:t xml:space="preserve">is effective in supporting central banks and </w:t>
      </w:r>
      <w:r w:rsidR="00D51777" w:rsidRPr="00395738">
        <w:rPr>
          <w:rFonts w:cs="Times New Roman"/>
          <w:color w:val="000000"/>
          <w:sz w:val="24"/>
          <w:szCs w:val="24"/>
        </w:rPr>
        <w:t xml:space="preserve">other </w:t>
      </w:r>
      <w:r w:rsidR="000200BE" w:rsidRPr="00395738">
        <w:rPr>
          <w:rFonts w:cs="Times New Roman"/>
          <w:color w:val="000000"/>
          <w:sz w:val="24"/>
          <w:szCs w:val="24"/>
        </w:rPr>
        <w:t xml:space="preserve">regulators/supervisors </w:t>
      </w:r>
      <w:r w:rsidR="001C2560" w:rsidRPr="00395738">
        <w:rPr>
          <w:rFonts w:cs="Times New Roman"/>
          <w:color w:val="000000"/>
          <w:sz w:val="24"/>
          <w:szCs w:val="24"/>
        </w:rPr>
        <w:t xml:space="preserve">in discharging their </w:t>
      </w:r>
      <w:r w:rsidR="000200BE" w:rsidRPr="00395738">
        <w:rPr>
          <w:rFonts w:cs="Times New Roman"/>
          <w:color w:val="000000"/>
          <w:sz w:val="24"/>
          <w:szCs w:val="24"/>
        </w:rPr>
        <w:t xml:space="preserve">respective </w:t>
      </w:r>
      <w:r w:rsidR="001C2560" w:rsidRPr="00395738">
        <w:rPr>
          <w:rFonts w:cs="Times New Roman"/>
          <w:color w:val="000000"/>
          <w:sz w:val="24"/>
          <w:szCs w:val="24"/>
        </w:rPr>
        <w:t>micro- and macro-prudential supervisory and regulatory responsibilities</w:t>
      </w:r>
      <w:r w:rsidR="002D68C3" w:rsidRPr="00395738">
        <w:rPr>
          <w:rFonts w:cs="Times New Roman"/>
          <w:color w:val="000000"/>
          <w:sz w:val="24"/>
          <w:szCs w:val="24"/>
        </w:rPr>
        <w:t>.</w:t>
      </w:r>
      <w:r w:rsidR="001C2560" w:rsidRPr="00395738">
        <w:rPr>
          <w:rFonts w:cs="Times New Roman"/>
          <w:color w:val="000000"/>
          <w:sz w:val="24"/>
          <w:szCs w:val="24"/>
        </w:rPr>
        <w:t xml:space="preserve"> </w:t>
      </w:r>
      <w:r w:rsidR="001C2560" w:rsidRPr="00395738">
        <w:rPr>
          <w:rFonts w:cs="Times New Roman"/>
          <w:b/>
          <w:color w:val="000000"/>
          <w:sz w:val="24"/>
          <w:szCs w:val="24"/>
        </w:rPr>
        <w:t>The</w:t>
      </w:r>
      <w:r w:rsidR="00357185" w:rsidRPr="00395738">
        <w:rPr>
          <w:rFonts w:cs="Times New Roman"/>
          <w:b/>
          <w:color w:val="000000"/>
          <w:sz w:val="24"/>
          <w:szCs w:val="24"/>
        </w:rPr>
        <w:t xml:space="preserve"> </w:t>
      </w:r>
      <w:r w:rsidR="004D108F" w:rsidRPr="00395738">
        <w:rPr>
          <w:rFonts w:cs="Times New Roman"/>
          <w:b/>
          <w:color w:val="000000"/>
          <w:sz w:val="24"/>
          <w:szCs w:val="24"/>
        </w:rPr>
        <w:t xml:space="preserve">specific </w:t>
      </w:r>
      <w:r w:rsidR="00357185" w:rsidRPr="00395738">
        <w:rPr>
          <w:rFonts w:cs="Times New Roman"/>
          <w:b/>
          <w:color w:val="000000"/>
          <w:sz w:val="24"/>
          <w:szCs w:val="24"/>
        </w:rPr>
        <w:t xml:space="preserve">focus of this report </w:t>
      </w:r>
      <w:r w:rsidR="004D108F" w:rsidRPr="00395738">
        <w:rPr>
          <w:rFonts w:cs="Times New Roman"/>
          <w:b/>
          <w:color w:val="000000"/>
          <w:sz w:val="24"/>
          <w:szCs w:val="24"/>
        </w:rPr>
        <w:t xml:space="preserve">is </w:t>
      </w:r>
      <w:r w:rsidR="00357185" w:rsidRPr="00395738">
        <w:rPr>
          <w:rFonts w:cs="Times New Roman"/>
          <w:b/>
          <w:color w:val="000000"/>
          <w:sz w:val="24"/>
          <w:szCs w:val="24"/>
        </w:rPr>
        <w:t xml:space="preserve">on how </w:t>
      </w:r>
      <w:r w:rsidR="00CD0C61" w:rsidRPr="00395738">
        <w:rPr>
          <w:rFonts w:cs="Times New Roman"/>
          <w:b/>
          <w:color w:val="000000"/>
          <w:sz w:val="24"/>
          <w:szCs w:val="24"/>
        </w:rPr>
        <w:t xml:space="preserve">the various types of </w:t>
      </w:r>
      <w:r w:rsidR="00297D80" w:rsidRPr="00395738">
        <w:rPr>
          <w:rFonts w:cs="Times New Roman"/>
          <w:b/>
          <w:color w:val="000000"/>
          <w:sz w:val="24"/>
          <w:szCs w:val="24"/>
        </w:rPr>
        <w:t>CRSPs</w:t>
      </w:r>
      <w:r w:rsidR="007259F8" w:rsidRPr="00395738">
        <w:rPr>
          <w:rFonts w:cs="Times New Roman"/>
          <w:b/>
          <w:color w:val="000000"/>
          <w:sz w:val="24"/>
          <w:szCs w:val="24"/>
        </w:rPr>
        <w:t xml:space="preserve"> </w:t>
      </w:r>
      <w:r w:rsidR="004D108F" w:rsidRPr="00395738">
        <w:rPr>
          <w:rFonts w:cs="Times New Roman"/>
          <w:b/>
          <w:color w:val="000000"/>
          <w:sz w:val="24"/>
          <w:szCs w:val="24"/>
        </w:rPr>
        <w:t>are able to</w:t>
      </w:r>
      <w:r w:rsidR="00357185" w:rsidRPr="00395738">
        <w:rPr>
          <w:rFonts w:cs="Times New Roman"/>
          <w:b/>
          <w:color w:val="000000"/>
          <w:sz w:val="24"/>
          <w:szCs w:val="24"/>
        </w:rPr>
        <w:t xml:space="preserve"> satisfy </w:t>
      </w:r>
      <w:r w:rsidR="00FA0A6A" w:rsidRPr="00395738">
        <w:rPr>
          <w:rFonts w:cs="Times New Roman"/>
          <w:b/>
          <w:color w:val="000000"/>
          <w:sz w:val="24"/>
          <w:szCs w:val="24"/>
        </w:rPr>
        <w:t xml:space="preserve">the </w:t>
      </w:r>
      <w:r w:rsidR="004D108F" w:rsidRPr="00395738">
        <w:rPr>
          <w:rFonts w:cs="Times New Roman"/>
          <w:b/>
          <w:color w:val="000000"/>
          <w:sz w:val="24"/>
          <w:szCs w:val="24"/>
        </w:rPr>
        <w:t xml:space="preserve">underlying </w:t>
      </w:r>
      <w:r w:rsidR="00357185" w:rsidRPr="00395738">
        <w:rPr>
          <w:rFonts w:cs="Times New Roman"/>
          <w:b/>
          <w:color w:val="000000"/>
          <w:sz w:val="24"/>
          <w:szCs w:val="24"/>
        </w:rPr>
        <w:t>data needs</w:t>
      </w:r>
      <w:r w:rsidR="000200BE" w:rsidRPr="00395738">
        <w:rPr>
          <w:rFonts w:cs="Times New Roman"/>
          <w:b/>
          <w:color w:val="000000"/>
          <w:sz w:val="24"/>
          <w:szCs w:val="24"/>
        </w:rPr>
        <w:t xml:space="preserve"> of these authorities</w:t>
      </w:r>
      <w:r w:rsidR="00357185" w:rsidRPr="00395738">
        <w:rPr>
          <w:rFonts w:cs="Times New Roman"/>
          <w:b/>
          <w:color w:val="000000"/>
          <w:sz w:val="24"/>
          <w:szCs w:val="24"/>
        </w:rPr>
        <w:t>.</w:t>
      </w:r>
      <w:r w:rsidR="00CD0C61" w:rsidRPr="00395738">
        <w:rPr>
          <w:rStyle w:val="FootnoteReference"/>
          <w:rFonts w:cs="Times New Roman"/>
          <w:b/>
          <w:color w:val="000000"/>
          <w:sz w:val="24"/>
          <w:szCs w:val="24"/>
        </w:rPr>
        <w:footnoteReference w:id="6"/>
      </w:r>
    </w:p>
    <w:p w14:paraId="4177AEC6" w14:textId="71FFE6F1" w:rsidR="00BE78A1" w:rsidRPr="00395738" w:rsidRDefault="00BE78A1" w:rsidP="00BE78A1">
      <w:pPr>
        <w:pStyle w:val="Subtitle"/>
        <w:rPr>
          <w:rFonts w:asciiTheme="minorHAnsi" w:hAnsiTheme="minorHAnsi"/>
        </w:rPr>
      </w:pPr>
      <w:r w:rsidRPr="00395738">
        <w:rPr>
          <w:rFonts w:asciiTheme="minorHAnsi" w:hAnsiTheme="minorHAnsi"/>
        </w:rPr>
        <w:t xml:space="preserve">Structure of the </w:t>
      </w:r>
      <w:r w:rsidR="00B9362E" w:rsidRPr="00395738">
        <w:rPr>
          <w:rFonts w:asciiTheme="minorHAnsi" w:hAnsiTheme="minorHAnsi"/>
        </w:rPr>
        <w:t>r</w:t>
      </w:r>
      <w:r w:rsidRPr="00395738">
        <w:rPr>
          <w:rFonts w:asciiTheme="minorHAnsi" w:hAnsiTheme="minorHAnsi"/>
        </w:rPr>
        <w:t>eport</w:t>
      </w:r>
    </w:p>
    <w:p w14:paraId="2778B0C2" w14:textId="6D6E495B" w:rsidR="007F0E16" w:rsidRPr="00395738" w:rsidRDefault="00BE78A1" w:rsidP="007F0E16">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Chapter </w:t>
      </w:r>
      <w:r w:rsidR="00D20C03" w:rsidRPr="00395738">
        <w:rPr>
          <w:rFonts w:cs="Times New Roman"/>
          <w:color w:val="000000"/>
          <w:sz w:val="24"/>
          <w:szCs w:val="24"/>
        </w:rPr>
        <w:t>II</w:t>
      </w:r>
      <w:r w:rsidRPr="00395738">
        <w:rPr>
          <w:rFonts w:cs="Times New Roman"/>
          <w:color w:val="000000"/>
          <w:sz w:val="24"/>
          <w:szCs w:val="24"/>
        </w:rPr>
        <w:t xml:space="preserve"> provides an overview of </w:t>
      </w:r>
      <w:r w:rsidR="007F0E16" w:rsidRPr="00395738">
        <w:rPr>
          <w:rFonts w:cs="Times New Roman"/>
          <w:color w:val="000000"/>
          <w:sz w:val="24"/>
          <w:szCs w:val="24"/>
        </w:rPr>
        <w:t xml:space="preserve">the usefulness of credit data </w:t>
      </w:r>
      <w:r w:rsidR="00F063DF" w:rsidRPr="00395738">
        <w:rPr>
          <w:rFonts w:cs="Times New Roman"/>
          <w:color w:val="000000"/>
          <w:sz w:val="24"/>
          <w:szCs w:val="24"/>
        </w:rPr>
        <w:t>f</w:t>
      </w:r>
      <w:r w:rsidR="007F0E16" w:rsidRPr="00395738">
        <w:rPr>
          <w:rFonts w:cs="Times New Roman"/>
          <w:color w:val="000000"/>
          <w:sz w:val="24"/>
          <w:szCs w:val="24"/>
        </w:rPr>
        <w:t>or financial regulation, supervision and overall financial stability tasks</w:t>
      </w:r>
      <w:r w:rsidR="00CD0C61" w:rsidRPr="00395738">
        <w:rPr>
          <w:rFonts w:cs="Times New Roman"/>
          <w:color w:val="000000"/>
          <w:sz w:val="24"/>
          <w:szCs w:val="24"/>
        </w:rPr>
        <w:t>,</w:t>
      </w:r>
      <w:r w:rsidR="007F0E16" w:rsidRPr="00395738">
        <w:rPr>
          <w:rFonts w:cs="Times New Roman"/>
          <w:color w:val="000000"/>
          <w:sz w:val="24"/>
          <w:szCs w:val="24"/>
        </w:rPr>
        <w:t xml:space="preserve"> and the role </w:t>
      </w:r>
      <w:r w:rsidR="000200BE" w:rsidRPr="00395738">
        <w:rPr>
          <w:rFonts w:cs="Times New Roman"/>
          <w:color w:val="000000"/>
          <w:sz w:val="24"/>
          <w:szCs w:val="24"/>
        </w:rPr>
        <w:t xml:space="preserve">that </w:t>
      </w:r>
      <w:r w:rsidR="007F0E16" w:rsidRPr="00395738">
        <w:rPr>
          <w:rFonts w:cs="Times New Roman"/>
          <w:color w:val="000000"/>
          <w:sz w:val="24"/>
          <w:szCs w:val="24"/>
        </w:rPr>
        <w:t xml:space="preserve">the various </w:t>
      </w:r>
      <w:r w:rsidR="000200BE" w:rsidRPr="00395738">
        <w:rPr>
          <w:rFonts w:cs="Times New Roman"/>
          <w:color w:val="000000"/>
          <w:sz w:val="24"/>
          <w:szCs w:val="24"/>
        </w:rPr>
        <w:t xml:space="preserve">CRSPs </w:t>
      </w:r>
      <w:r w:rsidR="007F0E16" w:rsidRPr="00395738">
        <w:rPr>
          <w:rFonts w:cs="Times New Roman"/>
          <w:color w:val="000000"/>
          <w:sz w:val="24"/>
          <w:szCs w:val="24"/>
        </w:rPr>
        <w:t>and other centralized credit databases</w:t>
      </w:r>
      <w:r w:rsidR="000200BE" w:rsidRPr="00395738">
        <w:rPr>
          <w:rFonts w:cs="Times New Roman"/>
          <w:color w:val="000000"/>
          <w:sz w:val="24"/>
          <w:szCs w:val="24"/>
        </w:rPr>
        <w:t xml:space="preserve"> play in this regard</w:t>
      </w:r>
      <w:r w:rsidR="007F0E16" w:rsidRPr="00395738">
        <w:rPr>
          <w:rFonts w:cs="Times New Roman"/>
          <w:color w:val="000000"/>
          <w:sz w:val="24"/>
          <w:szCs w:val="24"/>
        </w:rPr>
        <w:t xml:space="preserve">. Chapters </w:t>
      </w:r>
      <w:r w:rsidR="00D20C03" w:rsidRPr="00395738">
        <w:rPr>
          <w:rFonts w:cs="Times New Roman"/>
          <w:color w:val="000000"/>
          <w:sz w:val="24"/>
          <w:szCs w:val="24"/>
        </w:rPr>
        <w:t>III</w:t>
      </w:r>
      <w:r w:rsidR="007F0E16" w:rsidRPr="00395738">
        <w:rPr>
          <w:rFonts w:cs="Times New Roman"/>
          <w:color w:val="000000"/>
          <w:sz w:val="24"/>
          <w:szCs w:val="24"/>
        </w:rPr>
        <w:t xml:space="preserve"> and </w:t>
      </w:r>
      <w:r w:rsidR="00D20C03" w:rsidRPr="00395738">
        <w:rPr>
          <w:rFonts w:cs="Times New Roman"/>
          <w:color w:val="000000"/>
          <w:sz w:val="24"/>
          <w:szCs w:val="24"/>
        </w:rPr>
        <w:t>IV</w:t>
      </w:r>
      <w:r w:rsidR="007F0E16" w:rsidRPr="00395738">
        <w:rPr>
          <w:rFonts w:cs="Times New Roman"/>
          <w:color w:val="000000"/>
          <w:sz w:val="24"/>
          <w:szCs w:val="24"/>
        </w:rPr>
        <w:t xml:space="preserve"> analyze, respectively, the data needs of micro-</w:t>
      </w:r>
      <w:r w:rsidR="003375AC" w:rsidRPr="00395738">
        <w:rPr>
          <w:rFonts w:cs="Times New Roman"/>
          <w:color w:val="000000"/>
          <w:sz w:val="24"/>
          <w:szCs w:val="24"/>
        </w:rPr>
        <w:t xml:space="preserve">prudential </w:t>
      </w:r>
      <w:r w:rsidR="00CD0C61" w:rsidRPr="00395738">
        <w:rPr>
          <w:rFonts w:cs="Times New Roman"/>
          <w:color w:val="000000"/>
          <w:sz w:val="24"/>
          <w:szCs w:val="24"/>
        </w:rPr>
        <w:t xml:space="preserve">financial </w:t>
      </w:r>
      <w:r w:rsidR="003375AC" w:rsidRPr="00395738">
        <w:rPr>
          <w:rFonts w:cs="Times New Roman"/>
          <w:color w:val="000000"/>
          <w:sz w:val="24"/>
          <w:szCs w:val="24"/>
        </w:rPr>
        <w:t xml:space="preserve">supervisors </w:t>
      </w:r>
      <w:r w:rsidR="007F0E16" w:rsidRPr="00395738">
        <w:rPr>
          <w:rFonts w:cs="Times New Roman"/>
          <w:color w:val="000000"/>
          <w:sz w:val="24"/>
          <w:szCs w:val="24"/>
        </w:rPr>
        <w:t xml:space="preserve">and macro-prudential </w:t>
      </w:r>
      <w:r w:rsidR="00CD0C61" w:rsidRPr="00395738">
        <w:rPr>
          <w:rFonts w:cs="Times New Roman"/>
          <w:color w:val="000000"/>
          <w:sz w:val="24"/>
          <w:szCs w:val="24"/>
        </w:rPr>
        <w:t xml:space="preserve">financial sector </w:t>
      </w:r>
      <w:r w:rsidR="003375AC" w:rsidRPr="00395738">
        <w:rPr>
          <w:rFonts w:cs="Times New Roman"/>
          <w:color w:val="000000"/>
          <w:sz w:val="24"/>
          <w:szCs w:val="24"/>
        </w:rPr>
        <w:t>authorities</w:t>
      </w:r>
      <w:r w:rsidR="007F0E16" w:rsidRPr="00395738">
        <w:rPr>
          <w:rFonts w:cs="Times New Roman"/>
          <w:color w:val="000000"/>
          <w:sz w:val="24"/>
          <w:szCs w:val="24"/>
        </w:rPr>
        <w:t xml:space="preserve">, with a special focus on how such data is sourced </w:t>
      </w:r>
      <w:r w:rsidR="007F0E16" w:rsidRPr="00395738">
        <w:rPr>
          <w:rFonts w:cs="Times New Roman"/>
          <w:color w:val="000000"/>
          <w:sz w:val="24"/>
          <w:szCs w:val="24"/>
        </w:rPr>
        <w:lastRenderedPageBreak/>
        <w:t xml:space="preserve">from CRSPs as well as on the obstacles and other difficulties for </w:t>
      </w:r>
      <w:r w:rsidR="00CD0C61" w:rsidRPr="00395738">
        <w:rPr>
          <w:rFonts w:cs="Times New Roman"/>
          <w:color w:val="000000"/>
          <w:sz w:val="24"/>
          <w:szCs w:val="24"/>
        </w:rPr>
        <w:t xml:space="preserve">these </w:t>
      </w:r>
      <w:r w:rsidR="007F0E16" w:rsidRPr="00395738">
        <w:rPr>
          <w:rFonts w:cs="Times New Roman"/>
          <w:color w:val="000000"/>
          <w:sz w:val="24"/>
          <w:szCs w:val="24"/>
        </w:rPr>
        <w:t xml:space="preserve">supervisors </w:t>
      </w:r>
      <w:r w:rsidR="00CD0C61" w:rsidRPr="00395738">
        <w:rPr>
          <w:rFonts w:cs="Times New Roman"/>
          <w:color w:val="000000"/>
          <w:sz w:val="24"/>
          <w:szCs w:val="24"/>
        </w:rPr>
        <w:t xml:space="preserve">and other authorities </w:t>
      </w:r>
      <w:r w:rsidR="007F0E16" w:rsidRPr="00395738">
        <w:rPr>
          <w:rFonts w:cs="Times New Roman"/>
          <w:color w:val="000000"/>
          <w:sz w:val="24"/>
          <w:szCs w:val="24"/>
        </w:rPr>
        <w:t>to be able to use this data effectively</w:t>
      </w:r>
      <w:r w:rsidR="007F0E16" w:rsidRPr="00395738">
        <w:rPr>
          <w:rFonts w:cs="Times New Roman"/>
          <w:sz w:val="24"/>
          <w:szCs w:val="24"/>
        </w:rPr>
        <w:t xml:space="preserve">. </w:t>
      </w:r>
      <w:r w:rsidR="00297D80" w:rsidRPr="00395738">
        <w:rPr>
          <w:rFonts w:cs="Times New Roman"/>
          <w:sz w:val="24"/>
          <w:szCs w:val="24"/>
        </w:rPr>
        <w:t xml:space="preserve">Similarly, chapter </w:t>
      </w:r>
      <w:r w:rsidR="00D20C03" w:rsidRPr="00395738">
        <w:rPr>
          <w:rFonts w:cs="Times New Roman"/>
          <w:sz w:val="24"/>
          <w:szCs w:val="24"/>
        </w:rPr>
        <w:t>V</w:t>
      </w:r>
      <w:r w:rsidR="00297D80" w:rsidRPr="00395738">
        <w:rPr>
          <w:rFonts w:cs="Times New Roman"/>
          <w:sz w:val="24"/>
          <w:szCs w:val="24"/>
        </w:rPr>
        <w:t xml:space="preserve"> discusses credit data needs for the purposes of financial </w:t>
      </w:r>
      <w:r w:rsidR="00F76096" w:rsidRPr="00395738">
        <w:rPr>
          <w:rFonts w:cs="Times New Roman"/>
          <w:sz w:val="24"/>
          <w:szCs w:val="24"/>
        </w:rPr>
        <w:t xml:space="preserve">sector </w:t>
      </w:r>
      <w:r w:rsidR="00297D80" w:rsidRPr="00395738">
        <w:rPr>
          <w:rFonts w:cs="Times New Roman"/>
          <w:sz w:val="24"/>
          <w:szCs w:val="24"/>
        </w:rPr>
        <w:t>regulation</w:t>
      </w:r>
      <w:r w:rsidR="000200BE" w:rsidRPr="00395738">
        <w:rPr>
          <w:rFonts w:cs="Times New Roman"/>
          <w:sz w:val="24"/>
          <w:szCs w:val="24"/>
        </w:rPr>
        <w:t>-making</w:t>
      </w:r>
      <w:r w:rsidR="00297D80" w:rsidRPr="00395738">
        <w:rPr>
          <w:rFonts w:cs="Times New Roman"/>
          <w:sz w:val="24"/>
          <w:szCs w:val="24"/>
        </w:rPr>
        <w:t xml:space="preserve">. </w:t>
      </w:r>
      <w:r w:rsidR="007F0E16" w:rsidRPr="00395738">
        <w:rPr>
          <w:rFonts w:cs="Times New Roman"/>
          <w:color w:val="000000"/>
          <w:sz w:val="24"/>
          <w:szCs w:val="24"/>
        </w:rPr>
        <w:t xml:space="preserve">Chapter </w:t>
      </w:r>
      <w:r w:rsidR="00D20C03" w:rsidRPr="00395738">
        <w:rPr>
          <w:rFonts w:cs="Times New Roman"/>
          <w:color w:val="000000"/>
          <w:sz w:val="24"/>
          <w:szCs w:val="24"/>
        </w:rPr>
        <w:t>VI</w:t>
      </w:r>
      <w:r w:rsidR="007F0E16" w:rsidRPr="00395738">
        <w:rPr>
          <w:rFonts w:cs="Times New Roman"/>
          <w:color w:val="000000"/>
          <w:sz w:val="24"/>
          <w:szCs w:val="24"/>
        </w:rPr>
        <w:t xml:space="preserve"> </w:t>
      </w:r>
      <w:r w:rsidR="006110E7" w:rsidRPr="00395738">
        <w:rPr>
          <w:rFonts w:cs="Times New Roman"/>
          <w:color w:val="000000"/>
          <w:sz w:val="24"/>
          <w:szCs w:val="24"/>
        </w:rPr>
        <w:t xml:space="preserve">presents some concluding remarks through the identification of the main </w:t>
      </w:r>
      <w:r w:rsidR="00466185" w:rsidRPr="00395738">
        <w:rPr>
          <w:rFonts w:cs="Times New Roman"/>
          <w:color w:val="000000"/>
          <w:sz w:val="24"/>
          <w:szCs w:val="24"/>
        </w:rPr>
        <w:t xml:space="preserve">trends </w:t>
      </w:r>
      <w:r w:rsidR="006110E7" w:rsidRPr="00395738">
        <w:rPr>
          <w:rFonts w:cs="Times New Roman"/>
          <w:color w:val="000000"/>
          <w:sz w:val="24"/>
          <w:szCs w:val="24"/>
        </w:rPr>
        <w:t>observed in the</w:t>
      </w:r>
      <w:r w:rsidR="00EC272F" w:rsidRPr="00395738">
        <w:rPr>
          <w:rFonts w:cs="Times New Roman"/>
          <w:color w:val="000000"/>
          <w:sz w:val="24"/>
          <w:szCs w:val="24"/>
        </w:rPr>
        <w:t xml:space="preserve"> above-mentioned </w:t>
      </w:r>
      <w:r w:rsidR="006110E7" w:rsidRPr="00395738">
        <w:rPr>
          <w:rFonts w:cs="Times New Roman"/>
          <w:color w:val="000000"/>
          <w:sz w:val="24"/>
          <w:szCs w:val="24"/>
        </w:rPr>
        <w:t>areas</w:t>
      </w:r>
      <w:r w:rsidR="00EC272F" w:rsidRPr="00395738">
        <w:rPr>
          <w:rFonts w:cs="Times New Roman"/>
          <w:color w:val="000000"/>
          <w:sz w:val="24"/>
          <w:szCs w:val="24"/>
        </w:rPr>
        <w:t>,</w:t>
      </w:r>
      <w:r w:rsidR="006110E7" w:rsidRPr="00395738">
        <w:rPr>
          <w:rFonts w:cs="Times New Roman"/>
          <w:color w:val="000000"/>
          <w:sz w:val="24"/>
          <w:szCs w:val="24"/>
        </w:rPr>
        <w:t xml:space="preserve"> and the key challenges associated with each of these trends</w:t>
      </w:r>
      <w:r w:rsidR="00413BC8" w:rsidRPr="00395738">
        <w:rPr>
          <w:rFonts w:cs="Times New Roman"/>
          <w:color w:val="000000"/>
          <w:sz w:val="24"/>
          <w:szCs w:val="24"/>
        </w:rPr>
        <w:t xml:space="preserve">. </w:t>
      </w:r>
    </w:p>
    <w:p w14:paraId="14CC9DA0" w14:textId="77777777" w:rsidR="00FE0222" w:rsidRPr="00395738" w:rsidRDefault="00FE0222">
      <w:pPr>
        <w:rPr>
          <w:rFonts w:cs="Times New Roman"/>
          <w:color w:val="000000"/>
          <w:sz w:val="24"/>
          <w:szCs w:val="24"/>
        </w:rPr>
      </w:pPr>
      <w:r w:rsidRPr="00395738">
        <w:rPr>
          <w:rFonts w:cs="Times New Roman"/>
          <w:color w:val="000000"/>
          <w:sz w:val="24"/>
          <w:szCs w:val="24"/>
        </w:rPr>
        <w:br w:type="page"/>
      </w:r>
    </w:p>
    <w:p w14:paraId="08C7C0A5" w14:textId="4BA7DF6A" w:rsidR="00007843" w:rsidRPr="00395738" w:rsidRDefault="003E598D" w:rsidP="00942E73">
      <w:pPr>
        <w:pStyle w:val="Heading1"/>
        <w:numPr>
          <w:ilvl w:val="0"/>
          <w:numId w:val="2"/>
        </w:numPr>
        <w:spacing w:after="480"/>
      </w:pPr>
      <w:bookmarkStart w:id="3" w:name="_Toc427686023"/>
      <w:r w:rsidRPr="00395738">
        <w:lastRenderedPageBreak/>
        <w:t xml:space="preserve">The quest for </w:t>
      </w:r>
      <w:r w:rsidR="0031322E" w:rsidRPr="00395738">
        <w:t xml:space="preserve">credit </w:t>
      </w:r>
      <w:r w:rsidRPr="00395738">
        <w:t xml:space="preserve">data useful for </w:t>
      </w:r>
      <w:r w:rsidR="0031322E" w:rsidRPr="00395738">
        <w:t xml:space="preserve">Financial </w:t>
      </w:r>
      <w:r w:rsidR="007C5426" w:rsidRPr="00395738">
        <w:t xml:space="preserve">Supervision, </w:t>
      </w:r>
      <w:r w:rsidR="007259F8" w:rsidRPr="00395738">
        <w:t>Regulation</w:t>
      </w:r>
      <w:r w:rsidR="007C5426" w:rsidRPr="00395738">
        <w:t xml:space="preserve"> a</w:t>
      </w:r>
      <w:r w:rsidR="007259F8" w:rsidRPr="00395738">
        <w:t xml:space="preserve">nd </w:t>
      </w:r>
      <w:r w:rsidR="007424D5" w:rsidRPr="00395738">
        <w:t xml:space="preserve">overall </w:t>
      </w:r>
      <w:r w:rsidR="007259F8" w:rsidRPr="00395738">
        <w:t xml:space="preserve">Financial Stability </w:t>
      </w:r>
      <w:r w:rsidR="0031322E" w:rsidRPr="00395738">
        <w:t>T</w:t>
      </w:r>
      <w:r w:rsidR="007259F8" w:rsidRPr="00395738">
        <w:t>asks</w:t>
      </w:r>
      <w:bookmarkEnd w:id="3"/>
    </w:p>
    <w:p w14:paraId="72363249" w14:textId="0C169C8D" w:rsidR="007424D5" w:rsidRPr="00395738" w:rsidRDefault="007424D5" w:rsidP="007424D5">
      <w:pPr>
        <w:pStyle w:val="Subtitle"/>
        <w:spacing w:before="480" w:after="240"/>
        <w:rPr>
          <w:rFonts w:asciiTheme="minorHAnsi" w:hAnsiTheme="minorHAnsi"/>
        </w:rPr>
      </w:pPr>
      <w:r w:rsidRPr="00395738">
        <w:rPr>
          <w:rFonts w:asciiTheme="minorHAnsi" w:hAnsiTheme="minorHAnsi"/>
        </w:rPr>
        <w:t xml:space="preserve">II.1 Credit </w:t>
      </w:r>
      <w:r w:rsidR="00B9362E" w:rsidRPr="00395738">
        <w:rPr>
          <w:rFonts w:asciiTheme="minorHAnsi" w:hAnsiTheme="minorHAnsi"/>
        </w:rPr>
        <w:t>r</w:t>
      </w:r>
      <w:r w:rsidRPr="00395738">
        <w:rPr>
          <w:rFonts w:asciiTheme="minorHAnsi" w:hAnsiTheme="minorHAnsi"/>
        </w:rPr>
        <w:t xml:space="preserve">egistries, </w:t>
      </w:r>
      <w:r w:rsidR="00B9362E" w:rsidRPr="00395738">
        <w:rPr>
          <w:rFonts w:asciiTheme="minorHAnsi" w:hAnsiTheme="minorHAnsi"/>
        </w:rPr>
        <w:t>c</w:t>
      </w:r>
      <w:r w:rsidRPr="00395738">
        <w:rPr>
          <w:rFonts w:asciiTheme="minorHAnsi" w:hAnsiTheme="minorHAnsi"/>
        </w:rPr>
        <w:t xml:space="preserve">redit </w:t>
      </w:r>
      <w:r w:rsidR="00B9362E" w:rsidRPr="00395738">
        <w:rPr>
          <w:rFonts w:asciiTheme="minorHAnsi" w:hAnsiTheme="minorHAnsi"/>
        </w:rPr>
        <w:t>b</w:t>
      </w:r>
      <w:r w:rsidRPr="00395738">
        <w:rPr>
          <w:rFonts w:asciiTheme="minorHAnsi" w:hAnsiTheme="minorHAnsi"/>
        </w:rPr>
        <w:t>ureaus</w:t>
      </w:r>
      <w:r w:rsidR="008D050A" w:rsidRPr="00395738">
        <w:rPr>
          <w:rFonts w:asciiTheme="minorHAnsi" w:hAnsiTheme="minorHAnsi"/>
        </w:rPr>
        <w:t xml:space="preserve">, </w:t>
      </w:r>
      <w:r w:rsidR="00B9362E" w:rsidRPr="00395738">
        <w:rPr>
          <w:rFonts w:asciiTheme="minorHAnsi" w:hAnsiTheme="minorHAnsi"/>
        </w:rPr>
        <w:t>c</w:t>
      </w:r>
      <w:r w:rsidR="008D050A" w:rsidRPr="00395738">
        <w:rPr>
          <w:rFonts w:asciiTheme="minorHAnsi" w:hAnsiTheme="minorHAnsi"/>
        </w:rPr>
        <w:t xml:space="preserve">ommercial </w:t>
      </w:r>
      <w:r w:rsidR="00B9362E" w:rsidRPr="00395738">
        <w:rPr>
          <w:rFonts w:asciiTheme="minorHAnsi" w:hAnsiTheme="minorHAnsi"/>
        </w:rPr>
        <w:t>c</w:t>
      </w:r>
      <w:r w:rsidR="008D050A" w:rsidRPr="00395738">
        <w:rPr>
          <w:rFonts w:asciiTheme="minorHAnsi" w:hAnsiTheme="minorHAnsi"/>
        </w:rPr>
        <w:t xml:space="preserve">redit </w:t>
      </w:r>
      <w:r w:rsidR="00B9362E" w:rsidRPr="00395738">
        <w:rPr>
          <w:rFonts w:asciiTheme="minorHAnsi" w:hAnsiTheme="minorHAnsi"/>
        </w:rPr>
        <w:t>r</w:t>
      </w:r>
      <w:r w:rsidR="008D050A" w:rsidRPr="00395738">
        <w:rPr>
          <w:rFonts w:asciiTheme="minorHAnsi" w:hAnsiTheme="minorHAnsi"/>
        </w:rPr>
        <w:t xml:space="preserve">eporting </w:t>
      </w:r>
      <w:r w:rsidR="00B9362E" w:rsidRPr="00395738">
        <w:rPr>
          <w:rFonts w:asciiTheme="minorHAnsi" w:hAnsiTheme="minorHAnsi"/>
        </w:rPr>
        <w:t>c</w:t>
      </w:r>
      <w:r w:rsidR="008D050A" w:rsidRPr="00395738">
        <w:rPr>
          <w:rFonts w:asciiTheme="minorHAnsi" w:hAnsiTheme="minorHAnsi"/>
        </w:rPr>
        <w:t>ompanies</w:t>
      </w:r>
      <w:r w:rsidRPr="00395738">
        <w:rPr>
          <w:rFonts w:asciiTheme="minorHAnsi" w:hAnsiTheme="minorHAnsi"/>
        </w:rPr>
        <w:t xml:space="preserve"> and other </w:t>
      </w:r>
      <w:r w:rsidR="00B9362E" w:rsidRPr="00395738">
        <w:rPr>
          <w:rFonts w:asciiTheme="minorHAnsi" w:hAnsiTheme="minorHAnsi"/>
        </w:rPr>
        <w:t>c</w:t>
      </w:r>
      <w:r w:rsidRPr="00395738">
        <w:rPr>
          <w:rFonts w:asciiTheme="minorHAnsi" w:hAnsiTheme="minorHAnsi"/>
        </w:rPr>
        <w:t xml:space="preserve">redit </w:t>
      </w:r>
      <w:r w:rsidR="00B9362E" w:rsidRPr="00395738">
        <w:rPr>
          <w:rFonts w:asciiTheme="minorHAnsi" w:hAnsiTheme="minorHAnsi"/>
        </w:rPr>
        <w:t>d</w:t>
      </w:r>
      <w:r w:rsidRPr="00395738">
        <w:rPr>
          <w:rFonts w:asciiTheme="minorHAnsi" w:hAnsiTheme="minorHAnsi"/>
        </w:rPr>
        <w:t>atabases</w:t>
      </w:r>
    </w:p>
    <w:p w14:paraId="24340B24" w14:textId="5BFE8171" w:rsidR="00EF3C95" w:rsidRPr="00395738" w:rsidRDefault="00614850" w:rsidP="00761BC8">
      <w:pPr>
        <w:pStyle w:val="ListParagraph"/>
        <w:numPr>
          <w:ilvl w:val="0"/>
          <w:numId w:val="1"/>
        </w:numPr>
        <w:autoSpaceDE w:val="0"/>
        <w:autoSpaceDN w:val="0"/>
        <w:adjustRightInd w:val="0"/>
        <w:spacing w:after="180" w:line="360" w:lineRule="auto"/>
        <w:contextualSpacing w:val="0"/>
        <w:jc w:val="both"/>
        <w:rPr>
          <w:rFonts w:cs="Times New Roman"/>
          <w:color w:val="000000"/>
          <w:sz w:val="24"/>
          <w:szCs w:val="24"/>
        </w:rPr>
      </w:pPr>
      <w:r w:rsidRPr="00395738">
        <w:rPr>
          <w:rFonts w:cs="Times New Roman"/>
          <w:color w:val="000000"/>
          <w:sz w:val="24"/>
          <w:szCs w:val="24"/>
        </w:rPr>
        <w:t>From a policy perspective, perhaps the most important role of credit reporting consists in addressing information asymmetries between creditors and borrowers in order to facilitate an eff</w:t>
      </w:r>
      <w:r w:rsidR="00C33628" w:rsidRPr="00395738">
        <w:rPr>
          <w:rFonts w:cs="Times New Roman"/>
          <w:color w:val="000000"/>
          <w:sz w:val="24"/>
          <w:szCs w:val="24"/>
        </w:rPr>
        <w:t>icient and cost effective</w:t>
      </w:r>
      <w:r w:rsidRPr="00395738">
        <w:rPr>
          <w:rFonts w:cs="Times New Roman"/>
          <w:color w:val="000000"/>
          <w:sz w:val="24"/>
          <w:szCs w:val="24"/>
        </w:rPr>
        <w:t xml:space="preserve"> credit risk assessment. </w:t>
      </w:r>
      <w:r w:rsidR="00EF3C95" w:rsidRPr="00395738">
        <w:rPr>
          <w:rFonts w:cs="Times New Roman"/>
          <w:color w:val="000000"/>
          <w:sz w:val="24"/>
          <w:szCs w:val="24"/>
        </w:rPr>
        <w:t xml:space="preserve">Through this means, credit reporting </w:t>
      </w:r>
      <w:r w:rsidR="005461E4" w:rsidRPr="00395738">
        <w:rPr>
          <w:rFonts w:cs="Times New Roman"/>
          <w:color w:val="000000"/>
          <w:sz w:val="24"/>
          <w:szCs w:val="24"/>
        </w:rPr>
        <w:t xml:space="preserve">can help achieve lower </w:t>
      </w:r>
      <w:r w:rsidR="00EF3C95" w:rsidRPr="00395738">
        <w:rPr>
          <w:rFonts w:cs="Times New Roman"/>
          <w:color w:val="000000"/>
          <w:sz w:val="24"/>
          <w:szCs w:val="24"/>
        </w:rPr>
        <w:t xml:space="preserve">lending </w:t>
      </w:r>
      <w:r w:rsidR="005461E4" w:rsidRPr="00395738">
        <w:rPr>
          <w:rFonts w:cs="Times New Roman"/>
          <w:color w:val="000000"/>
          <w:sz w:val="24"/>
          <w:szCs w:val="24"/>
        </w:rPr>
        <w:t xml:space="preserve">costs, which in competitive markets are passed on to borrowers in the form of lower cost of capital. Moreover, it can enhance access to credit </w:t>
      </w:r>
      <w:r w:rsidR="00EC272F" w:rsidRPr="00395738">
        <w:rPr>
          <w:rFonts w:cs="Times New Roman"/>
          <w:color w:val="000000"/>
          <w:sz w:val="24"/>
          <w:szCs w:val="24"/>
        </w:rPr>
        <w:t>for</w:t>
      </w:r>
      <w:r w:rsidR="005461E4" w:rsidRPr="00395738">
        <w:rPr>
          <w:rFonts w:cs="Times New Roman"/>
          <w:color w:val="000000"/>
          <w:sz w:val="24"/>
          <w:szCs w:val="24"/>
        </w:rPr>
        <w:t xml:space="preserve"> individuals and firms.</w:t>
      </w:r>
    </w:p>
    <w:p w14:paraId="7B9C17DA" w14:textId="2A309191" w:rsidR="005461E4" w:rsidRPr="00395738" w:rsidRDefault="007C4EB7" w:rsidP="00761BC8">
      <w:pPr>
        <w:pStyle w:val="ListParagraph"/>
        <w:numPr>
          <w:ilvl w:val="0"/>
          <w:numId w:val="1"/>
        </w:numPr>
        <w:autoSpaceDE w:val="0"/>
        <w:autoSpaceDN w:val="0"/>
        <w:adjustRightInd w:val="0"/>
        <w:spacing w:after="180" w:line="360" w:lineRule="auto"/>
        <w:contextualSpacing w:val="0"/>
        <w:jc w:val="both"/>
        <w:rPr>
          <w:rFonts w:cs="Times New Roman"/>
          <w:color w:val="000000"/>
          <w:sz w:val="24"/>
          <w:szCs w:val="24"/>
        </w:rPr>
      </w:pPr>
      <w:r w:rsidRPr="00395738">
        <w:rPr>
          <w:rFonts w:cs="Times New Roman"/>
          <w:color w:val="000000"/>
          <w:sz w:val="24"/>
          <w:szCs w:val="24"/>
        </w:rPr>
        <w:t>C</w:t>
      </w:r>
      <w:r w:rsidR="005461E4" w:rsidRPr="00395738">
        <w:rPr>
          <w:rFonts w:cs="Times New Roman"/>
          <w:color w:val="000000"/>
          <w:sz w:val="24"/>
          <w:szCs w:val="24"/>
        </w:rPr>
        <w:t xml:space="preserve">redit reporting also </w:t>
      </w:r>
      <w:r w:rsidR="002C0532" w:rsidRPr="00395738">
        <w:rPr>
          <w:rFonts w:cs="Times New Roman"/>
          <w:color w:val="000000"/>
          <w:sz w:val="24"/>
          <w:szCs w:val="24"/>
        </w:rPr>
        <w:t xml:space="preserve">contributes to </w:t>
      </w:r>
      <w:r w:rsidR="005461E4" w:rsidRPr="00395738">
        <w:rPr>
          <w:rFonts w:cs="Times New Roman"/>
          <w:color w:val="000000"/>
          <w:sz w:val="24"/>
          <w:szCs w:val="24"/>
        </w:rPr>
        <w:t>financial stability</w:t>
      </w:r>
      <w:r w:rsidR="00527E10" w:rsidRPr="00395738">
        <w:rPr>
          <w:rFonts w:cs="Times New Roman"/>
          <w:color w:val="000000"/>
          <w:sz w:val="24"/>
          <w:szCs w:val="24"/>
        </w:rPr>
        <w:t xml:space="preserve">. For example, </w:t>
      </w:r>
      <w:r w:rsidR="0003351B" w:rsidRPr="00395738">
        <w:rPr>
          <w:rFonts w:cs="Times New Roman"/>
          <w:color w:val="000000"/>
          <w:sz w:val="24"/>
          <w:szCs w:val="24"/>
        </w:rPr>
        <w:t xml:space="preserve">services offered by </w:t>
      </w:r>
      <w:r w:rsidR="00EC272F" w:rsidRPr="00395738">
        <w:rPr>
          <w:rFonts w:cs="Times New Roman"/>
          <w:color w:val="000000"/>
          <w:sz w:val="24"/>
          <w:szCs w:val="24"/>
        </w:rPr>
        <w:t>CRSPs</w:t>
      </w:r>
      <w:r w:rsidR="00527E10" w:rsidRPr="00395738">
        <w:rPr>
          <w:rFonts w:cs="Times New Roman"/>
          <w:color w:val="000000"/>
          <w:sz w:val="24"/>
          <w:szCs w:val="24"/>
        </w:rPr>
        <w:t xml:space="preserve"> help improve </w:t>
      </w:r>
      <w:r w:rsidR="005461E4" w:rsidRPr="00395738">
        <w:rPr>
          <w:rFonts w:cs="Times New Roman"/>
          <w:color w:val="000000"/>
          <w:sz w:val="24"/>
          <w:szCs w:val="24"/>
        </w:rPr>
        <w:t xml:space="preserve">the quality of loans </w:t>
      </w:r>
      <w:r w:rsidR="00527E10" w:rsidRPr="00395738">
        <w:rPr>
          <w:rFonts w:cs="Times New Roman"/>
          <w:color w:val="000000"/>
          <w:sz w:val="24"/>
          <w:szCs w:val="24"/>
        </w:rPr>
        <w:t>made by</w:t>
      </w:r>
      <w:r w:rsidR="005461E4" w:rsidRPr="00395738">
        <w:rPr>
          <w:rFonts w:cs="Times New Roman"/>
          <w:color w:val="000000"/>
          <w:sz w:val="24"/>
          <w:szCs w:val="24"/>
        </w:rPr>
        <w:t xml:space="preserve"> banks and other lenders through </w:t>
      </w:r>
      <w:r w:rsidR="00527E10" w:rsidRPr="00395738">
        <w:rPr>
          <w:rFonts w:cs="Times New Roman"/>
          <w:color w:val="000000"/>
          <w:sz w:val="24"/>
          <w:szCs w:val="24"/>
        </w:rPr>
        <w:t>the provision of</w:t>
      </w:r>
      <w:r w:rsidR="00EF3C95" w:rsidRPr="00395738">
        <w:rPr>
          <w:rFonts w:cs="Times New Roman"/>
          <w:color w:val="000000"/>
          <w:sz w:val="24"/>
          <w:szCs w:val="24"/>
        </w:rPr>
        <w:t xml:space="preserve"> </w:t>
      </w:r>
      <w:r w:rsidR="00527E10" w:rsidRPr="00395738">
        <w:rPr>
          <w:rFonts w:cs="Times New Roman"/>
          <w:color w:val="000000"/>
          <w:sz w:val="24"/>
          <w:szCs w:val="24"/>
        </w:rPr>
        <w:t>t</w:t>
      </w:r>
      <w:r w:rsidR="00EF3C95" w:rsidRPr="00395738">
        <w:rPr>
          <w:rFonts w:cs="Times New Roman"/>
          <w:color w:val="000000"/>
          <w:sz w:val="24"/>
          <w:szCs w:val="24"/>
        </w:rPr>
        <w:t>ool</w:t>
      </w:r>
      <w:r w:rsidR="00527E10" w:rsidRPr="00395738">
        <w:rPr>
          <w:rFonts w:cs="Times New Roman"/>
          <w:color w:val="000000"/>
          <w:sz w:val="24"/>
          <w:szCs w:val="24"/>
        </w:rPr>
        <w:t>s</w:t>
      </w:r>
      <w:r w:rsidR="00EF3C95" w:rsidRPr="00395738">
        <w:rPr>
          <w:rFonts w:cs="Times New Roman"/>
          <w:color w:val="000000"/>
          <w:sz w:val="24"/>
          <w:szCs w:val="24"/>
        </w:rPr>
        <w:t xml:space="preserve"> to evaluate credit risk </w:t>
      </w:r>
      <w:r w:rsidR="00527E10" w:rsidRPr="00395738">
        <w:rPr>
          <w:rFonts w:cs="Times New Roman"/>
          <w:color w:val="000000"/>
          <w:sz w:val="24"/>
          <w:szCs w:val="24"/>
        </w:rPr>
        <w:t xml:space="preserve">more effectively and consistently, </w:t>
      </w:r>
      <w:r w:rsidR="00EF3C95" w:rsidRPr="00395738">
        <w:rPr>
          <w:rFonts w:cs="Times New Roman"/>
          <w:color w:val="000000"/>
          <w:sz w:val="24"/>
          <w:szCs w:val="24"/>
        </w:rPr>
        <w:t xml:space="preserve">as well as </w:t>
      </w:r>
      <w:r w:rsidR="00527E10" w:rsidRPr="00395738">
        <w:rPr>
          <w:rFonts w:cs="Times New Roman"/>
          <w:color w:val="000000"/>
          <w:sz w:val="24"/>
          <w:szCs w:val="24"/>
        </w:rPr>
        <w:t xml:space="preserve">for the active </w:t>
      </w:r>
      <w:r w:rsidR="00EF3C95" w:rsidRPr="00395738">
        <w:rPr>
          <w:rFonts w:cs="Times New Roman"/>
          <w:color w:val="000000"/>
          <w:sz w:val="24"/>
          <w:szCs w:val="24"/>
        </w:rPr>
        <w:t>manage</w:t>
      </w:r>
      <w:r w:rsidR="00527E10" w:rsidRPr="00395738">
        <w:rPr>
          <w:rFonts w:cs="Times New Roman"/>
          <w:color w:val="000000"/>
          <w:sz w:val="24"/>
          <w:szCs w:val="24"/>
        </w:rPr>
        <w:t>ment of the</w:t>
      </w:r>
      <w:r w:rsidR="00EF3C95" w:rsidRPr="00395738">
        <w:rPr>
          <w:rFonts w:cs="Times New Roman"/>
          <w:color w:val="000000"/>
          <w:sz w:val="24"/>
          <w:szCs w:val="24"/>
        </w:rPr>
        <w:t xml:space="preserve"> loan portfolio</w:t>
      </w:r>
      <w:r w:rsidR="005461E4" w:rsidRPr="00395738">
        <w:rPr>
          <w:rFonts w:cs="Times New Roman"/>
          <w:color w:val="000000"/>
          <w:sz w:val="24"/>
          <w:szCs w:val="24"/>
        </w:rPr>
        <w:t>. Credit reporting also serve</w:t>
      </w:r>
      <w:r w:rsidR="00527E10" w:rsidRPr="00395738">
        <w:rPr>
          <w:rFonts w:cs="Times New Roman"/>
          <w:color w:val="000000"/>
          <w:sz w:val="24"/>
          <w:szCs w:val="24"/>
        </w:rPr>
        <w:t>s</w:t>
      </w:r>
      <w:r w:rsidR="005461E4" w:rsidRPr="00395738">
        <w:rPr>
          <w:rFonts w:cs="Times New Roman"/>
          <w:color w:val="000000"/>
          <w:sz w:val="24"/>
          <w:szCs w:val="24"/>
        </w:rPr>
        <w:t xml:space="preserve"> to discipline debtor behavior</w:t>
      </w:r>
      <w:r w:rsidR="00332EE1" w:rsidRPr="00395738">
        <w:rPr>
          <w:rFonts w:cs="Times New Roman"/>
          <w:color w:val="000000"/>
          <w:sz w:val="24"/>
          <w:szCs w:val="24"/>
        </w:rPr>
        <w:t xml:space="preserve"> as regards the timely repayment of their financial and certain other obligations</w:t>
      </w:r>
      <w:r w:rsidR="007474FD" w:rsidRPr="00395738">
        <w:rPr>
          <w:rFonts w:cs="Times New Roman"/>
          <w:color w:val="000000"/>
          <w:sz w:val="24"/>
          <w:szCs w:val="24"/>
        </w:rPr>
        <w:t>,</w:t>
      </w:r>
      <w:r w:rsidR="005461E4" w:rsidRPr="00395738">
        <w:rPr>
          <w:rFonts w:cs="Times New Roman"/>
          <w:color w:val="000000"/>
          <w:sz w:val="24"/>
          <w:szCs w:val="24"/>
        </w:rPr>
        <w:t xml:space="preserve"> as a good credit history facilitates access to credit and can often obviate the need for debtors to put up tangible collateral for loans. </w:t>
      </w:r>
    </w:p>
    <w:p w14:paraId="2E4BF3BE" w14:textId="7ECFEFEB" w:rsidR="00614850" w:rsidRPr="00395738" w:rsidRDefault="00527E10" w:rsidP="00761BC8">
      <w:pPr>
        <w:pStyle w:val="ListParagraph"/>
        <w:numPr>
          <w:ilvl w:val="0"/>
          <w:numId w:val="1"/>
        </w:numPr>
        <w:autoSpaceDE w:val="0"/>
        <w:autoSpaceDN w:val="0"/>
        <w:adjustRightInd w:val="0"/>
        <w:spacing w:after="180" w:line="360" w:lineRule="auto"/>
        <w:contextualSpacing w:val="0"/>
        <w:jc w:val="both"/>
        <w:rPr>
          <w:rFonts w:cs="Times New Roman"/>
          <w:color w:val="000000"/>
          <w:sz w:val="24"/>
          <w:szCs w:val="24"/>
        </w:rPr>
      </w:pPr>
      <w:r w:rsidRPr="00395738">
        <w:rPr>
          <w:rFonts w:cs="Times New Roman"/>
          <w:color w:val="000000"/>
          <w:sz w:val="24"/>
          <w:szCs w:val="24"/>
        </w:rPr>
        <w:t>In addition to the</w:t>
      </w:r>
      <w:r w:rsidR="00A536D6" w:rsidRPr="00395738">
        <w:rPr>
          <w:rFonts w:cs="Times New Roman"/>
          <w:color w:val="000000"/>
          <w:sz w:val="24"/>
          <w:szCs w:val="24"/>
        </w:rPr>
        <w:t>se</w:t>
      </w:r>
      <w:r w:rsidRPr="00395738">
        <w:rPr>
          <w:rFonts w:cs="Times New Roman"/>
          <w:color w:val="000000"/>
          <w:sz w:val="24"/>
          <w:szCs w:val="24"/>
        </w:rPr>
        <w:t xml:space="preserve"> positive effects of credit reporting on financial stability</w:t>
      </w:r>
      <w:r w:rsidR="000F6909" w:rsidRPr="00395738">
        <w:rPr>
          <w:rFonts w:cs="Times New Roman"/>
          <w:color w:val="000000"/>
          <w:sz w:val="24"/>
          <w:szCs w:val="24"/>
        </w:rPr>
        <w:t>,</w:t>
      </w:r>
      <w:r w:rsidRPr="00395738">
        <w:rPr>
          <w:rFonts w:cs="Times New Roman"/>
          <w:color w:val="000000"/>
          <w:sz w:val="24"/>
          <w:szCs w:val="24"/>
        </w:rPr>
        <w:t xml:space="preserve"> c</w:t>
      </w:r>
      <w:r w:rsidR="005461E4" w:rsidRPr="00395738">
        <w:rPr>
          <w:rFonts w:cs="Times New Roman"/>
          <w:color w:val="000000"/>
          <w:sz w:val="24"/>
          <w:szCs w:val="24"/>
        </w:rPr>
        <w:t xml:space="preserve">entral banks and other financial </w:t>
      </w:r>
      <w:r w:rsidR="00A536D6" w:rsidRPr="00395738">
        <w:rPr>
          <w:rFonts w:cs="Times New Roman"/>
          <w:color w:val="000000"/>
          <w:sz w:val="24"/>
          <w:szCs w:val="24"/>
        </w:rPr>
        <w:t xml:space="preserve">sector </w:t>
      </w:r>
      <w:r w:rsidR="005461E4" w:rsidRPr="00395738">
        <w:rPr>
          <w:rFonts w:cs="Times New Roman"/>
          <w:color w:val="000000"/>
          <w:sz w:val="24"/>
          <w:szCs w:val="24"/>
        </w:rPr>
        <w:t xml:space="preserve">authorities </w:t>
      </w:r>
      <w:r w:rsidRPr="00395738">
        <w:rPr>
          <w:rFonts w:cs="Times New Roman"/>
          <w:color w:val="000000"/>
          <w:sz w:val="24"/>
          <w:szCs w:val="24"/>
        </w:rPr>
        <w:t xml:space="preserve">are interested in </w:t>
      </w:r>
      <w:r w:rsidR="00464B7B" w:rsidRPr="00395738">
        <w:rPr>
          <w:rFonts w:cs="Times New Roman"/>
          <w:color w:val="000000"/>
          <w:sz w:val="24"/>
          <w:szCs w:val="24"/>
        </w:rPr>
        <w:t xml:space="preserve">their </w:t>
      </w:r>
      <w:r w:rsidR="00773A69" w:rsidRPr="00395738">
        <w:rPr>
          <w:rFonts w:cs="Times New Roman"/>
          <w:color w:val="000000"/>
          <w:sz w:val="24"/>
          <w:szCs w:val="24"/>
        </w:rPr>
        <w:t xml:space="preserve">national </w:t>
      </w:r>
      <w:r w:rsidRPr="00395738">
        <w:rPr>
          <w:rFonts w:cs="Times New Roman"/>
          <w:color w:val="000000"/>
          <w:sz w:val="24"/>
          <w:szCs w:val="24"/>
        </w:rPr>
        <w:t xml:space="preserve">credit reporting system being </w:t>
      </w:r>
      <w:r w:rsidR="00464B7B" w:rsidRPr="00395738">
        <w:rPr>
          <w:rFonts w:cs="Times New Roman"/>
          <w:color w:val="000000"/>
          <w:sz w:val="24"/>
          <w:szCs w:val="24"/>
        </w:rPr>
        <w:t>cap</w:t>
      </w:r>
      <w:r w:rsidRPr="00395738">
        <w:rPr>
          <w:rFonts w:cs="Times New Roman"/>
          <w:color w:val="000000"/>
          <w:sz w:val="24"/>
          <w:szCs w:val="24"/>
        </w:rPr>
        <w:t>a</w:t>
      </w:r>
      <w:r w:rsidR="00464B7B" w:rsidRPr="00395738">
        <w:rPr>
          <w:rFonts w:cs="Times New Roman"/>
          <w:color w:val="000000"/>
          <w:sz w:val="24"/>
          <w:szCs w:val="24"/>
        </w:rPr>
        <w:t>ble of reliably providing</w:t>
      </w:r>
      <w:r w:rsidRPr="00395738">
        <w:rPr>
          <w:rFonts w:cs="Times New Roman"/>
          <w:color w:val="000000"/>
          <w:sz w:val="24"/>
          <w:szCs w:val="24"/>
        </w:rPr>
        <w:t xml:space="preserve"> </w:t>
      </w:r>
      <w:r w:rsidR="007C4EB7" w:rsidRPr="00395738">
        <w:rPr>
          <w:rFonts w:cs="Times New Roman"/>
          <w:color w:val="000000"/>
          <w:sz w:val="24"/>
          <w:szCs w:val="24"/>
        </w:rPr>
        <w:t>comprehensive, high-quality</w:t>
      </w:r>
      <w:r w:rsidR="00EF3C95" w:rsidRPr="00395738">
        <w:rPr>
          <w:rFonts w:cs="Times New Roman"/>
          <w:color w:val="000000"/>
          <w:sz w:val="24"/>
          <w:szCs w:val="24"/>
        </w:rPr>
        <w:t xml:space="preserve"> </w:t>
      </w:r>
      <w:r w:rsidR="00EC272F" w:rsidRPr="00395738">
        <w:rPr>
          <w:rFonts w:cs="Times New Roman"/>
          <w:color w:val="000000"/>
          <w:sz w:val="24"/>
          <w:szCs w:val="24"/>
        </w:rPr>
        <w:t xml:space="preserve">credit </w:t>
      </w:r>
      <w:r w:rsidRPr="00395738">
        <w:rPr>
          <w:rFonts w:cs="Times New Roman"/>
          <w:color w:val="000000"/>
          <w:sz w:val="24"/>
          <w:szCs w:val="24"/>
        </w:rPr>
        <w:t>data</w:t>
      </w:r>
      <w:r w:rsidR="00EC272F" w:rsidRPr="00395738">
        <w:rPr>
          <w:rFonts w:cs="Times New Roman"/>
          <w:color w:val="000000"/>
          <w:sz w:val="24"/>
          <w:szCs w:val="24"/>
        </w:rPr>
        <w:t xml:space="preserve">, which serves </w:t>
      </w:r>
      <w:r w:rsidR="007C4EB7" w:rsidRPr="00395738">
        <w:rPr>
          <w:rFonts w:cs="Times New Roman"/>
          <w:color w:val="000000"/>
          <w:sz w:val="24"/>
          <w:szCs w:val="24"/>
        </w:rPr>
        <w:t>a</w:t>
      </w:r>
      <w:r w:rsidR="00EC272F" w:rsidRPr="00395738">
        <w:rPr>
          <w:rFonts w:cs="Times New Roman"/>
          <w:color w:val="000000"/>
          <w:sz w:val="24"/>
          <w:szCs w:val="24"/>
        </w:rPr>
        <w:t>s a</w:t>
      </w:r>
      <w:r w:rsidR="007C4EB7" w:rsidRPr="00395738">
        <w:rPr>
          <w:rFonts w:cs="Times New Roman"/>
          <w:color w:val="000000"/>
          <w:sz w:val="24"/>
          <w:szCs w:val="24"/>
        </w:rPr>
        <w:t xml:space="preserve"> </w:t>
      </w:r>
      <w:r w:rsidR="00464B7B" w:rsidRPr="00395738">
        <w:rPr>
          <w:rFonts w:cs="Times New Roman"/>
          <w:color w:val="000000"/>
          <w:sz w:val="24"/>
          <w:szCs w:val="24"/>
        </w:rPr>
        <w:t xml:space="preserve">crucial input </w:t>
      </w:r>
      <w:r w:rsidR="005461E4" w:rsidRPr="00395738">
        <w:rPr>
          <w:rFonts w:cs="Times New Roman"/>
          <w:color w:val="000000"/>
          <w:sz w:val="24"/>
          <w:szCs w:val="24"/>
        </w:rPr>
        <w:t xml:space="preserve">for micro- and macro-prudential </w:t>
      </w:r>
      <w:r w:rsidR="00EC272F" w:rsidRPr="00395738">
        <w:rPr>
          <w:rFonts w:cs="Times New Roman"/>
          <w:color w:val="000000"/>
          <w:sz w:val="24"/>
          <w:szCs w:val="24"/>
        </w:rPr>
        <w:t xml:space="preserve">regulation and </w:t>
      </w:r>
      <w:r w:rsidR="005461E4" w:rsidRPr="00395738">
        <w:rPr>
          <w:rFonts w:cs="Times New Roman"/>
          <w:color w:val="000000"/>
          <w:sz w:val="24"/>
          <w:szCs w:val="24"/>
        </w:rPr>
        <w:t>supervision</w:t>
      </w:r>
      <w:r w:rsidR="00773A69" w:rsidRPr="00395738">
        <w:rPr>
          <w:rFonts w:cs="Times New Roman"/>
          <w:color w:val="000000"/>
          <w:sz w:val="24"/>
          <w:szCs w:val="24"/>
        </w:rPr>
        <w:t>,</w:t>
      </w:r>
      <w:r w:rsidR="00464B7B" w:rsidRPr="00395738">
        <w:rPr>
          <w:rFonts w:cs="Times New Roman"/>
          <w:color w:val="000000"/>
          <w:sz w:val="24"/>
          <w:szCs w:val="24"/>
        </w:rPr>
        <w:t xml:space="preserve"> a</w:t>
      </w:r>
      <w:r w:rsidR="00EC272F" w:rsidRPr="00395738">
        <w:rPr>
          <w:rFonts w:cs="Times New Roman"/>
          <w:color w:val="000000"/>
          <w:sz w:val="24"/>
          <w:szCs w:val="24"/>
        </w:rPr>
        <w:t xml:space="preserve">s well as </w:t>
      </w:r>
      <w:r w:rsidRPr="00395738">
        <w:rPr>
          <w:rFonts w:cs="Times New Roman"/>
          <w:color w:val="000000"/>
          <w:sz w:val="24"/>
          <w:szCs w:val="24"/>
        </w:rPr>
        <w:t xml:space="preserve">for </w:t>
      </w:r>
      <w:r w:rsidR="00773A69" w:rsidRPr="00395738">
        <w:rPr>
          <w:rFonts w:cs="Times New Roman"/>
          <w:color w:val="000000"/>
          <w:sz w:val="24"/>
          <w:szCs w:val="24"/>
        </w:rPr>
        <w:t>other public sector functions (e.g.</w:t>
      </w:r>
      <w:r w:rsidR="005205E9" w:rsidRPr="00395738">
        <w:rPr>
          <w:rFonts w:cs="Times New Roman"/>
          <w:color w:val="000000"/>
          <w:sz w:val="24"/>
          <w:szCs w:val="24"/>
        </w:rPr>
        <w:t>,</w:t>
      </w:r>
      <w:r w:rsidR="00773A69" w:rsidRPr="00395738">
        <w:rPr>
          <w:rFonts w:cs="Times New Roman"/>
          <w:color w:val="000000"/>
          <w:sz w:val="24"/>
          <w:szCs w:val="24"/>
        </w:rPr>
        <w:t xml:space="preserve"> </w:t>
      </w:r>
      <w:r w:rsidRPr="00395738">
        <w:rPr>
          <w:rFonts w:cs="Times New Roman"/>
          <w:color w:val="000000"/>
          <w:sz w:val="24"/>
          <w:szCs w:val="24"/>
        </w:rPr>
        <w:t xml:space="preserve">production of </w:t>
      </w:r>
      <w:r w:rsidR="00773A69" w:rsidRPr="00395738">
        <w:rPr>
          <w:rFonts w:cs="Times New Roman"/>
          <w:color w:val="000000"/>
          <w:sz w:val="24"/>
          <w:szCs w:val="24"/>
        </w:rPr>
        <w:t xml:space="preserve">certain </w:t>
      </w:r>
      <w:r w:rsidR="00BC707F" w:rsidRPr="00395738">
        <w:rPr>
          <w:rFonts w:cs="Times New Roman"/>
          <w:color w:val="000000"/>
          <w:sz w:val="24"/>
          <w:szCs w:val="24"/>
        </w:rPr>
        <w:t>macro statistics</w:t>
      </w:r>
      <w:r w:rsidR="00773A69" w:rsidRPr="00395738">
        <w:rPr>
          <w:rFonts w:cs="Times New Roman"/>
          <w:color w:val="000000"/>
          <w:sz w:val="24"/>
          <w:szCs w:val="24"/>
        </w:rPr>
        <w:t>)</w:t>
      </w:r>
      <w:r w:rsidR="00332EE1" w:rsidRPr="00395738">
        <w:rPr>
          <w:rFonts w:cs="Times New Roman"/>
          <w:color w:val="000000"/>
          <w:sz w:val="24"/>
          <w:szCs w:val="24"/>
        </w:rPr>
        <w:t>.</w:t>
      </w:r>
      <w:r w:rsidR="00332EE1" w:rsidRPr="00395738">
        <w:rPr>
          <w:rStyle w:val="FootnoteReference"/>
          <w:rFonts w:cs="Times New Roman"/>
          <w:color w:val="000000"/>
          <w:sz w:val="24"/>
          <w:szCs w:val="24"/>
        </w:rPr>
        <w:footnoteReference w:id="7"/>
      </w:r>
    </w:p>
    <w:p w14:paraId="32D28914" w14:textId="6582364A" w:rsidR="00BC707F" w:rsidRPr="00395738" w:rsidRDefault="00F65981" w:rsidP="00761BC8">
      <w:pPr>
        <w:pStyle w:val="ListParagraph"/>
        <w:numPr>
          <w:ilvl w:val="0"/>
          <w:numId w:val="1"/>
        </w:numPr>
        <w:autoSpaceDE w:val="0"/>
        <w:autoSpaceDN w:val="0"/>
        <w:adjustRightInd w:val="0"/>
        <w:spacing w:after="180" w:line="360" w:lineRule="auto"/>
        <w:contextualSpacing w:val="0"/>
        <w:jc w:val="both"/>
        <w:rPr>
          <w:rFonts w:cs="Times New Roman"/>
          <w:color w:val="000000"/>
          <w:sz w:val="24"/>
          <w:szCs w:val="24"/>
        </w:rPr>
      </w:pPr>
      <w:r w:rsidRPr="00395738">
        <w:rPr>
          <w:rFonts w:cs="Times New Roman"/>
          <w:color w:val="000000"/>
          <w:sz w:val="24"/>
          <w:szCs w:val="24"/>
        </w:rPr>
        <w:t>A key p</w:t>
      </w:r>
      <w:r w:rsidR="00BC707F" w:rsidRPr="00395738">
        <w:rPr>
          <w:rFonts w:cs="Times New Roman"/>
          <w:color w:val="000000"/>
          <w:sz w:val="24"/>
          <w:szCs w:val="24"/>
        </w:rPr>
        <w:t xml:space="preserve">urpose of </w:t>
      </w:r>
      <w:r w:rsidR="00425494" w:rsidRPr="00395738">
        <w:rPr>
          <w:rFonts w:cs="Times New Roman"/>
          <w:color w:val="000000"/>
          <w:sz w:val="24"/>
          <w:szCs w:val="24"/>
        </w:rPr>
        <w:t xml:space="preserve">a </w:t>
      </w:r>
      <w:r w:rsidR="00BC707F" w:rsidRPr="00395738">
        <w:rPr>
          <w:rFonts w:cs="Times New Roman"/>
          <w:color w:val="000000"/>
          <w:sz w:val="24"/>
          <w:szCs w:val="24"/>
        </w:rPr>
        <w:t>c</w:t>
      </w:r>
      <w:r w:rsidR="008D4948" w:rsidRPr="00395738">
        <w:rPr>
          <w:rFonts w:cs="Times New Roman"/>
          <w:color w:val="000000"/>
          <w:sz w:val="24"/>
          <w:szCs w:val="24"/>
        </w:rPr>
        <w:t>redit registr</w:t>
      </w:r>
      <w:r w:rsidR="00425494" w:rsidRPr="00395738">
        <w:rPr>
          <w:rFonts w:cs="Times New Roman"/>
          <w:color w:val="000000"/>
          <w:sz w:val="24"/>
          <w:szCs w:val="24"/>
        </w:rPr>
        <w:t>y (CR)</w:t>
      </w:r>
      <w:r w:rsidR="008D4948" w:rsidRPr="00395738">
        <w:rPr>
          <w:rFonts w:cs="Times New Roman"/>
          <w:color w:val="000000"/>
          <w:sz w:val="24"/>
          <w:szCs w:val="24"/>
        </w:rPr>
        <w:t xml:space="preserve"> </w:t>
      </w:r>
      <w:r w:rsidR="00BC707F" w:rsidRPr="00395738">
        <w:rPr>
          <w:rFonts w:cs="Times New Roman"/>
          <w:color w:val="000000"/>
          <w:sz w:val="24"/>
          <w:szCs w:val="24"/>
        </w:rPr>
        <w:t xml:space="preserve">is precisely </w:t>
      </w:r>
      <w:r w:rsidR="008D4948" w:rsidRPr="00395738">
        <w:rPr>
          <w:rFonts w:cs="Times New Roman"/>
          <w:color w:val="000000"/>
          <w:sz w:val="24"/>
          <w:szCs w:val="24"/>
        </w:rPr>
        <w:t xml:space="preserve">to </w:t>
      </w:r>
      <w:r w:rsidR="00332EE1" w:rsidRPr="00395738">
        <w:rPr>
          <w:rFonts w:cs="Times New Roman"/>
          <w:color w:val="000000"/>
          <w:sz w:val="24"/>
          <w:szCs w:val="24"/>
        </w:rPr>
        <w:t xml:space="preserve">support </w:t>
      </w:r>
      <w:r w:rsidR="008D4948" w:rsidRPr="00395738">
        <w:rPr>
          <w:rFonts w:cs="Times New Roman"/>
          <w:color w:val="000000"/>
          <w:sz w:val="24"/>
          <w:szCs w:val="24"/>
        </w:rPr>
        <w:t xml:space="preserve">banking and broader financial </w:t>
      </w:r>
      <w:r w:rsidR="00005141" w:rsidRPr="00395738">
        <w:rPr>
          <w:rFonts w:cs="Times New Roman"/>
          <w:color w:val="000000"/>
          <w:sz w:val="24"/>
          <w:szCs w:val="24"/>
        </w:rPr>
        <w:t xml:space="preserve">micro- and macro-prudential regulation and </w:t>
      </w:r>
      <w:r w:rsidR="008D4948" w:rsidRPr="00395738">
        <w:rPr>
          <w:rFonts w:cs="Times New Roman"/>
          <w:color w:val="000000"/>
          <w:sz w:val="24"/>
          <w:szCs w:val="24"/>
        </w:rPr>
        <w:t>supervision</w:t>
      </w:r>
      <w:r w:rsidR="00DC36BE" w:rsidRPr="00395738">
        <w:rPr>
          <w:rFonts w:cs="Times New Roman"/>
          <w:color w:val="000000"/>
          <w:sz w:val="24"/>
          <w:szCs w:val="24"/>
        </w:rPr>
        <w:t xml:space="preserve">, and through this </w:t>
      </w:r>
      <w:r w:rsidR="00EC272F" w:rsidRPr="00395738">
        <w:rPr>
          <w:rFonts w:cs="Times New Roman"/>
          <w:color w:val="000000"/>
          <w:sz w:val="24"/>
          <w:szCs w:val="24"/>
        </w:rPr>
        <w:t xml:space="preserve">means </w:t>
      </w:r>
      <w:r w:rsidR="00332EE1" w:rsidRPr="00395738">
        <w:rPr>
          <w:rFonts w:cs="Times New Roman"/>
          <w:color w:val="000000"/>
          <w:sz w:val="24"/>
          <w:szCs w:val="24"/>
        </w:rPr>
        <w:t xml:space="preserve">assist in </w:t>
      </w:r>
      <w:r w:rsidR="00DC36BE" w:rsidRPr="00395738">
        <w:rPr>
          <w:rFonts w:cs="Times New Roman"/>
          <w:color w:val="000000"/>
          <w:sz w:val="24"/>
          <w:szCs w:val="24"/>
        </w:rPr>
        <w:t>preserv</w:t>
      </w:r>
      <w:r w:rsidR="00332EE1" w:rsidRPr="00395738">
        <w:rPr>
          <w:rFonts w:cs="Times New Roman"/>
          <w:color w:val="000000"/>
          <w:sz w:val="24"/>
          <w:szCs w:val="24"/>
        </w:rPr>
        <w:t>ing</w:t>
      </w:r>
      <w:r w:rsidR="00DC36BE" w:rsidRPr="00395738">
        <w:rPr>
          <w:rFonts w:cs="Times New Roman"/>
          <w:color w:val="000000"/>
          <w:sz w:val="24"/>
          <w:szCs w:val="24"/>
        </w:rPr>
        <w:t xml:space="preserve"> financial stability</w:t>
      </w:r>
      <w:r w:rsidR="00BC707F" w:rsidRPr="00395738">
        <w:rPr>
          <w:rFonts w:cs="Times New Roman"/>
          <w:color w:val="000000"/>
          <w:sz w:val="24"/>
          <w:szCs w:val="24"/>
        </w:rPr>
        <w:t xml:space="preserve">. </w:t>
      </w:r>
      <w:r w:rsidR="00425494" w:rsidRPr="00395738">
        <w:rPr>
          <w:rFonts w:cs="Times New Roman"/>
          <w:color w:val="000000"/>
          <w:sz w:val="24"/>
          <w:szCs w:val="24"/>
        </w:rPr>
        <w:t xml:space="preserve">Therefore, CRs typically collect credit data from banks and </w:t>
      </w:r>
      <w:r w:rsidR="007C4EB7" w:rsidRPr="00395738">
        <w:rPr>
          <w:rFonts w:cs="Times New Roman"/>
          <w:color w:val="000000"/>
          <w:sz w:val="24"/>
          <w:szCs w:val="24"/>
        </w:rPr>
        <w:lastRenderedPageBreak/>
        <w:t xml:space="preserve">in some cases </w:t>
      </w:r>
      <w:r w:rsidR="00773A69" w:rsidRPr="00395738">
        <w:rPr>
          <w:rFonts w:cs="Times New Roman"/>
          <w:color w:val="000000"/>
          <w:sz w:val="24"/>
          <w:szCs w:val="24"/>
        </w:rPr>
        <w:t>also fr</w:t>
      </w:r>
      <w:r w:rsidR="007C4EB7" w:rsidRPr="00395738">
        <w:rPr>
          <w:rFonts w:cs="Times New Roman"/>
          <w:color w:val="000000"/>
          <w:sz w:val="24"/>
          <w:szCs w:val="24"/>
        </w:rPr>
        <w:t>o</w:t>
      </w:r>
      <w:r w:rsidR="00773A69" w:rsidRPr="00395738">
        <w:rPr>
          <w:rFonts w:cs="Times New Roman"/>
          <w:color w:val="000000"/>
          <w:sz w:val="24"/>
          <w:szCs w:val="24"/>
        </w:rPr>
        <w:t xml:space="preserve">m </w:t>
      </w:r>
      <w:r w:rsidR="00425494" w:rsidRPr="00395738">
        <w:rPr>
          <w:rFonts w:cs="Times New Roman"/>
          <w:color w:val="000000"/>
          <w:sz w:val="24"/>
          <w:szCs w:val="24"/>
        </w:rPr>
        <w:t xml:space="preserve">other regulated </w:t>
      </w:r>
      <w:r w:rsidR="00773A69" w:rsidRPr="00395738">
        <w:rPr>
          <w:rFonts w:cs="Times New Roman"/>
          <w:color w:val="000000"/>
          <w:sz w:val="24"/>
          <w:szCs w:val="24"/>
        </w:rPr>
        <w:t>financial institutions</w:t>
      </w:r>
      <w:r w:rsidR="00425494" w:rsidRPr="00395738">
        <w:rPr>
          <w:rFonts w:cs="Times New Roman"/>
          <w:color w:val="000000"/>
          <w:sz w:val="24"/>
          <w:szCs w:val="24"/>
        </w:rPr>
        <w:t xml:space="preserve"> </w:t>
      </w:r>
      <w:r w:rsidR="00773A69" w:rsidRPr="00395738">
        <w:rPr>
          <w:rFonts w:cs="Times New Roman"/>
          <w:color w:val="000000"/>
          <w:sz w:val="24"/>
          <w:szCs w:val="24"/>
        </w:rPr>
        <w:t xml:space="preserve">that </w:t>
      </w:r>
      <w:r w:rsidR="00F063DF" w:rsidRPr="00395738">
        <w:rPr>
          <w:rFonts w:cs="Times New Roman"/>
          <w:color w:val="000000"/>
          <w:sz w:val="24"/>
          <w:szCs w:val="24"/>
        </w:rPr>
        <w:t>provide loans and other form</w:t>
      </w:r>
      <w:r w:rsidR="00EF76CF" w:rsidRPr="00395738">
        <w:rPr>
          <w:rFonts w:cs="Times New Roman"/>
          <w:color w:val="000000"/>
          <w:sz w:val="24"/>
          <w:szCs w:val="24"/>
        </w:rPr>
        <w:t>s</w:t>
      </w:r>
      <w:r w:rsidR="00F063DF" w:rsidRPr="00395738">
        <w:rPr>
          <w:rFonts w:cs="Times New Roman"/>
          <w:color w:val="000000"/>
          <w:sz w:val="24"/>
          <w:szCs w:val="24"/>
        </w:rPr>
        <w:t xml:space="preserve"> of credit</w:t>
      </w:r>
      <w:r w:rsidR="007C4EB7" w:rsidRPr="00395738">
        <w:rPr>
          <w:rFonts w:cs="Times New Roman"/>
          <w:color w:val="000000"/>
          <w:sz w:val="24"/>
          <w:szCs w:val="24"/>
        </w:rPr>
        <w:t xml:space="preserve"> </w:t>
      </w:r>
      <w:r w:rsidR="00F063DF" w:rsidRPr="00395738">
        <w:rPr>
          <w:rFonts w:cs="Times New Roman"/>
          <w:color w:val="000000"/>
          <w:sz w:val="24"/>
          <w:szCs w:val="24"/>
        </w:rPr>
        <w:t>as a</w:t>
      </w:r>
      <w:r w:rsidR="007C4EB7" w:rsidRPr="00395738">
        <w:rPr>
          <w:rFonts w:cs="Times New Roman"/>
          <w:color w:val="000000"/>
          <w:sz w:val="24"/>
          <w:szCs w:val="24"/>
        </w:rPr>
        <w:t xml:space="preserve"> core business</w:t>
      </w:r>
      <w:r w:rsidR="001D7120" w:rsidRPr="00395738">
        <w:rPr>
          <w:rFonts w:cs="Times New Roman"/>
          <w:color w:val="000000"/>
          <w:sz w:val="24"/>
          <w:szCs w:val="24"/>
        </w:rPr>
        <w:t>,</w:t>
      </w:r>
      <w:r w:rsidR="00D231F7" w:rsidRPr="00395738">
        <w:rPr>
          <w:rStyle w:val="FootnoteReference"/>
          <w:rFonts w:cs="Times New Roman"/>
          <w:color w:val="000000"/>
          <w:sz w:val="24"/>
          <w:szCs w:val="24"/>
        </w:rPr>
        <w:footnoteReference w:id="8"/>
      </w:r>
      <w:r w:rsidR="00773A69" w:rsidRPr="00395738">
        <w:rPr>
          <w:rFonts w:cs="Times New Roman"/>
          <w:color w:val="000000"/>
          <w:sz w:val="24"/>
          <w:szCs w:val="24"/>
        </w:rPr>
        <w:t xml:space="preserve"> </w:t>
      </w:r>
      <w:r w:rsidR="007C4EB7" w:rsidRPr="00395738">
        <w:rPr>
          <w:rFonts w:cs="Times New Roman"/>
          <w:color w:val="000000"/>
          <w:sz w:val="24"/>
          <w:szCs w:val="24"/>
        </w:rPr>
        <w:t xml:space="preserve">and make this information available to financial supervisors </w:t>
      </w:r>
      <w:r w:rsidR="00EF76CF" w:rsidRPr="00395738">
        <w:rPr>
          <w:rFonts w:cs="Times New Roman"/>
          <w:color w:val="000000"/>
          <w:sz w:val="24"/>
          <w:szCs w:val="24"/>
        </w:rPr>
        <w:t xml:space="preserve">and regulators </w:t>
      </w:r>
      <w:r w:rsidR="00BA78A2" w:rsidRPr="00395738">
        <w:rPr>
          <w:rFonts w:cs="Times New Roman"/>
          <w:color w:val="000000"/>
          <w:sz w:val="24"/>
          <w:szCs w:val="24"/>
        </w:rPr>
        <w:t>for them to perform a number of analyses. At present, for example, CR data is being heavily exploited in certain jurisdictions for stress testing.</w:t>
      </w:r>
      <w:r w:rsidR="00BA78A2" w:rsidRPr="00395738">
        <w:rPr>
          <w:rStyle w:val="FootnoteReference"/>
          <w:rFonts w:cs="Times New Roman"/>
          <w:color w:val="000000"/>
          <w:sz w:val="24"/>
          <w:szCs w:val="24"/>
        </w:rPr>
        <w:footnoteReference w:id="9"/>
      </w:r>
    </w:p>
    <w:p w14:paraId="1CB398AF" w14:textId="6B32D971" w:rsidR="00761BC8" w:rsidRPr="00395738" w:rsidRDefault="000439C7" w:rsidP="00761BC8">
      <w:pPr>
        <w:pStyle w:val="ListParagraph"/>
        <w:numPr>
          <w:ilvl w:val="0"/>
          <w:numId w:val="1"/>
        </w:numPr>
        <w:autoSpaceDE w:val="0"/>
        <w:autoSpaceDN w:val="0"/>
        <w:adjustRightInd w:val="0"/>
        <w:spacing w:after="180" w:line="360" w:lineRule="auto"/>
        <w:contextualSpacing w:val="0"/>
        <w:jc w:val="both"/>
        <w:rPr>
          <w:rFonts w:cs="Times New Roman"/>
          <w:color w:val="000000"/>
          <w:sz w:val="24"/>
          <w:szCs w:val="24"/>
        </w:rPr>
      </w:pPr>
      <w:r w:rsidRPr="00395738">
        <w:rPr>
          <w:rFonts w:cs="Times New Roman"/>
          <w:color w:val="000000"/>
          <w:sz w:val="24"/>
          <w:szCs w:val="24"/>
        </w:rPr>
        <w:t>CRs</w:t>
      </w:r>
      <w:r w:rsidR="00B50EED" w:rsidRPr="00395738">
        <w:rPr>
          <w:rFonts w:cs="Times New Roman"/>
          <w:color w:val="000000"/>
          <w:sz w:val="24"/>
          <w:szCs w:val="24"/>
        </w:rPr>
        <w:t xml:space="preserve"> are characterized by having a feedback loop to </w:t>
      </w:r>
      <w:r w:rsidR="00EF76CF" w:rsidRPr="00395738">
        <w:rPr>
          <w:rFonts w:cs="Times New Roman"/>
          <w:color w:val="000000"/>
          <w:sz w:val="24"/>
          <w:szCs w:val="24"/>
        </w:rPr>
        <w:t xml:space="preserve">the </w:t>
      </w:r>
      <w:r w:rsidR="00B50EED" w:rsidRPr="00395738">
        <w:rPr>
          <w:rFonts w:cs="Times New Roman"/>
          <w:color w:val="000000"/>
          <w:sz w:val="24"/>
          <w:szCs w:val="24"/>
        </w:rPr>
        <w:t>banks and other regulated lend</w:t>
      </w:r>
      <w:r w:rsidRPr="00395738">
        <w:rPr>
          <w:rFonts w:cs="Times New Roman"/>
          <w:color w:val="000000"/>
          <w:sz w:val="24"/>
          <w:szCs w:val="24"/>
        </w:rPr>
        <w:t>ers</w:t>
      </w:r>
      <w:r w:rsidR="00B50EED" w:rsidRPr="00395738">
        <w:rPr>
          <w:rFonts w:cs="Times New Roman"/>
          <w:color w:val="000000"/>
          <w:sz w:val="24"/>
          <w:szCs w:val="24"/>
        </w:rPr>
        <w:t xml:space="preserve"> that provide data to the registry</w:t>
      </w:r>
      <w:r w:rsidRPr="00395738">
        <w:rPr>
          <w:rFonts w:cs="Times New Roman"/>
          <w:color w:val="000000"/>
          <w:sz w:val="24"/>
          <w:szCs w:val="24"/>
        </w:rPr>
        <w:t>. Hence, another function of CRs</w:t>
      </w:r>
      <w:r w:rsidR="00B50EED" w:rsidRPr="00395738">
        <w:rPr>
          <w:rFonts w:cs="Times New Roman"/>
          <w:color w:val="000000"/>
          <w:sz w:val="24"/>
          <w:szCs w:val="24"/>
        </w:rPr>
        <w:t xml:space="preserve"> </w:t>
      </w:r>
      <w:r w:rsidRPr="00395738">
        <w:rPr>
          <w:rFonts w:cs="Times New Roman"/>
          <w:color w:val="000000"/>
          <w:sz w:val="24"/>
          <w:szCs w:val="24"/>
        </w:rPr>
        <w:t>is to i</w:t>
      </w:r>
      <w:r w:rsidR="00B50EED" w:rsidRPr="00395738">
        <w:rPr>
          <w:rFonts w:cs="Times New Roman"/>
          <w:color w:val="000000"/>
          <w:sz w:val="24"/>
          <w:szCs w:val="24"/>
        </w:rPr>
        <w:t>mprov</w:t>
      </w:r>
      <w:r w:rsidRPr="00395738">
        <w:rPr>
          <w:rFonts w:cs="Times New Roman"/>
          <w:color w:val="000000"/>
          <w:sz w:val="24"/>
          <w:szCs w:val="24"/>
        </w:rPr>
        <w:t>e</w:t>
      </w:r>
      <w:r w:rsidR="00B50EED" w:rsidRPr="00395738">
        <w:rPr>
          <w:rFonts w:cs="Times New Roman"/>
          <w:color w:val="000000"/>
          <w:sz w:val="24"/>
          <w:szCs w:val="24"/>
        </w:rPr>
        <w:t xml:space="preserve"> the quality and availability of </w:t>
      </w:r>
      <w:r w:rsidR="000F6509" w:rsidRPr="00395738">
        <w:rPr>
          <w:rFonts w:cs="Times New Roman"/>
          <w:color w:val="000000"/>
          <w:sz w:val="24"/>
          <w:szCs w:val="24"/>
        </w:rPr>
        <w:t xml:space="preserve">credit </w:t>
      </w:r>
      <w:r w:rsidR="00B50EED" w:rsidRPr="00395738">
        <w:rPr>
          <w:rFonts w:cs="Times New Roman"/>
          <w:color w:val="000000"/>
          <w:sz w:val="24"/>
          <w:szCs w:val="24"/>
        </w:rPr>
        <w:t>data for those lend</w:t>
      </w:r>
      <w:r w:rsidRPr="00395738">
        <w:rPr>
          <w:rFonts w:cs="Times New Roman"/>
          <w:color w:val="000000"/>
          <w:sz w:val="24"/>
          <w:szCs w:val="24"/>
        </w:rPr>
        <w:t>ing institutions</w:t>
      </w:r>
      <w:r w:rsidR="00B50EED" w:rsidRPr="00395738">
        <w:rPr>
          <w:rFonts w:cs="Times New Roman"/>
          <w:color w:val="000000"/>
          <w:sz w:val="24"/>
          <w:szCs w:val="24"/>
        </w:rPr>
        <w:t xml:space="preserve"> (e.g.</w:t>
      </w:r>
      <w:r w:rsidR="0030074E" w:rsidRPr="00395738">
        <w:rPr>
          <w:rFonts w:cs="Times New Roman"/>
          <w:color w:val="000000"/>
          <w:sz w:val="24"/>
          <w:szCs w:val="24"/>
        </w:rPr>
        <w:t>,</w:t>
      </w:r>
      <w:r w:rsidR="00B50EED" w:rsidRPr="00395738">
        <w:rPr>
          <w:rFonts w:cs="Times New Roman"/>
          <w:color w:val="000000"/>
          <w:sz w:val="24"/>
          <w:szCs w:val="24"/>
        </w:rPr>
        <w:t xml:space="preserve"> regarding the indebtedness of individuals, firms, public sector entities</w:t>
      </w:r>
      <w:r w:rsidRPr="00395738">
        <w:rPr>
          <w:rFonts w:cs="Times New Roman"/>
          <w:color w:val="000000"/>
          <w:sz w:val="24"/>
          <w:szCs w:val="24"/>
        </w:rPr>
        <w:t xml:space="preserve">, </w:t>
      </w:r>
      <w:r w:rsidR="00B50EED" w:rsidRPr="00395738">
        <w:rPr>
          <w:rFonts w:cs="Times New Roman"/>
          <w:color w:val="000000"/>
          <w:sz w:val="24"/>
          <w:szCs w:val="24"/>
        </w:rPr>
        <w:t xml:space="preserve">other financial intermediaries), </w:t>
      </w:r>
      <w:r w:rsidR="0030074E" w:rsidRPr="00395738">
        <w:rPr>
          <w:rFonts w:cs="Times New Roman"/>
          <w:color w:val="000000"/>
          <w:sz w:val="24"/>
          <w:szCs w:val="24"/>
        </w:rPr>
        <w:t xml:space="preserve">thereby </w:t>
      </w:r>
      <w:r w:rsidR="00B50EED" w:rsidRPr="00395738">
        <w:rPr>
          <w:rFonts w:cs="Times New Roman"/>
          <w:color w:val="000000"/>
          <w:sz w:val="24"/>
          <w:szCs w:val="24"/>
        </w:rPr>
        <w:t>help</w:t>
      </w:r>
      <w:r w:rsidR="00332EE1" w:rsidRPr="00395738">
        <w:rPr>
          <w:rFonts w:cs="Times New Roman"/>
          <w:color w:val="000000"/>
          <w:sz w:val="24"/>
          <w:szCs w:val="24"/>
        </w:rPr>
        <w:t>ing</w:t>
      </w:r>
      <w:r w:rsidR="00B50EED" w:rsidRPr="00395738">
        <w:rPr>
          <w:rFonts w:cs="Times New Roman"/>
          <w:color w:val="000000"/>
          <w:sz w:val="24"/>
          <w:szCs w:val="24"/>
        </w:rPr>
        <w:t xml:space="preserve"> </w:t>
      </w:r>
      <w:r w:rsidR="0030074E" w:rsidRPr="00395738">
        <w:rPr>
          <w:rFonts w:cs="Times New Roman"/>
          <w:color w:val="000000"/>
          <w:sz w:val="24"/>
          <w:szCs w:val="24"/>
        </w:rPr>
        <w:t xml:space="preserve">improve </w:t>
      </w:r>
      <w:r w:rsidR="00B50EED" w:rsidRPr="00395738">
        <w:rPr>
          <w:rFonts w:cs="Times New Roman"/>
          <w:color w:val="000000"/>
          <w:sz w:val="24"/>
          <w:szCs w:val="24"/>
        </w:rPr>
        <w:t xml:space="preserve">the </w:t>
      </w:r>
      <w:r w:rsidR="000F6509" w:rsidRPr="00395738">
        <w:rPr>
          <w:rFonts w:cs="Times New Roman"/>
          <w:color w:val="000000"/>
          <w:sz w:val="24"/>
          <w:szCs w:val="24"/>
        </w:rPr>
        <w:t xml:space="preserve">overall </w:t>
      </w:r>
      <w:r w:rsidR="00B50EED" w:rsidRPr="00395738">
        <w:rPr>
          <w:rFonts w:cs="Times New Roman"/>
          <w:color w:val="000000"/>
          <w:sz w:val="24"/>
          <w:szCs w:val="24"/>
        </w:rPr>
        <w:t xml:space="preserve">quality of their loan portfolios. </w:t>
      </w:r>
      <w:r w:rsidR="00B92674" w:rsidRPr="00395738">
        <w:rPr>
          <w:rFonts w:cs="Times New Roman"/>
          <w:color w:val="000000"/>
          <w:sz w:val="24"/>
          <w:szCs w:val="24"/>
        </w:rPr>
        <w:t>In addition to this, in certain cases information provided by CRs assists banks and other regulated lenders in calculating their loan loss provisions.</w:t>
      </w:r>
      <w:r w:rsidR="00B92674" w:rsidRPr="00395738">
        <w:rPr>
          <w:rFonts w:cs="Times New Roman"/>
          <w:color w:val="000000"/>
          <w:sz w:val="24"/>
          <w:szCs w:val="24"/>
          <w:vertAlign w:val="superscript"/>
        </w:rPr>
        <w:footnoteReference w:id="10"/>
      </w:r>
      <w:r w:rsidR="00761BC8" w:rsidRPr="00395738">
        <w:rPr>
          <w:rFonts w:cs="Times New Roman"/>
          <w:color w:val="000000"/>
          <w:sz w:val="24"/>
          <w:szCs w:val="24"/>
        </w:rPr>
        <w:t xml:space="preserve"> </w:t>
      </w:r>
    </w:p>
    <w:p w14:paraId="580DDCE2" w14:textId="79423725" w:rsidR="007424D5" w:rsidRPr="00395738" w:rsidRDefault="007424D5" w:rsidP="00761BC8">
      <w:pPr>
        <w:pStyle w:val="ListParagraph"/>
        <w:numPr>
          <w:ilvl w:val="0"/>
          <w:numId w:val="1"/>
        </w:numPr>
        <w:autoSpaceDE w:val="0"/>
        <w:autoSpaceDN w:val="0"/>
        <w:adjustRightInd w:val="0"/>
        <w:spacing w:after="180" w:line="360" w:lineRule="auto"/>
        <w:contextualSpacing w:val="0"/>
        <w:jc w:val="both"/>
        <w:rPr>
          <w:rFonts w:cs="Times New Roman"/>
          <w:color w:val="000000"/>
          <w:sz w:val="24"/>
          <w:szCs w:val="24"/>
        </w:rPr>
      </w:pPr>
      <w:r w:rsidRPr="00395738">
        <w:rPr>
          <w:rFonts w:cs="Times New Roman"/>
          <w:color w:val="000000"/>
          <w:sz w:val="24"/>
          <w:szCs w:val="24"/>
        </w:rPr>
        <w:t xml:space="preserve">Many central banks and/or other financial </w:t>
      </w:r>
      <w:r w:rsidR="004E2FD9" w:rsidRPr="00395738">
        <w:rPr>
          <w:rFonts w:cs="Times New Roman"/>
          <w:color w:val="000000"/>
          <w:sz w:val="24"/>
          <w:szCs w:val="24"/>
        </w:rPr>
        <w:t>supervisors/authorities</w:t>
      </w:r>
      <w:r w:rsidRPr="00395738">
        <w:rPr>
          <w:rFonts w:cs="Times New Roman"/>
          <w:color w:val="000000"/>
          <w:sz w:val="24"/>
          <w:szCs w:val="24"/>
        </w:rPr>
        <w:t xml:space="preserve"> have developed other types of credit </w:t>
      </w:r>
      <w:r w:rsidR="00773A69" w:rsidRPr="00395738">
        <w:rPr>
          <w:rFonts w:cs="Times New Roman"/>
          <w:color w:val="000000"/>
          <w:sz w:val="24"/>
          <w:szCs w:val="24"/>
        </w:rPr>
        <w:t xml:space="preserve">databases </w:t>
      </w:r>
      <w:r w:rsidRPr="00395738">
        <w:rPr>
          <w:rFonts w:cs="Times New Roman"/>
          <w:color w:val="000000"/>
          <w:sz w:val="24"/>
          <w:szCs w:val="24"/>
        </w:rPr>
        <w:t xml:space="preserve">or credit-related databases in connection with their regulatory and supervisory </w:t>
      </w:r>
      <w:r w:rsidR="0030074E" w:rsidRPr="00395738">
        <w:rPr>
          <w:rFonts w:cs="Times New Roman"/>
          <w:color w:val="000000"/>
          <w:sz w:val="24"/>
          <w:szCs w:val="24"/>
        </w:rPr>
        <w:t>responsibilities</w:t>
      </w:r>
      <w:r w:rsidRPr="00395738">
        <w:rPr>
          <w:rFonts w:cs="Times New Roman"/>
          <w:color w:val="000000"/>
          <w:sz w:val="24"/>
          <w:szCs w:val="24"/>
        </w:rPr>
        <w:t xml:space="preserve">. </w:t>
      </w:r>
      <w:r w:rsidR="000F6509" w:rsidRPr="00395738">
        <w:rPr>
          <w:rFonts w:cs="Times New Roman"/>
          <w:color w:val="000000"/>
          <w:sz w:val="24"/>
          <w:szCs w:val="24"/>
        </w:rPr>
        <w:t>Some are used exclusively for supervisory and/or regulatory purposes, with no feedback loop to data providers.</w:t>
      </w:r>
      <w:r w:rsidR="00187FB5" w:rsidRPr="00395738">
        <w:rPr>
          <w:rStyle w:val="FootnoteReference"/>
          <w:rFonts w:cs="Times New Roman"/>
          <w:color w:val="000000"/>
          <w:sz w:val="24"/>
          <w:szCs w:val="24"/>
        </w:rPr>
        <w:footnoteReference w:id="11"/>
      </w:r>
      <w:r w:rsidR="000F6509" w:rsidRPr="00395738">
        <w:rPr>
          <w:rFonts w:cs="Times New Roman"/>
          <w:color w:val="000000"/>
          <w:sz w:val="24"/>
          <w:szCs w:val="24"/>
        </w:rPr>
        <w:t xml:space="preserve"> Others have a much more specific or limited objective</w:t>
      </w:r>
      <w:r w:rsidR="000A7FF6" w:rsidRPr="00395738">
        <w:rPr>
          <w:rFonts w:cs="Times New Roman"/>
          <w:color w:val="000000"/>
          <w:sz w:val="24"/>
          <w:szCs w:val="24"/>
        </w:rPr>
        <w:t xml:space="preserve">, like databases </w:t>
      </w:r>
      <w:r w:rsidR="0003351B" w:rsidRPr="00395738">
        <w:rPr>
          <w:rFonts w:cs="Times New Roman"/>
          <w:color w:val="000000"/>
          <w:sz w:val="24"/>
          <w:szCs w:val="24"/>
        </w:rPr>
        <w:t>that record negative events</w:t>
      </w:r>
      <w:r w:rsidR="005153DB" w:rsidRPr="00395738">
        <w:rPr>
          <w:rFonts w:cs="Times New Roman"/>
          <w:color w:val="000000"/>
          <w:sz w:val="24"/>
          <w:szCs w:val="24"/>
        </w:rPr>
        <w:t xml:space="preserve"> such as data on </w:t>
      </w:r>
      <w:r w:rsidRPr="00395738">
        <w:rPr>
          <w:rFonts w:cs="Times New Roman"/>
          <w:color w:val="000000"/>
          <w:sz w:val="24"/>
          <w:szCs w:val="24"/>
        </w:rPr>
        <w:t>individuals and/or firms that have defaulted on their loan repayment obligations</w:t>
      </w:r>
      <w:r w:rsidR="000F6509" w:rsidRPr="00395738">
        <w:rPr>
          <w:rFonts w:cs="Times New Roman"/>
          <w:color w:val="000000"/>
          <w:sz w:val="24"/>
          <w:szCs w:val="24"/>
        </w:rPr>
        <w:t xml:space="preserve"> and caused losses to lenders through loan write-offs, or</w:t>
      </w:r>
      <w:r w:rsidRPr="00395738">
        <w:rPr>
          <w:rFonts w:cs="Times New Roman"/>
          <w:color w:val="000000"/>
          <w:sz w:val="24"/>
          <w:szCs w:val="24"/>
        </w:rPr>
        <w:t xml:space="preserve"> “bad cheque</w:t>
      </w:r>
      <w:r w:rsidR="00B50EED" w:rsidRPr="00395738">
        <w:rPr>
          <w:rFonts w:cs="Times New Roman"/>
          <w:color w:val="000000"/>
          <w:sz w:val="24"/>
          <w:szCs w:val="24"/>
        </w:rPr>
        <w:t>”</w:t>
      </w:r>
      <w:r w:rsidRPr="00395738">
        <w:rPr>
          <w:rFonts w:cs="Times New Roman"/>
          <w:color w:val="000000"/>
          <w:sz w:val="24"/>
          <w:szCs w:val="24"/>
        </w:rPr>
        <w:t xml:space="preserve"> databases</w:t>
      </w:r>
      <w:r w:rsidR="000F6509" w:rsidRPr="00395738">
        <w:rPr>
          <w:rFonts w:cs="Times New Roman"/>
          <w:color w:val="000000"/>
          <w:sz w:val="24"/>
          <w:szCs w:val="24"/>
        </w:rPr>
        <w:t>.</w:t>
      </w:r>
      <w:r w:rsidR="00B92674" w:rsidRPr="00395738">
        <w:rPr>
          <w:rStyle w:val="FootnoteReference"/>
          <w:rFonts w:cs="Times New Roman"/>
          <w:color w:val="000000"/>
          <w:sz w:val="24"/>
          <w:szCs w:val="24"/>
        </w:rPr>
        <w:footnoteReference w:id="12"/>
      </w:r>
      <w:r w:rsidR="008B5372" w:rsidRPr="00395738">
        <w:rPr>
          <w:rFonts w:cs="Times New Roman"/>
          <w:color w:val="000000"/>
          <w:sz w:val="24"/>
          <w:szCs w:val="24"/>
        </w:rPr>
        <w:t xml:space="preserve"> </w:t>
      </w:r>
      <w:r w:rsidR="008B5372" w:rsidRPr="00395738">
        <w:rPr>
          <w:rStyle w:val="FootnoteReference"/>
          <w:rFonts w:cs="Times New Roman"/>
          <w:color w:val="000000"/>
          <w:sz w:val="24"/>
          <w:szCs w:val="24"/>
        </w:rPr>
        <w:footnoteReference w:id="13"/>
      </w:r>
    </w:p>
    <w:p w14:paraId="281C2745" w14:textId="10127EC4" w:rsidR="00413166" w:rsidRPr="00395738" w:rsidRDefault="008D4948" w:rsidP="00761BC8">
      <w:pPr>
        <w:pStyle w:val="ListParagraph"/>
        <w:numPr>
          <w:ilvl w:val="0"/>
          <w:numId w:val="1"/>
        </w:numPr>
        <w:autoSpaceDE w:val="0"/>
        <w:autoSpaceDN w:val="0"/>
        <w:adjustRightInd w:val="0"/>
        <w:spacing w:after="180" w:line="360" w:lineRule="auto"/>
        <w:contextualSpacing w:val="0"/>
        <w:jc w:val="both"/>
        <w:rPr>
          <w:rFonts w:cs="Times New Roman"/>
          <w:bCs/>
          <w:color w:val="000000"/>
          <w:sz w:val="24"/>
          <w:szCs w:val="24"/>
        </w:rPr>
      </w:pPr>
      <w:r w:rsidRPr="00395738">
        <w:rPr>
          <w:rFonts w:cs="Times New Roman"/>
          <w:color w:val="000000"/>
          <w:sz w:val="24"/>
          <w:szCs w:val="24"/>
        </w:rPr>
        <w:lastRenderedPageBreak/>
        <w:t>Credit bureaus</w:t>
      </w:r>
      <w:r w:rsidR="005D1FBA" w:rsidRPr="00395738">
        <w:rPr>
          <w:rFonts w:cs="Times New Roman"/>
          <w:color w:val="000000"/>
          <w:sz w:val="24"/>
          <w:szCs w:val="24"/>
        </w:rPr>
        <w:t xml:space="preserve">, </w:t>
      </w:r>
      <w:r w:rsidR="007C4EB7" w:rsidRPr="00395738">
        <w:rPr>
          <w:rFonts w:cs="Times New Roman"/>
          <w:color w:val="000000"/>
          <w:sz w:val="24"/>
          <w:szCs w:val="24"/>
        </w:rPr>
        <w:t xml:space="preserve">on the other hand, </w:t>
      </w:r>
      <w:r w:rsidRPr="00395738">
        <w:rPr>
          <w:rFonts w:cs="Times New Roman"/>
          <w:color w:val="000000"/>
          <w:sz w:val="24"/>
          <w:szCs w:val="24"/>
        </w:rPr>
        <w:t xml:space="preserve">aim primarily at improving the quality and availability of data for financial and non-financial creditors </w:t>
      </w:r>
      <w:r w:rsidR="00332EE1" w:rsidRPr="00395738">
        <w:rPr>
          <w:rFonts w:cs="Times New Roman"/>
          <w:color w:val="000000"/>
          <w:sz w:val="24"/>
          <w:szCs w:val="24"/>
        </w:rPr>
        <w:t xml:space="preserve">so that they can </w:t>
      </w:r>
      <w:r w:rsidRPr="00395738">
        <w:rPr>
          <w:rFonts w:cs="Times New Roman"/>
          <w:color w:val="000000"/>
          <w:sz w:val="24"/>
          <w:szCs w:val="24"/>
        </w:rPr>
        <w:t xml:space="preserve">make better-informed </w:t>
      </w:r>
      <w:r w:rsidR="00B92674" w:rsidRPr="00395738">
        <w:rPr>
          <w:rFonts w:cs="Times New Roman"/>
          <w:color w:val="000000"/>
          <w:sz w:val="24"/>
          <w:szCs w:val="24"/>
        </w:rPr>
        <w:t xml:space="preserve">credit and loan </w:t>
      </w:r>
      <w:r w:rsidRPr="00395738">
        <w:rPr>
          <w:rFonts w:cs="Times New Roman"/>
          <w:color w:val="000000"/>
          <w:sz w:val="24"/>
          <w:szCs w:val="24"/>
        </w:rPr>
        <w:t xml:space="preserve">decisions. </w:t>
      </w:r>
      <w:r w:rsidR="004874C7" w:rsidRPr="00395738">
        <w:rPr>
          <w:rFonts w:cs="Times New Roman"/>
          <w:color w:val="000000"/>
          <w:sz w:val="24"/>
          <w:szCs w:val="24"/>
        </w:rPr>
        <w:t>This consideration also applies to commercial credit reporting companies.</w:t>
      </w:r>
      <w:r w:rsidR="00956FF4" w:rsidRPr="00395738">
        <w:rPr>
          <w:rFonts w:cs="Times New Roman"/>
          <w:color w:val="000000"/>
          <w:sz w:val="24"/>
          <w:szCs w:val="24"/>
        </w:rPr>
        <w:t xml:space="preserve"> </w:t>
      </w:r>
      <w:r w:rsidR="004874C7" w:rsidRPr="00395738">
        <w:rPr>
          <w:rFonts w:cs="Times New Roman"/>
          <w:color w:val="000000"/>
          <w:sz w:val="24"/>
          <w:szCs w:val="24"/>
        </w:rPr>
        <w:t xml:space="preserve">However, </w:t>
      </w:r>
      <w:r w:rsidRPr="00395738">
        <w:rPr>
          <w:rFonts w:cs="Times New Roman"/>
          <w:color w:val="000000"/>
          <w:sz w:val="24"/>
          <w:szCs w:val="24"/>
        </w:rPr>
        <w:t xml:space="preserve">while not their primary objective credit bureaus </w:t>
      </w:r>
      <w:r w:rsidR="00942A43" w:rsidRPr="00395738">
        <w:rPr>
          <w:rFonts w:cs="Times New Roman"/>
          <w:color w:val="000000"/>
          <w:sz w:val="24"/>
          <w:szCs w:val="24"/>
        </w:rPr>
        <w:t xml:space="preserve">(CBs) </w:t>
      </w:r>
      <w:r w:rsidR="004874C7" w:rsidRPr="00395738">
        <w:rPr>
          <w:rFonts w:cs="Times New Roman"/>
          <w:color w:val="000000"/>
          <w:sz w:val="24"/>
          <w:szCs w:val="24"/>
        </w:rPr>
        <w:t xml:space="preserve">and commercial credit reporting companies </w:t>
      </w:r>
      <w:r w:rsidR="00942A43" w:rsidRPr="00395738">
        <w:rPr>
          <w:rFonts w:cs="Times New Roman"/>
          <w:color w:val="000000"/>
          <w:sz w:val="24"/>
          <w:szCs w:val="24"/>
        </w:rPr>
        <w:t xml:space="preserve">(CCRCs) </w:t>
      </w:r>
      <w:r w:rsidRPr="00395738">
        <w:rPr>
          <w:rFonts w:cs="Times New Roman"/>
          <w:color w:val="000000"/>
          <w:sz w:val="24"/>
          <w:szCs w:val="24"/>
        </w:rPr>
        <w:t>c</w:t>
      </w:r>
      <w:r w:rsidR="005D1FBA" w:rsidRPr="00395738">
        <w:rPr>
          <w:rFonts w:cs="Times New Roman"/>
          <w:color w:val="000000"/>
          <w:sz w:val="24"/>
          <w:szCs w:val="24"/>
        </w:rPr>
        <w:t>an</w:t>
      </w:r>
      <w:r w:rsidRPr="00395738">
        <w:rPr>
          <w:rFonts w:cs="Times New Roman"/>
          <w:color w:val="000000"/>
          <w:sz w:val="24"/>
          <w:szCs w:val="24"/>
        </w:rPr>
        <w:t xml:space="preserve"> also support financial </w:t>
      </w:r>
      <w:r w:rsidR="008D050A" w:rsidRPr="00395738">
        <w:rPr>
          <w:rFonts w:cs="Times New Roman"/>
          <w:color w:val="000000"/>
          <w:sz w:val="24"/>
          <w:szCs w:val="24"/>
        </w:rPr>
        <w:t xml:space="preserve">sector </w:t>
      </w:r>
      <w:r w:rsidR="005D1FBA" w:rsidRPr="00395738">
        <w:rPr>
          <w:rFonts w:cs="Times New Roman"/>
          <w:color w:val="000000"/>
          <w:sz w:val="24"/>
          <w:szCs w:val="24"/>
        </w:rPr>
        <w:t xml:space="preserve">regulation and </w:t>
      </w:r>
      <w:r w:rsidRPr="00395738">
        <w:rPr>
          <w:rFonts w:cs="Times New Roman"/>
          <w:color w:val="000000"/>
          <w:sz w:val="24"/>
          <w:szCs w:val="24"/>
        </w:rPr>
        <w:t>supervision</w:t>
      </w:r>
      <w:r w:rsidR="009030E8" w:rsidRPr="00395738">
        <w:rPr>
          <w:rFonts w:cs="Times New Roman"/>
          <w:color w:val="000000"/>
          <w:sz w:val="24"/>
          <w:szCs w:val="24"/>
        </w:rPr>
        <w:t xml:space="preserve"> directly through the provision of credit data to the corresponding authorities</w:t>
      </w:r>
      <w:r w:rsidRPr="00395738">
        <w:rPr>
          <w:rFonts w:cs="Times New Roman"/>
          <w:color w:val="000000"/>
          <w:sz w:val="24"/>
          <w:szCs w:val="24"/>
        </w:rPr>
        <w:t>.</w:t>
      </w:r>
      <w:r w:rsidR="005D1FBA" w:rsidRPr="00395738">
        <w:rPr>
          <w:rFonts w:cs="Times New Roman"/>
          <w:color w:val="000000"/>
          <w:sz w:val="24"/>
          <w:szCs w:val="24"/>
        </w:rPr>
        <w:t xml:space="preserve"> </w:t>
      </w:r>
    </w:p>
    <w:p w14:paraId="7EF0EFF0" w14:textId="41DCF2E8" w:rsidR="004178C4" w:rsidRPr="00395738" w:rsidRDefault="00413166" w:rsidP="00761BC8">
      <w:pPr>
        <w:pStyle w:val="ListParagraph"/>
        <w:numPr>
          <w:ilvl w:val="0"/>
          <w:numId w:val="1"/>
        </w:numPr>
        <w:autoSpaceDE w:val="0"/>
        <w:autoSpaceDN w:val="0"/>
        <w:adjustRightInd w:val="0"/>
        <w:spacing w:after="180" w:line="360" w:lineRule="auto"/>
        <w:contextualSpacing w:val="0"/>
        <w:jc w:val="both"/>
        <w:rPr>
          <w:rFonts w:cs="Times New Roman"/>
          <w:bCs/>
          <w:color w:val="000000"/>
          <w:sz w:val="24"/>
          <w:szCs w:val="24"/>
        </w:rPr>
      </w:pPr>
      <w:r w:rsidRPr="00395738">
        <w:rPr>
          <w:rFonts w:cs="Times New Roman"/>
          <w:color w:val="000000"/>
          <w:sz w:val="24"/>
          <w:szCs w:val="24"/>
        </w:rPr>
        <w:t xml:space="preserve">In some countries CBs and CCRCs are in fact the main data sources for financial </w:t>
      </w:r>
      <w:r w:rsidR="008D050A" w:rsidRPr="00395738">
        <w:rPr>
          <w:rFonts w:cs="Times New Roman"/>
          <w:color w:val="000000"/>
          <w:sz w:val="24"/>
          <w:szCs w:val="24"/>
        </w:rPr>
        <w:t xml:space="preserve">sector </w:t>
      </w:r>
      <w:r w:rsidR="004178C4" w:rsidRPr="00395738">
        <w:rPr>
          <w:rFonts w:cs="Times New Roman"/>
          <w:color w:val="000000"/>
          <w:sz w:val="24"/>
          <w:szCs w:val="24"/>
        </w:rPr>
        <w:t xml:space="preserve">regulators and supervisors </w:t>
      </w:r>
      <w:r w:rsidRPr="00395738">
        <w:rPr>
          <w:rFonts w:cs="Times New Roman"/>
          <w:color w:val="000000"/>
          <w:sz w:val="24"/>
          <w:szCs w:val="24"/>
        </w:rPr>
        <w:t xml:space="preserve">in connection with their responsibilities. This is </w:t>
      </w:r>
      <w:r w:rsidR="000932E3" w:rsidRPr="00395738">
        <w:rPr>
          <w:rFonts w:cs="Times New Roman"/>
          <w:color w:val="000000"/>
          <w:sz w:val="24"/>
          <w:szCs w:val="24"/>
        </w:rPr>
        <w:t xml:space="preserve">usually </w:t>
      </w:r>
      <w:r w:rsidRPr="00395738">
        <w:rPr>
          <w:rFonts w:cs="Times New Roman"/>
          <w:color w:val="000000"/>
          <w:sz w:val="24"/>
          <w:szCs w:val="24"/>
        </w:rPr>
        <w:t xml:space="preserve">the case when there is no </w:t>
      </w:r>
      <w:r w:rsidR="00152D86" w:rsidRPr="00395738">
        <w:rPr>
          <w:rFonts w:cs="Times New Roman"/>
          <w:color w:val="000000"/>
          <w:sz w:val="24"/>
          <w:szCs w:val="24"/>
        </w:rPr>
        <w:t>CR</w:t>
      </w:r>
      <w:r w:rsidRPr="00395738">
        <w:rPr>
          <w:rFonts w:cs="Times New Roman"/>
          <w:color w:val="000000"/>
          <w:sz w:val="24"/>
          <w:szCs w:val="24"/>
        </w:rPr>
        <w:t>, or when the database of CBs and</w:t>
      </w:r>
      <w:r w:rsidR="00152D86" w:rsidRPr="00395738">
        <w:rPr>
          <w:rFonts w:cs="Times New Roman"/>
          <w:color w:val="000000"/>
          <w:sz w:val="24"/>
          <w:szCs w:val="24"/>
        </w:rPr>
        <w:t>/or</w:t>
      </w:r>
      <w:r w:rsidRPr="00395738">
        <w:rPr>
          <w:rFonts w:cs="Times New Roman"/>
          <w:color w:val="000000"/>
          <w:sz w:val="24"/>
          <w:szCs w:val="24"/>
        </w:rPr>
        <w:t xml:space="preserve"> CCRCs </w:t>
      </w:r>
      <w:r w:rsidR="00152D86" w:rsidRPr="00395738">
        <w:rPr>
          <w:rFonts w:cs="Times New Roman"/>
          <w:color w:val="000000"/>
          <w:sz w:val="24"/>
          <w:szCs w:val="24"/>
        </w:rPr>
        <w:t xml:space="preserve">is more comprehensive </w:t>
      </w:r>
      <w:r w:rsidR="004178C4" w:rsidRPr="00395738">
        <w:rPr>
          <w:rFonts w:cs="Times New Roman"/>
          <w:color w:val="000000"/>
          <w:sz w:val="24"/>
          <w:szCs w:val="24"/>
        </w:rPr>
        <w:t xml:space="preserve">than that of the CR </w:t>
      </w:r>
      <w:r w:rsidR="00152D86" w:rsidRPr="00395738">
        <w:rPr>
          <w:rFonts w:cs="Times New Roman"/>
          <w:color w:val="000000"/>
          <w:sz w:val="24"/>
          <w:szCs w:val="24"/>
        </w:rPr>
        <w:t>(</w:t>
      </w:r>
      <w:r w:rsidR="004178C4" w:rsidRPr="00395738">
        <w:rPr>
          <w:rFonts w:cs="Times New Roman"/>
          <w:color w:val="000000"/>
          <w:sz w:val="24"/>
          <w:szCs w:val="24"/>
        </w:rPr>
        <w:t xml:space="preserve">or </w:t>
      </w:r>
      <w:r w:rsidR="00152D86" w:rsidRPr="00395738">
        <w:rPr>
          <w:rFonts w:cs="Times New Roman"/>
          <w:color w:val="000000"/>
          <w:sz w:val="24"/>
          <w:szCs w:val="24"/>
        </w:rPr>
        <w:t xml:space="preserve">of </w:t>
      </w:r>
      <w:r w:rsidR="004178C4" w:rsidRPr="00395738">
        <w:rPr>
          <w:rFonts w:cs="Times New Roman"/>
          <w:color w:val="000000"/>
          <w:sz w:val="24"/>
          <w:szCs w:val="24"/>
        </w:rPr>
        <w:t xml:space="preserve">the other credit databases operated by </w:t>
      </w:r>
      <w:r w:rsidR="00152D86" w:rsidRPr="00395738">
        <w:rPr>
          <w:rFonts w:cs="Times New Roman"/>
          <w:color w:val="000000"/>
          <w:sz w:val="24"/>
          <w:szCs w:val="24"/>
        </w:rPr>
        <w:t>regulators/</w:t>
      </w:r>
      <w:r w:rsidR="004178C4" w:rsidRPr="00395738">
        <w:rPr>
          <w:rFonts w:cs="Times New Roman"/>
          <w:color w:val="000000"/>
          <w:sz w:val="24"/>
          <w:szCs w:val="24"/>
        </w:rPr>
        <w:t>supervisors</w:t>
      </w:r>
      <w:r w:rsidR="00152D86" w:rsidRPr="00395738">
        <w:rPr>
          <w:rFonts w:cs="Times New Roman"/>
          <w:color w:val="000000"/>
          <w:sz w:val="24"/>
          <w:szCs w:val="24"/>
        </w:rPr>
        <w:t>)</w:t>
      </w:r>
      <w:r w:rsidR="00187FB5" w:rsidRPr="00395738">
        <w:rPr>
          <w:rFonts w:cs="Times New Roman"/>
          <w:color w:val="000000"/>
          <w:sz w:val="24"/>
          <w:szCs w:val="24"/>
        </w:rPr>
        <w:t>.</w:t>
      </w:r>
    </w:p>
    <w:p w14:paraId="36716844" w14:textId="21167811" w:rsidR="00624A59" w:rsidRPr="00395738" w:rsidRDefault="000932E3" w:rsidP="00761BC8">
      <w:pPr>
        <w:pStyle w:val="ListParagraph"/>
        <w:numPr>
          <w:ilvl w:val="0"/>
          <w:numId w:val="1"/>
        </w:numPr>
        <w:autoSpaceDE w:val="0"/>
        <w:autoSpaceDN w:val="0"/>
        <w:adjustRightInd w:val="0"/>
        <w:spacing w:after="180" w:line="360" w:lineRule="auto"/>
        <w:contextualSpacing w:val="0"/>
        <w:jc w:val="both"/>
        <w:rPr>
          <w:rFonts w:cs="Times New Roman"/>
          <w:color w:val="000000"/>
          <w:sz w:val="24"/>
          <w:szCs w:val="24"/>
        </w:rPr>
      </w:pPr>
      <w:r w:rsidRPr="00395738">
        <w:rPr>
          <w:rFonts w:cs="Times New Roman"/>
          <w:color w:val="000000"/>
          <w:sz w:val="24"/>
          <w:szCs w:val="24"/>
        </w:rPr>
        <w:t xml:space="preserve">More often, however, data in </w:t>
      </w:r>
      <w:r w:rsidR="00413166" w:rsidRPr="00395738">
        <w:rPr>
          <w:rFonts w:cs="Times New Roman"/>
          <w:color w:val="000000"/>
          <w:sz w:val="24"/>
          <w:szCs w:val="24"/>
        </w:rPr>
        <w:t>CBs and CCRCs</w:t>
      </w:r>
      <w:r w:rsidRPr="00395738">
        <w:rPr>
          <w:rFonts w:cs="Times New Roman"/>
          <w:color w:val="000000"/>
          <w:sz w:val="24"/>
          <w:szCs w:val="24"/>
        </w:rPr>
        <w:t xml:space="preserve"> is used as a</w:t>
      </w:r>
      <w:r w:rsidR="00413166" w:rsidRPr="00395738">
        <w:rPr>
          <w:rFonts w:cs="Times New Roman"/>
          <w:color w:val="000000"/>
          <w:sz w:val="24"/>
          <w:szCs w:val="24"/>
        </w:rPr>
        <w:t xml:space="preserve"> complement </w:t>
      </w:r>
      <w:r w:rsidRPr="00395738">
        <w:rPr>
          <w:rFonts w:cs="Times New Roman"/>
          <w:color w:val="000000"/>
          <w:sz w:val="24"/>
          <w:szCs w:val="24"/>
        </w:rPr>
        <w:t xml:space="preserve">to the data in </w:t>
      </w:r>
      <w:r w:rsidR="00413166" w:rsidRPr="00395738">
        <w:rPr>
          <w:rFonts w:cs="Times New Roman"/>
          <w:color w:val="000000"/>
          <w:sz w:val="24"/>
          <w:szCs w:val="24"/>
        </w:rPr>
        <w:t>CR</w:t>
      </w:r>
      <w:r w:rsidRPr="00395738">
        <w:rPr>
          <w:rFonts w:cs="Times New Roman"/>
          <w:color w:val="000000"/>
          <w:sz w:val="24"/>
          <w:szCs w:val="24"/>
        </w:rPr>
        <w:t>s</w:t>
      </w:r>
      <w:r w:rsidR="00413166" w:rsidRPr="00395738">
        <w:rPr>
          <w:rFonts w:cs="Times New Roman"/>
          <w:color w:val="000000"/>
          <w:sz w:val="24"/>
          <w:szCs w:val="24"/>
        </w:rPr>
        <w:t xml:space="preserve"> and/or </w:t>
      </w:r>
      <w:r w:rsidRPr="00395738">
        <w:rPr>
          <w:rFonts w:cs="Times New Roman"/>
          <w:color w:val="000000"/>
          <w:sz w:val="24"/>
          <w:szCs w:val="24"/>
        </w:rPr>
        <w:t xml:space="preserve">in </w:t>
      </w:r>
      <w:r w:rsidR="00413166" w:rsidRPr="00395738">
        <w:rPr>
          <w:rFonts w:cs="Times New Roman"/>
          <w:color w:val="000000"/>
          <w:sz w:val="24"/>
          <w:szCs w:val="24"/>
        </w:rPr>
        <w:t xml:space="preserve">other credit databases. </w:t>
      </w:r>
      <w:r w:rsidR="00152D86" w:rsidRPr="00395738">
        <w:rPr>
          <w:rFonts w:cs="Times New Roman"/>
          <w:color w:val="000000"/>
          <w:sz w:val="24"/>
          <w:szCs w:val="24"/>
        </w:rPr>
        <w:t>F</w:t>
      </w:r>
      <w:r w:rsidR="00413166" w:rsidRPr="00395738">
        <w:rPr>
          <w:rFonts w:cs="Times New Roman"/>
          <w:color w:val="000000"/>
          <w:sz w:val="24"/>
          <w:szCs w:val="24"/>
        </w:rPr>
        <w:t>or example, some CRs focus on loans to legal persons and/or have set a minimum reporting threshold that does not allow capturing a relevant portion of loans to individuals</w:t>
      </w:r>
      <w:r w:rsidR="008B4C29" w:rsidRPr="00395738">
        <w:rPr>
          <w:rFonts w:cs="Times New Roman"/>
          <w:color w:val="000000"/>
          <w:sz w:val="24"/>
          <w:szCs w:val="24"/>
        </w:rPr>
        <w:t xml:space="preserve"> (i.e. </w:t>
      </w:r>
      <w:r w:rsidR="008C6C26" w:rsidRPr="00395738">
        <w:rPr>
          <w:rFonts w:cs="Times New Roman"/>
          <w:color w:val="000000"/>
          <w:sz w:val="24"/>
          <w:szCs w:val="24"/>
        </w:rPr>
        <w:t>some</w:t>
      </w:r>
      <w:r w:rsidR="008B4C29" w:rsidRPr="00395738">
        <w:rPr>
          <w:rFonts w:cs="Times New Roman"/>
          <w:color w:val="000000"/>
          <w:sz w:val="24"/>
          <w:szCs w:val="24"/>
        </w:rPr>
        <w:t xml:space="preserve"> CRs do not cover individuals as such, or micro businesses or other self-proprietorships</w:t>
      </w:r>
      <w:r w:rsidR="00923060" w:rsidRPr="00395738">
        <w:rPr>
          <w:rFonts w:cs="Times New Roman"/>
          <w:color w:val="000000"/>
          <w:sz w:val="24"/>
          <w:szCs w:val="24"/>
        </w:rPr>
        <w:t>)</w:t>
      </w:r>
      <w:r w:rsidR="00413166" w:rsidRPr="00395738">
        <w:rPr>
          <w:rFonts w:cs="Times New Roman"/>
          <w:color w:val="000000"/>
          <w:sz w:val="24"/>
          <w:szCs w:val="24"/>
        </w:rPr>
        <w:t xml:space="preserve">. Likewise, if the set of entities reporting to the CR is limited to </w:t>
      </w:r>
      <w:r w:rsidR="00F40A3A" w:rsidRPr="00395738">
        <w:rPr>
          <w:rFonts w:cs="Times New Roman"/>
          <w:color w:val="000000"/>
          <w:sz w:val="24"/>
          <w:szCs w:val="24"/>
        </w:rPr>
        <w:t xml:space="preserve">traditional commercial </w:t>
      </w:r>
      <w:r w:rsidR="00413166" w:rsidRPr="00395738">
        <w:rPr>
          <w:rFonts w:cs="Times New Roman"/>
          <w:color w:val="000000"/>
          <w:sz w:val="24"/>
          <w:szCs w:val="24"/>
        </w:rPr>
        <w:t>banks, authorities responsible for overall financial stability</w:t>
      </w:r>
      <w:r w:rsidR="00413166" w:rsidRPr="00395738">
        <w:rPr>
          <w:vertAlign w:val="superscript"/>
        </w:rPr>
        <w:footnoteReference w:id="14"/>
      </w:r>
      <w:r w:rsidR="00413166" w:rsidRPr="00395738">
        <w:rPr>
          <w:rFonts w:cs="Times New Roman"/>
          <w:color w:val="000000"/>
          <w:sz w:val="24"/>
          <w:szCs w:val="24"/>
        </w:rPr>
        <w:t xml:space="preserve"> may re</w:t>
      </w:r>
      <w:r w:rsidR="00E03A43" w:rsidRPr="00395738">
        <w:rPr>
          <w:rFonts w:cs="Times New Roman"/>
          <w:color w:val="000000"/>
          <w:sz w:val="24"/>
          <w:szCs w:val="24"/>
        </w:rPr>
        <w:t xml:space="preserve">sort </w:t>
      </w:r>
      <w:r w:rsidR="00413166" w:rsidRPr="00395738">
        <w:rPr>
          <w:rFonts w:cs="Times New Roman"/>
          <w:color w:val="000000"/>
          <w:sz w:val="24"/>
          <w:szCs w:val="24"/>
        </w:rPr>
        <w:t xml:space="preserve">to CBs and CCRCs for data on other relevant financial and non-financial entities that make loans to individuals or firms on a regular basis. </w:t>
      </w:r>
      <w:r w:rsidR="00624A59" w:rsidRPr="00395738">
        <w:rPr>
          <w:rFonts w:cs="Times New Roman"/>
          <w:color w:val="000000"/>
          <w:sz w:val="24"/>
          <w:szCs w:val="24"/>
        </w:rPr>
        <w:t xml:space="preserve">Box </w:t>
      </w:r>
      <w:r w:rsidR="00867A90" w:rsidRPr="00395738">
        <w:rPr>
          <w:rFonts w:cs="Times New Roman"/>
          <w:color w:val="000000"/>
          <w:sz w:val="24"/>
          <w:szCs w:val="24"/>
        </w:rPr>
        <w:t>2</w:t>
      </w:r>
      <w:r w:rsidR="00624A59" w:rsidRPr="00395738">
        <w:rPr>
          <w:rFonts w:cs="Times New Roman"/>
          <w:color w:val="000000"/>
          <w:sz w:val="24"/>
          <w:szCs w:val="24"/>
        </w:rPr>
        <w:t xml:space="preserve"> shows the case of Mexico as an example of credit data being source</w:t>
      </w:r>
      <w:r w:rsidR="00EF76CF" w:rsidRPr="00395738">
        <w:rPr>
          <w:rFonts w:cs="Times New Roman"/>
          <w:color w:val="000000"/>
          <w:sz w:val="24"/>
          <w:szCs w:val="24"/>
        </w:rPr>
        <w:t>d</w:t>
      </w:r>
      <w:r w:rsidR="00624A59" w:rsidRPr="00395738">
        <w:rPr>
          <w:rFonts w:cs="Times New Roman"/>
          <w:color w:val="000000"/>
          <w:sz w:val="24"/>
          <w:szCs w:val="24"/>
        </w:rPr>
        <w:t xml:space="preserve"> </w:t>
      </w:r>
      <w:r w:rsidR="007838FA" w:rsidRPr="00395738">
        <w:rPr>
          <w:rFonts w:cs="Times New Roman"/>
          <w:color w:val="000000"/>
          <w:sz w:val="24"/>
          <w:szCs w:val="24"/>
        </w:rPr>
        <w:t xml:space="preserve">also </w:t>
      </w:r>
      <w:r w:rsidR="00624A59" w:rsidRPr="00395738">
        <w:rPr>
          <w:rFonts w:cs="Times New Roman"/>
          <w:color w:val="000000"/>
          <w:sz w:val="24"/>
          <w:szCs w:val="24"/>
        </w:rPr>
        <w:t xml:space="preserve">from CBs and CCRCs for </w:t>
      </w:r>
      <w:r w:rsidR="008D050A" w:rsidRPr="00395738">
        <w:rPr>
          <w:rFonts w:cs="Times New Roman"/>
          <w:color w:val="000000"/>
          <w:sz w:val="24"/>
          <w:szCs w:val="24"/>
        </w:rPr>
        <w:t xml:space="preserve">certain </w:t>
      </w:r>
      <w:r w:rsidR="00624A59" w:rsidRPr="00395738">
        <w:rPr>
          <w:rFonts w:cs="Times New Roman"/>
          <w:color w:val="000000"/>
          <w:sz w:val="24"/>
          <w:szCs w:val="24"/>
        </w:rPr>
        <w:t>regulatory and supervisory purposes.</w:t>
      </w:r>
    </w:p>
    <w:p w14:paraId="3BB99DA4" w14:textId="3F396AC2" w:rsidR="008D050A" w:rsidRPr="00395738" w:rsidRDefault="008D050A" w:rsidP="008D050A">
      <w:pPr>
        <w:pStyle w:val="ListParagraph"/>
        <w:numPr>
          <w:ilvl w:val="0"/>
          <w:numId w:val="1"/>
        </w:numPr>
        <w:autoSpaceDE w:val="0"/>
        <w:autoSpaceDN w:val="0"/>
        <w:adjustRightInd w:val="0"/>
        <w:spacing w:after="180" w:line="360" w:lineRule="auto"/>
        <w:contextualSpacing w:val="0"/>
        <w:jc w:val="both"/>
        <w:rPr>
          <w:rFonts w:cs="Times New Roman"/>
          <w:color w:val="000000"/>
          <w:sz w:val="24"/>
          <w:szCs w:val="24"/>
        </w:rPr>
      </w:pPr>
      <w:r w:rsidRPr="00395738">
        <w:rPr>
          <w:rFonts w:cs="Times New Roman"/>
          <w:color w:val="000000"/>
          <w:sz w:val="24"/>
          <w:szCs w:val="24"/>
        </w:rPr>
        <w:t xml:space="preserve">There </w:t>
      </w:r>
      <w:r w:rsidR="005153DB" w:rsidRPr="00395738">
        <w:rPr>
          <w:rFonts w:cs="Times New Roman"/>
          <w:color w:val="000000"/>
          <w:sz w:val="24"/>
          <w:szCs w:val="24"/>
        </w:rPr>
        <w:t>may be cases where</w:t>
      </w:r>
      <w:r w:rsidRPr="00395738">
        <w:rPr>
          <w:rFonts w:cs="Times New Roman"/>
          <w:color w:val="000000"/>
          <w:sz w:val="24"/>
          <w:szCs w:val="24"/>
        </w:rPr>
        <w:t xml:space="preserve"> CBs and CCRCs provide </w:t>
      </w:r>
      <w:r w:rsidR="005153DB" w:rsidRPr="00395738">
        <w:rPr>
          <w:rFonts w:cs="Times New Roman"/>
          <w:color w:val="000000"/>
          <w:sz w:val="24"/>
          <w:szCs w:val="24"/>
        </w:rPr>
        <w:t>less</w:t>
      </w:r>
      <w:r w:rsidRPr="00395738">
        <w:rPr>
          <w:rFonts w:cs="Times New Roman"/>
          <w:color w:val="000000"/>
          <w:sz w:val="24"/>
          <w:szCs w:val="24"/>
        </w:rPr>
        <w:t xml:space="preserve"> value to financial regulation and/or supervision, </w:t>
      </w:r>
      <w:r w:rsidR="008B4C29" w:rsidRPr="00395738">
        <w:rPr>
          <w:rFonts w:cs="Times New Roman"/>
          <w:color w:val="000000"/>
          <w:sz w:val="24"/>
          <w:szCs w:val="24"/>
        </w:rPr>
        <w:t xml:space="preserve">mainly </w:t>
      </w:r>
      <w:r w:rsidR="005153DB" w:rsidRPr="00395738">
        <w:rPr>
          <w:rFonts w:cs="Times New Roman"/>
          <w:color w:val="000000"/>
          <w:sz w:val="24"/>
          <w:szCs w:val="24"/>
        </w:rPr>
        <w:t xml:space="preserve">where </w:t>
      </w:r>
      <w:r w:rsidRPr="00395738">
        <w:rPr>
          <w:rFonts w:cs="Times New Roman"/>
          <w:color w:val="000000"/>
          <w:sz w:val="24"/>
          <w:szCs w:val="24"/>
        </w:rPr>
        <w:t>there are legal or other types of restrictions on the collection of data through private arrangements</w:t>
      </w:r>
      <w:r w:rsidR="008B4C29" w:rsidRPr="00395738">
        <w:rPr>
          <w:rFonts w:cs="Times New Roman"/>
          <w:color w:val="000000"/>
          <w:sz w:val="24"/>
          <w:szCs w:val="24"/>
        </w:rPr>
        <w:t xml:space="preserve">. A typical example of this is </w:t>
      </w:r>
      <w:r w:rsidRPr="00395738">
        <w:rPr>
          <w:rFonts w:cs="Times New Roman"/>
          <w:color w:val="000000"/>
          <w:sz w:val="24"/>
          <w:szCs w:val="24"/>
        </w:rPr>
        <w:t>CBs and CCRCs not being able to collect positive credit data.</w:t>
      </w:r>
      <w:r w:rsidRPr="00395738">
        <w:rPr>
          <w:rStyle w:val="FootnoteReference"/>
          <w:rFonts w:cs="Times New Roman"/>
          <w:color w:val="000000"/>
          <w:sz w:val="24"/>
          <w:szCs w:val="24"/>
        </w:rPr>
        <w:footnoteReference w:id="15"/>
      </w:r>
    </w:p>
    <w:p w14:paraId="455DA5EF" w14:textId="5130FAB2" w:rsidR="00E91D8B" w:rsidRPr="00395738" w:rsidRDefault="00E91D8B" w:rsidP="00B0600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240" w:line="240" w:lineRule="auto"/>
        <w:ind w:left="720"/>
        <w:jc w:val="center"/>
        <w:rPr>
          <w:rFonts w:cs="Arial"/>
          <w:color w:val="000000" w:themeColor="text1"/>
        </w:rPr>
      </w:pPr>
      <w:r w:rsidRPr="00395738">
        <w:rPr>
          <w:rFonts w:cs="Times New Roman"/>
          <w:b/>
          <w:color w:val="000000"/>
          <w:sz w:val="28"/>
          <w:szCs w:val="28"/>
        </w:rPr>
        <w:lastRenderedPageBreak/>
        <w:t xml:space="preserve">Box </w:t>
      </w:r>
      <w:r w:rsidR="00867A90" w:rsidRPr="00395738">
        <w:rPr>
          <w:rFonts w:cs="Times New Roman"/>
          <w:b/>
          <w:color w:val="000000"/>
          <w:sz w:val="28"/>
          <w:szCs w:val="28"/>
        </w:rPr>
        <w:t>2</w:t>
      </w:r>
      <w:r w:rsidRPr="00395738">
        <w:rPr>
          <w:rFonts w:cs="Times New Roman"/>
          <w:b/>
          <w:color w:val="000000"/>
          <w:sz w:val="28"/>
          <w:szCs w:val="28"/>
        </w:rPr>
        <w:t xml:space="preserve">: Use of CB and CCRC data for financial </w:t>
      </w:r>
      <w:r w:rsidR="007C5426" w:rsidRPr="00395738">
        <w:rPr>
          <w:rFonts w:cs="Times New Roman"/>
          <w:b/>
          <w:color w:val="000000"/>
          <w:sz w:val="28"/>
          <w:szCs w:val="28"/>
        </w:rPr>
        <w:t xml:space="preserve">supervision and </w:t>
      </w:r>
      <w:r w:rsidR="00CF454A" w:rsidRPr="00395738">
        <w:rPr>
          <w:rFonts w:cs="Times New Roman"/>
          <w:b/>
          <w:color w:val="000000"/>
          <w:sz w:val="28"/>
          <w:szCs w:val="28"/>
        </w:rPr>
        <w:t xml:space="preserve">regulation: </w:t>
      </w:r>
      <w:r w:rsidR="00F40A3A" w:rsidRPr="00395738">
        <w:rPr>
          <w:rFonts w:cs="Times New Roman"/>
          <w:b/>
          <w:color w:val="000000"/>
          <w:sz w:val="28"/>
          <w:szCs w:val="28"/>
        </w:rPr>
        <w:t>T</w:t>
      </w:r>
      <w:r w:rsidR="00CF454A" w:rsidRPr="00395738">
        <w:rPr>
          <w:rFonts w:cs="Times New Roman"/>
          <w:b/>
          <w:color w:val="000000"/>
          <w:sz w:val="28"/>
          <w:szCs w:val="28"/>
        </w:rPr>
        <w:t>he c</w:t>
      </w:r>
      <w:r w:rsidR="007838FA" w:rsidRPr="00395738">
        <w:rPr>
          <w:rFonts w:cs="Times New Roman"/>
          <w:b/>
          <w:color w:val="000000"/>
          <w:sz w:val="28"/>
          <w:szCs w:val="28"/>
        </w:rPr>
        <w:t xml:space="preserve">ase of </w:t>
      </w:r>
      <w:r w:rsidRPr="00395738">
        <w:rPr>
          <w:rFonts w:cs="Times New Roman"/>
          <w:b/>
          <w:color w:val="000000"/>
          <w:sz w:val="28"/>
          <w:szCs w:val="28"/>
        </w:rPr>
        <w:t>Mexico</w:t>
      </w:r>
    </w:p>
    <w:p w14:paraId="25BBC9E0" w14:textId="313CDA9B" w:rsidR="0075324E" w:rsidRPr="00395738" w:rsidRDefault="00A536D6" w:rsidP="00F40A3A">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240" w:line="240" w:lineRule="auto"/>
        <w:ind w:left="720"/>
        <w:jc w:val="both"/>
        <w:rPr>
          <w:rFonts w:cs="Arial"/>
          <w:color w:val="000000" w:themeColor="text1"/>
        </w:rPr>
      </w:pPr>
      <w:r w:rsidRPr="00395738">
        <w:rPr>
          <w:rFonts w:cs="Arial"/>
          <w:color w:val="000000" w:themeColor="text1"/>
        </w:rPr>
        <w:t>Mexico’s central bank (</w:t>
      </w:r>
      <w:r w:rsidR="00624A59" w:rsidRPr="00395738">
        <w:rPr>
          <w:rFonts w:cs="Arial"/>
          <w:color w:val="000000" w:themeColor="text1"/>
        </w:rPr>
        <w:t>Banco de M</w:t>
      </w:r>
      <w:r w:rsidR="003D60EF" w:rsidRPr="00395738">
        <w:rPr>
          <w:rFonts w:cs="Arial"/>
          <w:color w:val="000000" w:themeColor="text1"/>
        </w:rPr>
        <w:t>é</w:t>
      </w:r>
      <w:r w:rsidR="00624A59" w:rsidRPr="00395738">
        <w:rPr>
          <w:rFonts w:cs="Arial"/>
          <w:color w:val="000000" w:themeColor="text1"/>
        </w:rPr>
        <w:t>xico</w:t>
      </w:r>
      <w:r w:rsidRPr="00395738">
        <w:rPr>
          <w:rFonts w:cs="Arial"/>
          <w:color w:val="000000" w:themeColor="text1"/>
        </w:rPr>
        <w:t>)</w:t>
      </w:r>
      <w:r w:rsidR="00624A59" w:rsidRPr="00395738">
        <w:rPr>
          <w:rFonts w:cs="Arial"/>
          <w:color w:val="000000" w:themeColor="text1"/>
        </w:rPr>
        <w:t xml:space="preserve"> and the National Banking and Securities Commission </w:t>
      </w:r>
      <w:r w:rsidR="005205E9" w:rsidRPr="00395738">
        <w:rPr>
          <w:rFonts w:cs="Arial"/>
          <w:color w:val="000000" w:themeColor="text1"/>
        </w:rPr>
        <w:t xml:space="preserve">of Mexico </w:t>
      </w:r>
      <w:r w:rsidR="00624A59" w:rsidRPr="00395738">
        <w:rPr>
          <w:rFonts w:cs="Arial"/>
          <w:color w:val="000000" w:themeColor="text1"/>
        </w:rPr>
        <w:t xml:space="preserve">(CNBV), collect </w:t>
      </w:r>
      <w:r w:rsidR="00EF76CF" w:rsidRPr="00395738">
        <w:rPr>
          <w:rFonts w:cs="Arial"/>
          <w:color w:val="000000" w:themeColor="text1"/>
        </w:rPr>
        <w:t xml:space="preserve">from financial institutions </w:t>
      </w:r>
      <w:r w:rsidR="00624A59" w:rsidRPr="00395738">
        <w:rPr>
          <w:rFonts w:cs="Arial"/>
          <w:color w:val="000000" w:themeColor="text1"/>
        </w:rPr>
        <w:t xml:space="preserve">periodic granular information on </w:t>
      </w:r>
      <w:r w:rsidR="00EF76CF" w:rsidRPr="00395738">
        <w:rPr>
          <w:rFonts w:cs="Arial"/>
          <w:color w:val="000000" w:themeColor="text1"/>
        </w:rPr>
        <w:t xml:space="preserve">their </w:t>
      </w:r>
      <w:r w:rsidR="00624A59" w:rsidRPr="00395738">
        <w:rPr>
          <w:rFonts w:cs="Arial"/>
          <w:color w:val="000000" w:themeColor="text1"/>
        </w:rPr>
        <w:t xml:space="preserve">credit counterparties. However, the </w:t>
      </w:r>
      <w:r w:rsidR="00EF76CF" w:rsidRPr="00395738">
        <w:rPr>
          <w:rFonts w:cs="Arial"/>
          <w:color w:val="000000" w:themeColor="text1"/>
        </w:rPr>
        <w:t xml:space="preserve">respective </w:t>
      </w:r>
      <w:r w:rsidR="00624A59" w:rsidRPr="00395738">
        <w:rPr>
          <w:rFonts w:cs="Arial"/>
          <w:color w:val="000000" w:themeColor="text1"/>
        </w:rPr>
        <w:t xml:space="preserve">information layout </w:t>
      </w:r>
      <w:r w:rsidR="00EF76CF" w:rsidRPr="00395738">
        <w:rPr>
          <w:rFonts w:cs="Arial"/>
          <w:color w:val="000000" w:themeColor="text1"/>
        </w:rPr>
        <w:t>show</w:t>
      </w:r>
      <w:r w:rsidR="00F40A3A" w:rsidRPr="00395738">
        <w:rPr>
          <w:rFonts w:cs="Arial"/>
          <w:color w:val="000000" w:themeColor="text1"/>
        </w:rPr>
        <w:t>ed</w:t>
      </w:r>
      <w:r w:rsidR="00EF76CF" w:rsidRPr="00395738">
        <w:rPr>
          <w:rFonts w:cs="Arial"/>
          <w:color w:val="000000" w:themeColor="text1"/>
        </w:rPr>
        <w:t xml:space="preserve"> areas of opportunity to </w:t>
      </w:r>
      <w:r w:rsidR="00624A59" w:rsidRPr="00395738">
        <w:rPr>
          <w:rFonts w:cs="Arial"/>
          <w:color w:val="000000" w:themeColor="text1"/>
        </w:rPr>
        <w:t xml:space="preserve">bring </w:t>
      </w:r>
      <w:r w:rsidR="00F76096" w:rsidRPr="00395738">
        <w:rPr>
          <w:rFonts w:cs="Arial"/>
          <w:color w:val="000000" w:themeColor="text1"/>
        </w:rPr>
        <w:t>ab</w:t>
      </w:r>
      <w:r w:rsidR="00624A59" w:rsidRPr="00395738">
        <w:rPr>
          <w:rFonts w:cs="Arial"/>
          <w:color w:val="000000" w:themeColor="text1"/>
        </w:rPr>
        <w:t xml:space="preserve">out a comprehensive and consistent analysis of the </w:t>
      </w:r>
      <w:r w:rsidR="00EF76CF" w:rsidRPr="00395738">
        <w:rPr>
          <w:rFonts w:cs="Arial"/>
          <w:color w:val="000000" w:themeColor="text1"/>
        </w:rPr>
        <w:t xml:space="preserve">reported </w:t>
      </w:r>
      <w:r w:rsidR="00624A59" w:rsidRPr="00395738">
        <w:rPr>
          <w:rFonts w:cs="Arial"/>
          <w:color w:val="000000" w:themeColor="text1"/>
        </w:rPr>
        <w:t>data</w:t>
      </w:r>
      <w:r w:rsidR="00EF76CF" w:rsidRPr="00395738">
        <w:rPr>
          <w:rFonts w:cs="Arial"/>
          <w:color w:val="000000" w:themeColor="text1"/>
        </w:rPr>
        <w:t>. Current challenges include</w:t>
      </w:r>
      <w:r w:rsidR="00624A59" w:rsidRPr="00395738">
        <w:rPr>
          <w:rFonts w:cs="Arial"/>
          <w:color w:val="000000" w:themeColor="text1"/>
        </w:rPr>
        <w:t>: i) heterogeneity in the design, timing and historical depth of the information layout among the different types of loan portfolios</w:t>
      </w:r>
      <w:r w:rsidR="0075324E" w:rsidRPr="00395738">
        <w:rPr>
          <w:rFonts w:cs="Arial"/>
          <w:color w:val="000000" w:themeColor="text1"/>
        </w:rPr>
        <w:t>;</w:t>
      </w:r>
      <w:r w:rsidR="00624A59" w:rsidRPr="00395738">
        <w:rPr>
          <w:rFonts w:cs="Arial"/>
          <w:color w:val="000000" w:themeColor="text1"/>
        </w:rPr>
        <w:t xml:space="preserve"> and</w:t>
      </w:r>
      <w:r w:rsidR="0075324E" w:rsidRPr="00395738">
        <w:rPr>
          <w:rFonts w:cs="Arial"/>
          <w:color w:val="000000" w:themeColor="text1"/>
        </w:rPr>
        <w:t>,</w:t>
      </w:r>
      <w:r w:rsidR="00624A59" w:rsidRPr="00395738">
        <w:rPr>
          <w:rFonts w:cs="Arial"/>
          <w:color w:val="000000" w:themeColor="text1"/>
        </w:rPr>
        <w:t xml:space="preserve"> ii) </w:t>
      </w:r>
      <w:r w:rsidR="00EF76CF" w:rsidRPr="00395738">
        <w:rPr>
          <w:rFonts w:cs="Arial"/>
          <w:color w:val="000000" w:themeColor="text1"/>
        </w:rPr>
        <w:t xml:space="preserve">the underlying reports </w:t>
      </w:r>
      <w:r w:rsidR="00624A59" w:rsidRPr="00395738">
        <w:rPr>
          <w:rFonts w:cs="Arial"/>
          <w:color w:val="000000" w:themeColor="text1"/>
        </w:rPr>
        <w:t xml:space="preserve">do not contain information of unregulated lending entities. </w:t>
      </w:r>
    </w:p>
    <w:p w14:paraId="672914AF" w14:textId="152B8B36" w:rsidR="00624A59" w:rsidRPr="00395738" w:rsidRDefault="00624A59" w:rsidP="00F40A3A">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240" w:line="240" w:lineRule="auto"/>
        <w:ind w:left="720"/>
        <w:jc w:val="both"/>
        <w:rPr>
          <w:rFonts w:cs="Arial"/>
          <w:color w:val="000000" w:themeColor="text1"/>
        </w:rPr>
      </w:pPr>
      <w:r w:rsidRPr="00395738">
        <w:rPr>
          <w:rFonts w:cs="Arial"/>
          <w:color w:val="000000" w:themeColor="text1"/>
        </w:rPr>
        <w:t>In this sense, the information collected by CBs and CCRCs has proved valuable for covering these areas of opportunity since the</w:t>
      </w:r>
      <w:r w:rsidR="00EF76CF" w:rsidRPr="00395738">
        <w:rPr>
          <w:rFonts w:cs="Arial"/>
          <w:color w:val="000000" w:themeColor="text1"/>
        </w:rPr>
        <w:t xml:space="preserve">se entities </w:t>
      </w:r>
      <w:r w:rsidRPr="00395738">
        <w:rPr>
          <w:rFonts w:cs="Arial"/>
          <w:color w:val="000000" w:themeColor="text1"/>
        </w:rPr>
        <w:t xml:space="preserve">collect information in a homogenous manner from the totality of regulated credit institutions and from a high percentage of </w:t>
      </w:r>
      <w:r w:rsidR="00F40A3A" w:rsidRPr="00395738">
        <w:rPr>
          <w:rFonts w:cs="Arial"/>
          <w:color w:val="000000" w:themeColor="text1"/>
        </w:rPr>
        <w:t>un</w:t>
      </w:r>
      <w:r w:rsidRPr="00395738">
        <w:rPr>
          <w:rFonts w:cs="Arial"/>
          <w:color w:val="000000" w:themeColor="text1"/>
        </w:rPr>
        <w:t xml:space="preserve">regulated </w:t>
      </w:r>
      <w:r w:rsidR="004E2FD9" w:rsidRPr="00395738">
        <w:rPr>
          <w:rFonts w:cs="Arial"/>
          <w:color w:val="000000" w:themeColor="text1"/>
        </w:rPr>
        <w:t xml:space="preserve">lending </w:t>
      </w:r>
      <w:r w:rsidRPr="00395738">
        <w:rPr>
          <w:rFonts w:cs="Arial"/>
          <w:color w:val="000000" w:themeColor="text1"/>
        </w:rPr>
        <w:t>entities during periods of time long enough to cover the business cycle.</w:t>
      </w:r>
      <w:r w:rsidRPr="00395738">
        <w:rPr>
          <w:rStyle w:val="FootnoteReference"/>
          <w:rFonts w:cs="Arial"/>
          <w:color w:val="000000" w:themeColor="text1"/>
        </w:rPr>
        <w:footnoteReference w:id="16"/>
      </w:r>
    </w:p>
    <w:p w14:paraId="2E0B71F0" w14:textId="678386CF" w:rsidR="00624A59" w:rsidRPr="00395738" w:rsidRDefault="00624A59" w:rsidP="00F40A3A">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240" w:line="240" w:lineRule="auto"/>
        <w:ind w:left="720"/>
        <w:jc w:val="both"/>
        <w:rPr>
          <w:rFonts w:cs="Arial"/>
          <w:color w:val="000000" w:themeColor="text1"/>
        </w:rPr>
      </w:pPr>
      <w:r w:rsidRPr="00395738">
        <w:rPr>
          <w:rFonts w:cs="Arial"/>
          <w:color w:val="000000" w:themeColor="text1"/>
        </w:rPr>
        <w:t>With regard to the specific uses of the data</w:t>
      </w:r>
      <w:r w:rsidR="00EF76CF" w:rsidRPr="00395738">
        <w:rPr>
          <w:rFonts w:cs="Arial"/>
          <w:color w:val="000000" w:themeColor="text1"/>
        </w:rPr>
        <w:t xml:space="preserve"> obtained from CBs and CCRCs</w:t>
      </w:r>
      <w:r w:rsidRPr="00395738">
        <w:rPr>
          <w:rFonts w:cs="Arial"/>
          <w:color w:val="000000" w:themeColor="text1"/>
        </w:rPr>
        <w:t xml:space="preserve">, one example is that of credit risk provisioning. At the time of the latest financial crisis, provisioning was </w:t>
      </w:r>
      <w:r w:rsidR="0075324E" w:rsidRPr="00395738">
        <w:rPr>
          <w:rFonts w:cs="Arial"/>
          <w:color w:val="000000" w:themeColor="text1"/>
        </w:rPr>
        <w:t xml:space="preserve">based </w:t>
      </w:r>
      <w:r w:rsidRPr="00395738">
        <w:rPr>
          <w:rFonts w:cs="Arial"/>
          <w:color w:val="000000" w:themeColor="text1"/>
        </w:rPr>
        <w:t xml:space="preserve">on “incurred loss” models </w:t>
      </w:r>
      <w:r w:rsidR="0075324E" w:rsidRPr="00395738">
        <w:rPr>
          <w:rFonts w:cs="Arial"/>
          <w:color w:val="000000" w:themeColor="text1"/>
        </w:rPr>
        <w:t xml:space="preserve">which </w:t>
      </w:r>
      <w:r w:rsidRPr="00395738">
        <w:rPr>
          <w:rFonts w:cs="Arial"/>
          <w:color w:val="000000" w:themeColor="text1"/>
        </w:rPr>
        <w:t xml:space="preserve">showed deficiencies </w:t>
      </w:r>
      <w:r w:rsidR="00F40A3A" w:rsidRPr="00395738">
        <w:rPr>
          <w:rFonts w:cs="Arial"/>
          <w:color w:val="000000" w:themeColor="text1"/>
        </w:rPr>
        <w:t xml:space="preserve">with regard </w:t>
      </w:r>
      <w:r w:rsidRPr="00395738">
        <w:rPr>
          <w:rFonts w:cs="Arial"/>
          <w:color w:val="000000" w:themeColor="text1"/>
        </w:rPr>
        <w:t xml:space="preserve">to the time and the amount needed to face credit risk. For this reason, efforts </w:t>
      </w:r>
      <w:r w:rsidR="00492C60" w:rsidRPr="00395738">
        <w:rPr>
          <w:rFonts w:cs="Arial"/>
          <w:color w:val="000000" w:themeColor="text1"/>
        </w:rPr>
        <w:t xml:space="preserve">have been made </w:t>
      </w:r>
      <w:r w:rsidRPr="00395738">
        <w:rPr>
          <w:rFonts w:cs="Arial"/>
          <w:color w:val="000000" w:themeColor="text1"/>
        </w:rPr>
        <w:t xml:space="preserve">to shift </w:t>
      </w:r>
      <w:r w:rsidR="00492C60" w:rsidRPr="00395738">
        <w:rPr>
          <w:rFonts w:cs="Arial"/>
          <w:color w:val="000000" w:themeColor="text1"/>
        </w:rPr>
        <w:t>t</w:t>
      </w:r>
      <w:r w:rsidRPr="00395738">
        <w:rPr>
          <w:rFonts w:cs="Arial"/>
          <w:color w:val="000000" w:themeColor="text1"/>
        </w:rPr>
        <w:t>o a new</w:t>
      </w:r>
      <w:r w:rsidR="0075324E" w:rsidRPr="00395738">
        <w:rPr>
          <w:rFonts w:cs="Arial"/>
          <w:color w:val="000000" w:themeColor="text1"/>
        </w:rPr>
        <w:t>,</w:t>
      </w:r>
      <w:r w:rsidRPr="00395738">
        <w:rPr>
          <w:rFonts w:cs="Arial"/>
          <w:color w:val="000000" w:themeColor="text1"/>
        </w:rPr>
        <w:t xml:space="preserve"> more prospective model known as “expected loss” (EL), where losses are provisioned </w:t>
      </w:r>
      <w:r w:rsidRPr="00395738">
        <w:rPr>
          <w:rFonts w:cs="Arial"/>
          <w:i/>
          <w:color w:val="000000" w:themeColor="text1"/>
        </w:rPr>
        <w:t>ex-ante</w:t>
      </w:r>
      <w:r w:rsidRPr="00395738">
        <w:rPr>
          <w:rFonts w:cs="Arial"/>
          <w:color w:val="000000" w:themeColor="text1"/>
        </w:rPr>
        <w:t>.</w:t>
      </w:r>
    </w:p>
    <w:p w14:paraId="081EE167" w14:textId="1C8B914C" w:rsidR="00624A59" w:rsidRPr="00395738" w:rsidRDefault="00624A59" w:rsidP="00F40A3A">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240" w:line="240" w:lineRule="auto"/>
        <w:ind w:left="720"/>
        <w:jc w:val="both"/>
        <w:rPr>
          <w:rFonts w:cs="Arial"/>
          <w:color w:val="000000" w:themeColor="text1"/>
        </w:rPr>
      </w:pPr>
      <w:r w:rsidRPr="00395738">
        <w:rPr>
          <w:rFonts w:cs="Arial"/>
          <w:color w:val="000000" w:themeColor="text1"/>
        </w:rPr>
        <w:t>In the development of EL models, the use of CB</w:t>
      </w:r>
      <w:r w:rsidR="00492C60" w:rsidRPr="00395738">
        <w:rPr>
          <w:rFonts w:cs="Arial"/>
          <w:color w:val="000000" w:themeColor="text1"/>
        </w:rPr>
        <w:t>/CCRC</w:t>
      </w:r>
      <w:r w:rsidRPr="00395738">
        <w:rPr>
          <w:rFonts w:cs="Arial"/>
          <w:color w:val="000000" w:themeColor="text1"/>
        </w:rPr>
        <w:t xml:space="preserve"> information allows incorporating a systemic approach </w:t>
      </w:r>
      <w:r w:rsidR="00492C60" w:rsidRPr="00395738">
        <w:rPr>
          <w:rFonts w:cs="Arial"/>
          <w:color w:val="000000" w:themeColor="text1"/>
        </w:rPr>
        <w:t xml:space="preserve">by </w:t>
      </w:r>
      <w:r w:rsidRPr="00395738">
        <w:rPr>
          <w:rFonts w:cs="Arial"/>
          <w:color w:val="000000" w:themeColor="text1"/>
        </w:rPr>
        <w:t>consider</w:t>
      </w:r>
      <w:r w:rsidR="00492C60" w:rsidRPr="00395738">
        <w:rPr>
          <w:rFonts w:cs="Arial"/>
          <w:color w:val="000000" w:themeColor="text1"/>
        </w:rPr>
        <w:t xml:space="preserve">ing </w:t>
      </w:r>
      <w:r w:rsidRPr="00395738">
        <w:rPr>
          <w:rFonts w:cs="Arial"/>
          <w:color w:val="000000" w:themeColor="text1"/>
        </w:rPr>
        <w:t>the default</w:t>
      </w:r>
      <w:r w:rsidR="00492C60" w:rsidRPr="00395738">
        <w:rPr>
          <w:rFonts w:cs="Arial"/>
          <w:color w:val="000000" w:themeColor="text1"/>
        </w:rPr>
        <w:t>s</w:t>
      </w:r>
      <w:r w:rsidRPr="00395738">
        <w:rPr>
          <w:rFonts w:cs="Arial"/>
          <w:color w:val="000000" w:themeColor="text1"/>
        </w:rPr>
        <w:t xml:space="preserve"> that debtors </w:t>
      </w:r>
      <w:r w:rsidR="00492C60" w:rsidRPr="00395738">
        <w:rPr>
          <w:rFonts w:cs="Arial"/>
          <w:color w:val="000000" w:themeColor="text1"/>
        </w:rPr>
        <w:t xml:space="preserve">may </w:t>
      </w:r>
      <w:r w:rsidRPr="00395738">
        <w:rPr>
          <w:rFonts w:cs="Arial"/>
          <w:color w:val="000000" w:themeColor="text1"/>
        </w:rPr>
        <w:t>have had with any credit counterparty and with any loan product</w:t>
      </w:r>
      <w:r w:rsidR="00492C60" w:rsidRPr="00395738">
        <w:rPr>
          <w:rFonts w:cs="Arial"/>
          <w:color w:val="000000" w:themeColor="text1"/>
        </w:rPr>
        <w:t>,</w:t>
      </w:r>
      <w:r w:rsidRPr="00395738">
        <w:rPr>
          <w:rFonts w:cs="Arial"/>
          <w:color w:val="000000" w:themeColor="text1"/>
        </w:rPr>
        <w:t xml:space="preserve"> and not just with each institution in particular. In this sense, a systemic probability of default (PD) can be obtained. This approach provides greater consistency to the perception of the borrowers</w:t>
      </w:r>
      <w:r w:rsidR="00492C60" w:rsidRPr="00395738">
        <w:rPr>
          <w:rFonts w:cs="Arial"/>
          <w:color w:val="000000" w:themeColor="text1"/>
        </w:rPr>
        <w:t>’</w:t>
      </w:r>
      <w:r w:rsidRPr="00395738">
        <w:rPr>
          <w:rFonts w:cs="Arial"/>
          <w:color w:val="000000" w:themeColor="text1"/>
        </w:rPr>
        <w:t xml:space="preserve"> risk in the system.</w:t>
      </w:r>
    </w:p>
    <w:p w14:paraId="2C95A874" w14:textId="0AC44853" w:rsidR="00624A59" w:rsidRPr="00395738" w:rsidRDefault="00624A59" w:rsidP="00F40A3A">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240" w:line="240" w:lineRule="auto"/>
        <w:ind w:left="720"/>
        <w:jc w:val="both"/>
        <w:rPr>
          <w:rFonts w:cs="Arial"/>
          <w:color w:val="000000"/>
        </w:rPr>
      </w:pPr>
      <w:r w:rsidRPr="00395738">
        <w:rPr>
          <w:rFonts w:cs="Arial"/>
          <w:color w:val="000000"/>
        </w:rPr>
        <w:t xml:space="preserve">With this background, </w:t>
      </w:r>
      <w:r w:rsidR="0075324E" w:rsidRPr="00395738">
        <w:rPr>
          <w:rFonts w:cs="Arial"/>
          <w:color w:val="000000"/>
        </w:rPr>
        <w:t xml:space="preserve">in 2008 </w:t>
      </w:r>
      <w:r w:rsidRPr="00395738">
        <w:rPr>
          <w:rFonts w:cs="Arial"/>
          <w:color w:val="000000"/>
        </w:rPr>
        <w:t xml:space="preserve">the CNBV </w:t>
      </w:r>
      <w:r w:rsidR="0075324E" w:rsidRPr="00395738">
        <w:rPr>
          <w:rFonts w:cs="Arial"/>
          <w:color w:val="000000"/>
        </w:rPr>
        <w:t xml:space="preserve">launched </w:t>
      </w:r>
      <w:r w:rsidRPr="00395738">
        <w:rPr>
          <w:rFonts w:cs="Arial"/>
          <w:color w:val="000000"/>
        </w:rPr>
        <w:t xml:space="preserve">a project to change the reserves provisioning approach towards the EL model. This new EL model for the commercial </w:t>
      </w:r>
      <w:r w:rsidR="0075324E" w:rsidRPr="00395738">
        <w:rPr>
          <w:rFonts w:cs="Arial"/>
          <w:color w:val="000000"/>
        </w:rPr>
        <w:t xml:space="preserve">loans </w:t>
      </w:r>
      <w:r w:rsidRPr="00395738">
        <w:rPr>
          <w:rFonts w:cs="Arial"/>
          <w:color w:val="000000"/>
        </w:rPr>
        <w:t>portfolio incorporated information from CBs and CCRCs to estimate the PD.</w:t>
      </w:r>
      <w:r w:rsidRPr="00395738">
        <w:rPr>
          <w:rStyle w:val="FootnoteReference"/>
          <w:rFonts w:cs="Arial"/>
          <w:color w:val="000000"/>
        </w:rPr>
        <w:footnoteReference w:id="17"/>
      </w:r>
      <w:r w:rsidR="0075324E" w:rsidRPr="00395738">
        <w:rPr>
          <w:rFonts w:cs="Arial"/>
          <w:color w:val="000000"/>
        </w:rPr>
        <w:t xml:space="preserve"> </w:t>
      </w:r>
      <w:r w:rsidRPr="00395738">
        <w:rPr>
          <w:rFonts w:cs="Arial"/>
          <w:color w:val="000000"/>
        </w:rPr>
        <w:t>The dimensions of risk considered in the PD are: payment behavior information with banks and non-banks, information o</w:t>
      </w:r>
      <w:r w:rsidR="00034257" w:rsidRPr="00395738">
        <w:rPr>
          <w:rFonts w:cs="Arial"/>
          <w:color w:val="000000"/>
        </w:rPr>
        <w:t>n</w:t>
      </w:r>
      <w:r w:rsidRPr="00395738">
        <w:rPr>
          <w:rFonts w:cs="Arial"/>
          <w:color w:val="000000"/>
        </w:rPr>
        <w:t xml:space="preserve"> write-offs or loan restructuring, information on payment experience with </w:t>
      </w:r>
      <w:r w:rsidR="00034257" w:rsidRPr="00395738">
        <w:rPr>
          <w:rFonts w:cs="Arial"/>
          <w:color w:val="000000"/>
        </w:rPr>
        <w:t>g</w:t>
      </w:r>
      <w:r w:rsidRPr="00395738">
        <w:rPr>
          <w:rFonts w:cs="Arial"/>
          <w:color w:val="000000"/>
        </w:rPr>
        <w:t>overnment entities,</w:t>
      </w:r>
      <w:r w:rsidRPr="00395738">
        <w:rPr>
          <w:rStyle w:val="FootnoteReference"/>
          <w:rFonts w:cs="Arial"/>
          <w:color w:val="000000"/>
        </w:rPr>
        <w:footnoteReference w:id="18"/>
      </w:r>
      <w:r w:rsidRPr="00395738">
        <w:rPr>
          <w:rFonts w:cs="Arial"/>
          <w:color w:val="000000"/>
        </w:rPr>
        <w:t xml:space="preserve"> </w:t>
      </w:r>
      <w:r w:rsidR="00034257" w:rsidRPr="00395738">
        <w:rPr>
          <w:rFonts w:cs="Arial"/>
          <w:color w:val="000000"/>
        </w:rPr>
        <w:t>the debtors’ economic sector a</w:t>
      </w:r>
      <w:r w:rsidRPr="00395738">
        <w:rPr>
          <w:rFonts w:cs="Arial"/>
          <w:color w:val="000000"/>
        </w:rPr>
        <w:t xml:space="preserve">nd </w:t>
      </w:r>
      <w:r w:rsidR="00034257" w:rsidRPr="00395738">
        <w:rPr>
          <w:rFonts w:cs="Arial"/>
          <w:color w:val="000000"/>
        </w:rPr>
        <w:t xml:space="preserve">geographical </w:t>
      </w:r>
      <w:r w:rsidRPr="00395738">
        <w:rPr>
          <w:rFonts w:cs="Arial"/>
          <w:color w:val="000000"/>
        </w:rPr>
        <w:t>region</w:t>
      </w:r>
      <w:r w:rsidR="00413166" w:rsidRPr="00395738">
        <w:rPr>
          <w:rFonts w:cs="Arial"/>
          <w:color w:val="000000"/>
        </w:rPr>
        <w:t>,</w:t>
      </w:r>
      <w:r w:rsidRPr="00395738">
        <w:rPr>
          <w:rFonts w:cs="Arial"/>
          <w:color w:val="000000"/>
        </w:rPr>
        <w:t xml:space="preserve"> and </w:t>
      </w:r>
      <w:r w:rsidR="00034257" w:rsidRPr="00395738">
        <w:rPr>
          <w:rFonts w:cs="Arial"/>
          <w:color w:val="000000"/>
        </w:rPr>
        <w:t xml:space="preserve">their </w:t>
      </w:r>
      <w:r w:rsidRPr="00395738">
        <w:rPr>
          <w:rFonts w:cs="Arial"/>
          <w:color w:val="000000"/>
        </w:rPr>
        <w:t xml:space="preserve">credit and </w:t>
      </w:r>
      <w:r w:rsidR="00413166" w:rsidRPr="00395738">
        <w:rPr>
          <w:rFonts w:cs="Arial"/>
          <w:color w:val="000000"/>
        </w:rPr>
        <w:t xml:space="preserve">overall </w:t>
      </w:r>
      <w:r w:rsidRPr="00395738">
        <w:rPr>
          <w:rFonts w:cs="Arial"/>
          <w:color w:val="000000"/>
        </w:rPr>
        <w:t>financial situation characteristics.</w:t>
      </w:r>
      <w:r w:rsidR="00DF6944" w:rsidRPr="00395738">
        <w:rPr>
          <w:rFonts w:cs="Arial"/>
          <w:color w:val="000000"/>
        </w:rPr>
        <w:t xml:space="preserve"> On the basis of the latter, a debtor credit score is calculated.</w:t>
      </w:r>
    </w:p>
    <w:p w14:paraId="0CAE461F" w14:textId="2036CA2D" w:rsidR="0075324E" w:rsidRPr="00395738" w:rsidRDefault="0075324E" w:rsidP="00B0600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240" w:line="360" w:lineRule="auto"/>
        <w:ind w:left="720"/>
        <w:jc w:val="center"/>
        <w:rPr>
          <w:rFonts w:cs="Arial"/>
          <w:color w:val="000000"/>
        </w:rPr>
      </w:pPr>
      <w:r w:rsidRPr="00395738">
        <w:rPr>
          <w:rFonts w:cs="Arial"/>
          <w:noProof/>
          <w:color w:val="000000"/>
        </w:rPr>
        <w:lastRenderedPageBreak/>
        <w:drawing>
          <wp:inline distT="0" distB="0" distL="0" distR="0" wp14:anchorId="70F6DA57" wp14:editId="49232C13">
            <wp:extent cx="2880000" cy="268629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2686297"/>
                    </a:xfrm>
                    <a:prstGeom prst="rect">
                      <a:avLst/>
                    </a:prstGeom>
                    <a:noFill/>
                  </pic:spPr>
                </pic:pic>
              </a:graphicData>
            </a:graphic>
          </wp:inline>
        </w:drawing>
      </w:r>
    </w:p>
    <w:p w14:paraId="04C09611" w14:textId="73F8B546" w:rsidR="00413166" w:rsidRPr="00395738" w:rsidRDefault="00DF6944" w:rsidP="004178C4">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ind w:left="720"/>
        <w:jc w:val="both"/>
        <w:rPr>
          <w:rFonts w:cs="Arial"/>
          <w:color w:val="000000"/>
        </w:rPr>
      </w:pPr>
      <w:r w:rsidRPr="00395738">
        <w:rPr>
          <w:rFonts w:cs="Arial"/>
          <w:color w:val="000000"/>
        </w:rPr>
        <w:t xml:space="preserve">This model, </w:t>
      </w:r>
      <w:r w:rsidR="0075324E" w:rsidRPr="00395738">
        <w:rPr>
          <w:rFonts w:cs="Arial"/>
          <w:color w:val="000000"/>
        </w:rPr>
        <w:t xml:space="preserve">calibrated with information from </w:t>
      </w:r>
      <w:r w:rsidRPr="00395738">
        <w:rPr>
          <w:rFonts w:cs="Arial"/>
          <w:color w:val="000000"/>
        </w:rPr>
        <w:t>CBs and CCRCs</w:t>
      </w:r>
      <w:r w:rsidR="00C268D6" w:rsidRPr="00395738">
        <w:rPr>
          <w:rFonts w:cs="Arial"/>
          <w:color w:val="000000"/>
        </w:rPr>
        <w:t xml:space="preserve"> based on an expert analysis of qualitative and quantitative data, </w:t>
      </w:r>
      <w:r w:rsidR="0075324E" w:rsidRPr="00395738">
        <w:rPr>
          <w:rFonts w:cs="Arial"/>
          <w:color w:val="000000"/>
        </w:rPr>
        <w:t>show</w:t>
      </w:r>
      <w:r w:rsidR="00E91D8B" w:rsidRPr="00395738">
        <w:rPr>
          <w:rFonts w:cs="Arial"/>
          <w:color w:val="000000"/>
        </w:rPr>
        <w:t>ed</w:t>
      </w:r>
      <w:r w:rsidR="0075324E" w:rsidRPr="00395738">
        <w:rPr>
          <w:rFonts w:cs="Arial"/>
          <w:color w:val="000000"/>
        </w:rPr>
        <w:t xml:space="preserve"> a significant improvement in its predictive power over th</w:t>
      </w:r>
      <w:r w:rsidR="00B06009" w:rsidRPr="00395738">
        <w:rPr>
          <w:rFonts w:cs="Arial"/>
          <w:color w:val="000000"/>
        </w:rPr>
        <w:t>e previous regulatory model</w:t>
      </w:r>
      <w:r w:rsidR="0075324E" w:rsidRPr="00395738">
        <w:rPr>
          <w:rFonts w:cs="Arial"/>
          <w:color w:val="000000"/>
        </w:rPr>
        <w:t>.</w:t>
      </w:r>
      <w:r w:rsidR="00413166" w:rsidRPr="00395738">
        <w:rPr>
          <w:rFonts w:cs="Arial"/>
          <w:color w:val="000000"/>
        </w:rPr>
        <w:t xml:space="preserve"> </w:t>
      </w:r>
    </w:p>
    <w:p w14:paraId="4817E8D8" w14:textId="0595B77F" w:rsidR="00413166" w:rsidRPr="00395738" w:rsidRDefault="00413166" w:rsidP="004178C4">
      <w:pPr>
        <w:pStyle w:val="ListParagraph"/>
        <w:autoSpaceDE w:val="0"/>
        <w:autoSpaceDN w:val="0"/>
        <w:adjustRightInd w:val="0"/>
        <w:spacing w:after="180" w:line="360" w:lineRule="auto"/>
        <w:ind w:left="630"/>
        <w:contextualSpacing w:val="0"/>
        <w:jc w:val="both"/>
        <w:rPr>
          <w:rFonts w:cs="Times New Roman"/>
          <w:color w:val="000000"/>
          <w:sz w:val="20"/>
          <w:szCs w:val="20"/>
        </w:rPr>
      </w:pPr>
      <w:r w:rsidRPr="00395738">
        <w:rPr>
          <w:rFonts w:cs="Times New Roman"/>
          <w:i/>
          <w:color w:val="000000"/>
          <w:sz w:val="20"/>
          <w:szCs w:val="20"/>
        </w:rPr>
        <w:t>Source</w:t>
      </w:r>
      <w:r w:rsidR="00761BC8" w:rsidRPr="00395738">
        <w:rPr>
          <w:rFonts w:cs="Times New Roman"/>
          <w:color w:val="000000"/>
          <w:sz w:val="20"/>
          <w:szCs w:val="20"/>
        </w:rPr>
        <w:t>: Banco de Mé</w:t>
      </w:r>
      <w:r w:rsidRPr="00395738">
        <w:rPr>
          <w:rFonts w:cs="Times New Roman"/>
          <w:color w:val="000000"/>
          <w:sz w:val="20"/>
          <w:szCs w:val="20"/>
        </w:rPr>
        <w:t>xico.</w:t>
      </w:r>
    </w:p>
    <w:p w14:paraId="19107C62" w14:textId="2BDDFBC3" w:rsidR="00F71591" w:rsidRPr="00395738" w:rsidRDefault="00F71591" w:rsidP="00F71591">
      <w:pPr>
        <w:pStyle w:val="Subtitle"/>
        <w:spacing w:before="480" w:after="240"/>
        <w:rPr>
          <w:rFonts w:asciiTheme="minorHAnsi" w:hAnsiTheme="minorHAnsi"/>
        </w:rPr>
      </w:pPr>
      <w:r w:rsidRPr="00395738">
        <w:rPr>
          <w:rFonts w:asciiTheme="minorHAnsi" w:hAnsiTheme="minorHAnsi"/>
        </w:rPr>
        <w:t>II.</w:t>
      </w:r>
      <w:r w:rsidR="007B68F4" w:rsidRPr="00395738">
        <w:rPr>
          <w:rFonts w:asciiTheme="minorHAnsi" w:hAnsiTheme="minorHAnsi"/>
        </w:rPr>
        <w:t>2</w:t>
      </w:r>
      <w:r w:rsidRPr="00395738">
        <w:rPr>
          <w:rFonts w:asciiTheme="minorHAnsi" w:hAnsiTheme="minorHAnsi"/>
        </w:rPr>
        <w:t xml:space="preserve"> </w:t>
      </w:r>
      <w:r w:rsidR="008F53E6" w:rsidRPr="00395738">
        <w:rPr>
          <w:rFonts w:asciiTheme="minorHAnsi" w:hAnsiTheme="minorHAnsi"/>
        </w:rPr>
        <w:t xml:space="preserve">Credit </w:t>
      </w:r>
      <w:r w:rsidR="00B9362E" w:rsidRPr="00395738">
        <w:rPr>
          <w:rFonts w:asciiTheme="minorHAnsi" w:hAnsiTheme="minorHAnsi"/>
        </w:rPr>
        <w:t>d</w:t>
      </w:r>
      <w:r w:rsidR="004D3539" w:rsidRPr="00395738">
        <w:rPr>
          <w:rFonts w:asciiTheme="minorHAnsi" w:hAnsiTheme="minorHAnsi"/>
        </w:rPr>
        <w:t xml:space="preserve">ata </w:t>
      </w:r>
      <w:r w:rsidR="00B9362E" w:rsidRPr="00395738">
        <w:rPr>
          <w:rFonts w:asciiTheme="minorHAnsi" w:hAnsiTheme="minorHAnsi"/>
        </w:rPr>
        <w:t>n</w:t>
      </w:r>
      <w:r w:rsidR="004D3539" w:rsidRPr="00395738">
        <w:rPr>
          <w:rFonts w:asciiTheme="minorHAnsi" w:hAnsiTheme="minorHAnsi"/>
        </w:rPr>
        <w:t>eed</w:t>
      </w:r>
      <w:r w:rsidR="00D819A7" w:rsidRPr="00395738">
        <w:rPr>
          <w:rFonts w:asciiTheme="minorHAnsi" w:hAnsiTheme="minorHAnsi"/>
        </w:rPr>
        <w:t xml:space="preserve">ed for </w:t>
      </w:r>
      <w:r w:rsidR="00B9362E" w:rsidRPr="00395738">
        <w:rPr>
          <w:rFonts w:asciiTheme="minorHAnsi" w:hAnsiTheme="minorHAnsi"/>
        </w:rPr>
        <w:t>f</w:t>
      </w:r>
      <w:r w:rsidR="00D819A7" w:rsidRPr="00395738">
        <w:rPr>
          <w:rFonts w:asciiTheme="minorHAnsi" w:hAnsiTheme="minorHAnsi"/>
        </w:rPr>
        <w:t xml:space="preserve">inancial </w:t>
      </w:r>
      <w:r w:rsidR="00B9362E" w:rsidRPr="00395738">
        <w:rPr>
          <w:rFonts w:asciiTheme="minorHAnsi" w:hAnsiTheme="minorHAnsi"/>
        </w:rPr>
        <w:t>s</w:t>
      </w:r>
      <w:r w:rsidR="002347C1" w:rsidRPr="00395738">
        <w:rPr>
          <w:rFonts w:asciiTheme="minorHAnsi" w:hAnsiTheme="minorHAnsi"/>
        </w:rPr>
        <w:t xml:space="preserve">ector </w:t>
      </w:r>
      <w:r w:rsidR="00B9362E" w:rsidRPr="00395738">
        <w:rPr>
          <w:rFonts w:asciiTheme="minorHAnsi" w:hAnsiTheme="minorHAnsi"/>
        </w:rPr>
        <w:t>r</w:t>
      </w:r>
      <w:r w:rsidR="00D819A7" w:rsidRPr="00395738">
        <w:rPr>
          <w:rFonts w:asciiTheme="minorHAnsi" w:hAnsiTheme="minorHAnsi"/>
        </w:rPr>
        <w:t xml:space="preserve">egulatory and </w:t>
      </w:r>
      <w:r w:rsidR="00B9362E" w:rsidRPr="00395738">
        <w:rPr>
          <w:rFonts w:asciiTheme="minorHAnsi" w:hAnsiTheme="minorHAnsi"/>
        </w:rPr>
        <w:t>s</w:t>
      </w:r>
      <w:r w:rsidR="00D819A7" w:rsidRPr="00395738">
        <w:rPr>
          <w:rFonts w:asciiTheme="minorHAnsi" w:hAnsiTheme="minorHAnsi"/>
        </w:rPr>
        <w:t xml:space="preserve">upervisory </w:t>
      </w:r>
      <w:r w:rsidR="00B9362E" w:rsidRPr="00395738">
        <w:rPr>
          <w:rFonts w:asciiTheme="minorHAnsi" w:hAnsiTheme="minorHAnsi"/>
        </w:rPr>
        <w:t>p</w:t>
      </w:r>
      <w:r w:rsidR="00D819A7" w:rsidRPr="00395738">
        <w:rPr>
          <w:rFonts w:asciiTheme="minorHAnsi" w:hAnsiTheme="minorHAnsi"/>
        </w:rPr>
        <w:t>urposes</w:t>
      </w:r>
    </w:p>
    <w:p w14:paraId="28807094" w14:textId="75940353" w:rsidR="00430C36" w:rsidRPr="00395738" w:rsidRDefault="00D819A7" w:rsidP="00942E7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Data need</w:t>
      </w:r>
      <w:r w:rsidR="00430C36" w:rsidRPr="00395738">
        <w:rPr>
          <w:rFonts w:cs="Times New Roman"/>
          <w:color w:val="000000"/>
          <w:sz w:val="24"/>
          <w:szCs w:val="24"/>
        </w:rPr>
        <w:t>s</w:t>
      </w:r>
      <w:r w:rsidRPr="00395738">
        <w:rPr>
          <w:rFonts w:cs="Times New Roman"/>
          <w:color w:val="000000"/>
          <w:sz w:val="24"/>
          <w:szCs w:val="24"/>
        </w:rPr>
        <w:t xml:space="preserve"> of financial supervisors have been evolving over time in response to changes in the banking business and the financial business more generally, and also as a result of new regulatory/supervisory paradigms. For example, micro-prudential supervision evolved from </w:t>
      </w:r>
      <w:r w:rsidR="000A7FF6" w:rsidRPr="00395738">
        <w:rPr>
          <w:rFonts w:cs="Times New Roman"/>
          <w:color w:val="000000"/>
          <w:sz w:val="24"/>
          <w:szCs w:val="24"/>
        </w:rPr>
        <w:t xml:space="preserve">being </w:t>
      </w:r>
      <w:r w:rsidRPr="00395738">
        <w:rPr>
          <w:rFonts w:cs="Times New Roman"/>
          <w:color w:val="000000"/>
          <w:sz w:val="24"/>
          <w:szCs w:val="24"/>
        </w:rPr>
        <w:t xml:space="preserve">largely </w:t>
      </w:r>
      <w:r w:rsidR="000A7FF6" w:rsidRPr="00395738">
        <w:rPr>
          <w:rFonts w:cs="Times New Roman"/>
          <w:color w:val="000000"/>
          <w:sz w:val="24"/>
          <w:szCs w:val="24"/>
        </w:rPr>
        <w:t xml:space="preserve">an </w:t>
      </w:r>
      <w:r w:rsidRPr="00395738">
        <w:rPr>
          <w:rFonts w:cs="Times New Roman"/>
          <w:color w:val="000000"/>
          <w:sz w:val="24"/>
          <w:szCs w:val="24"/>
        </w:rPr>
        <w:t>ex-post</w:t>
      </w:r>
      <w:r w:rsidR="000A7FF6" w:rsidRPr="00395738">
        <w:rPr>
          <w:rFonts w:cs="Times New Roman"/>
          <w:color w:val="000000"/>
          <w:sz w:val="24"/>
          <w:szCs w:val="24"/>
        </w:rPr>
        <w:t>,</w:t>
      </w:r>
      <w:r w:rsidRPr="00395738">
        <w:rPr>
          <w:rFonts w:cs="Times New Roman"/>
          <w:color w:val="000000"/>
          <w:sz w:val="24"/>
          <w:szCs w:val="24"/>
        </w:rPr>
        <w:t xml:space="preserve"> regulatory compliance</w:t>
      </w:r>
      <w:r w:rsidR="000A7FF6" w:rsidRPr="00395738">
        <w:rPr>
          <w:rFonts w:cs="Times New Roman"/>
          <w:color w:val="000000"/>
          <w:sz w:val="24"/>
          <w:szCs w:val="24"/>
        </w:rPr>
        <w:t>-focused</w:t>
      </w:r>
      <w:r w:rsidRPr="00395738">
        <w:rPr>
          <w:rFonts w:cs="Times New Roman"/>
          <w:color w:val="000000"/>
          <w:sz w:val="24"/>
          <w:szCs w:val="24"/>
        </w:rPr>
        <w:t xml:space="preserve"> (audit-like) activity up to the 1980s</w:t>
      </w:r>
      <w:r w:rsidR="00355F76" w:rsidRPr="00395738">
        <w:rPr>
          <w:rFonts w:cs="Times New Roman"/>
          <w:color w:val="000000"/>
          <w:sz w:val="24"/>
          <w:szCs w:val="24"/>
        </w:rPr>
        <w:t xml:space="preserve"> and early 1990s</w:t>
      </w:r>
      <w:r w:rsidRPr="00395738">
        <w:rPr>
          <w:rFonts w:cs="Times New Roman"/>
          <w:color w:val="000000"/>
          <w:sz w:val="24"/>
          <w:szCs w:val="24"/>
        </w:rPr>
        <w:t xml:space="preserve">, to a more </w:t>
      </w:r>
      <w:r w:rsidR="00242501" w:rsidRPr="00395738">
        <w:rPr>
          <w:rFonts w:cs="Times New Roman"/>
          <w:color w:val="000000"/>
          <w:sz w:val="24"/>
          <w:szCs w:val="24"/>
        </w:rPr>
        <w:t>prospective/</w:t>
      </w:r>
      <w:r w:rsidRPr="00395738">
        <w:rPr>
          <w:rFonts w:cs="Times New Roman"/>
          <w:color w:val="000000"/>
          <w:sz w:val="24"/>
          <w:szCs w:val="24"/>
        </w:rPr>
        <w:t xml:space="preserve">forward-looking, preventive function. Likewise, a macro-prudential approach to financial supervision has been under development over the last several years </w:t>
      </w:r>
      <w:r w:rsidR="00DF6944" w:rsidRPr="00395738">
        <w:rPr>
          <w:rFonts w:cs="Times New Roman"/>
          <w:color w:val="000000"/>
          <w:sz w:val="24"/>
          <w:szCs w:val="24"/>
        </w:rPr>
        <w:t>to</w:t>
      </w:r>
      <w:r w:rsidRPr="00395738">
        <w:rPr>
          <w:rFonts w:cs="Times New Roman"/>
          <w:color w:val="000000"/>
          <w:sz w:val="24"/>
          <w:szCs w:val="24"/>
        </w:rPr>
        <w:t xml:space="preserve"> complement micro-prudential supervision</w:t>
      </w:r>
      <w:r w:rsidR="006A699C" w:rsidRPr="00395738">
        <w:rPr>
          <w:rFonts w:cs="Times New Roman"/>
          <w:color w:val="000000"/>
          <w:sz w:val="24"/>
          <w:szCs w:val="24"/>
        </w:rPr>
        <w:t xml:space="preserve">. </w:t>
      </w:r>
      <w:r w:rsidR="00DF6944" w:rsidRPr="00395738">
        <w:rPr>
          <w:rFonts w:cs="Times New Roman"/>
          <w:color w:val="000000"/>
          <w:sz w:val="24"/>
          <w:szCs w:val="24"/>
        </w:rPr>
        <w:t xml:space="preserve">Box </w:t>
      </w:r>
      <w:r w:rsidR="00615803" w:rsidRPr="00395738">
        <w:rPr>
          <w:rFonts w:cs="Times New Roman"/>
          <w:color w:val="000000"/>
          <w:sz w:val="24"/>
          <w:szCs w:val="24"/>
        </w:rPr>
        <w:t>3</w:t>
      </w:r>
      <w:r w:rsidR="006A699C" w:rsidRPr="00395738">
        <w:rPr>
          <w:rFonts w:cs="Times New Roman"/>
          <w:color w:val="000000"/>
          <w:sz w:val="24"/>
          <w:szCs w:val="24"/>
        </w:rPr>
        <w:t xml:space="preserve"> contains a </w:t>
      </w:r>
      <w:r w:rsidR="008F53E6" w:rsidRPr="00395738">
        <w:rPr>
          <w:rFonts w:cs="Times New Roman"/>
          <w:color w:val="000000"/>
          <w:sz w:val="24"/>
          <w:szCs w:val="24"/>
        </w:rPr>
        <w:t xml:space="preserve">brief discussion </w:t>
      </w:r>
      <w:r w:rsidR="006A699C" w:rsidRPr="00395738">
        <w:rPr>
          <w:rFonts w:cs="Times New Roman"/>
          <w:color w:val="000000"/>
          <w:sz w:val="24"/>
          <w:szCs w:val="24"/>
        </w:rPr>
        <w:t xml:space="preserve">on </w:t>
      </w:r>
      <w:r w:rsidR="006B0FA7" w:rsidRPr="00395738">
        <w:rPr>
          <w:rFonts w:cs="Times New Roman"/>
          <w:color w:val="000000"/>
          <w:sz w:val="24"/>
          <w:szCs w:val="24"/>
        </w:rPr>
        <w:t>micro- versus macro-prudential supervision</w:t>
      </w:r>
      <w:r w:rsidRPr="00395738">
        <w:rPr>
          <w:rFonts w:cs="Times New Roman"/>
          <w:color w:val="000000"/>
          <w:sz w:val="24"/>
          <w:szCs w:val="24"/>
        </w:rPr>
        <w:t>.</w:t>
      </w:r>
      <w:r w:rsidR="00430C36" w:rsidRPr="00395738">
        <w:rPr>
          <w:rFonts w:cs="Times New Roman"/>
          <w:color w:val="000000"/>
          <w:sz w:val="24"/>
          <w:szCs w:val="24"/>
        </w:rPr>
        <w:t xml:space="preserve"> </w:t>
      </w:r>
    </w:p>
    <w:p w14:paraId="4782F697" w14:textId="76BA225E" w:rsidR="000932E3" w:rsidRPr="00395738" w:rsidRDefault="000932E3" w:rsidP="000932E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Further, the most recent financial crisis unveiled a number of data gaps that hindered effective supervision and regulation. Following widespread consultation with official users of economic and financial data in G-20 countries and at other international institutions, particularly those responsible for financial stability analysis, the Financial Stability Board (FSB) and the International Monetary Fund (IMF) </w:t>
      </w:r>
      <w:r w:rsidR="005153DB" w:rsidRPr="00395738">
        <w:rPr>
          <w:rFonts w:cs="Times New Roman"/>
          <w:color w:val="000000"/>
          <w:sz w:val="24"/>
          <w:szCs w:val="24"/>
        </w:rPr>
        <w:t>put forward</w:t>
      </w:r>
      <w:r w:rsidR="008B5372" w:rsidRPr="00395738">
        <w:rPr>
          <w:rFonts w:cs="Times New Roman"/>
          <w:color w:val="000000"/>
          <w:sz w:val="24"/>
          <w:szCs w:val="24"/>
        </w:rPr>
        <w:t xml:space="preserve"> </w:t>
      </w:r>
      <w:r w:rsidRPr="00395738">
        <w:rPr>
          <w:rFonts w:cs="Times New Roman"/>
          <w:color w:val="000000"/>
          <w:sz w:val="24"/>
          <w:szCs w:val="24"/>
        </w:rPr>
        <w:t xml:space="preserve">a series of </w:t>
      </w:r>
      <w:r w:rsidRPr="00395738">
        <w:rPr>
          <w:rFonts w:cs="Times New Roman"/>
          <w:color w:val="000000"/>
          <w:sz w:val="24"/>
          <w:szCs w:val="24"/>
        </w:rPr>
        <w:lastRenderedPageBreak/>
        <w:t>recommendations to fill these gaps. These recommendations address the following broad topics: i) Need to better capture the build-up of risk in the financial sector; ii) Need to improve data on international financial network connections; iii) Need to better monitor the vulnerability of domestic economies to shocks; and, iv) Need to improve the communication of official statistics.</w:t>
      </w:r>
      <w:r w:rsidRPr="00395738">
        <w:rPr>
          <w:rStyle w:val="FootnoteReference"/>
          <w:rFonts w:cs="Times New Roman"/>
          <w:color w:val="000000"/>
          <w:sz w:val="24"/>
          <w:szCs w:val="24"/>
        </w:rPr>
        <w:footnoteReference w:id="19"/>
      </w:r>
    </w:p>
    <w:p w14:paraId="626BA159" w14:textId="00246550" w:rsidR="007008AF" w:rsidRPr="00395738" w:rsidRDefault="006A699C" w:rsidP="009A74E1">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before="240" w:after="240" w:line="240" w:lineRule="auto"/>
        <w:ind w:left="360"/>
        <w:jc w:val="center"/>
        <w:rPr>
          <w:rFonts w:cs="Times New Roman"/>
          <w:b/>
          <w:color w:val="000000"/>
          <w:sz w:val="28"/>
          <w:szCs w:val="28"/>
        </w:rPr>
      </w:pPr>
      <w:r w:rsidRPr="00395738">
        <w:rPr>
          <w:rFonts w:cs="Times New Roman"/>
          <w:b/>
          <w:color w:val="000000"/>
          <w:sz w:val="28"/>
          <w:szCs w:val="28"/>
        </w:rPr>
        <w:t xml:space="preserve">Box </w:t>
      </w:r>
      <w:r w:rsidR="00615803" w:rsidRPr="00395738">
        <w:rPr>
          <w:rFonts w:cs="Times New Roman"/>
          <w:b/>
          <w:color w:val="000000"/>
          <w:sz w:val="28"/>
          <w:szCs w:val="28"/>
        </w:rPr>
        <w:t>3</w:t>
      </w:r>
      <w:r w:rsidRPr="00395738">
        <w:rPr>
          <w:rFonts w:cs="Times New Roman"/>
          <w:b/>
          <w:color w:val="000000"/>
          <w:sz w:val="28"/>
          <w:szCs w:val="28"/>
        </w:rPr>
        <w:t xml:space="preserve">: </w:t>
      </w:r>
      <w:r w:rsidR="007008AF" w:rsidRPr="00395738">
        <w:rPr>
          <w:rFonts w:cs="Times New Roman"/>
          <w:b/>
          <w:color w:val="000000"/>
          <w:sz w:val="28"/>
          <w:szCs w:val="28"/>
        </w:rPr>
        <w:t xml:space="preserve">Micro- versus macro-prudential supervision: </w:t>
      </w:r>
      <w:r w:rsidRPr="00395738">
        <w:rPr>
          <w:rFonts w:cs="Times New Roman"/>
          <w:b/>
          <w:color w:val="000000"/>
          <w:sz w:val="28"/>
          <w:szCs w:val="28"/>
        </w:rPr>
        <w:t xml:space="preserve">potential </w:t>
      </w:r>
      <w:r w:rsidR="007008AF" w:rsidRPr="00395738">
        <w:rPr>
          <w:rFonts w:cs="Times New Roman"/>
          <w:b/>
          <w:color w:val="000000"/>
          <w:sz w:val="28"/>
          <w:szCs w:val="28"/>
        </w:rPr>
        <w:t>differences, tensions and complementarities</w:t>
      </w:r>
    </w:p>
    <w:p w14:paraId="5619CD64" w14:textId="2B3AB91F" w:rsidR="006A699C" w:rsidRPr="00395738" w:rsidRDefault="007008AF" w:rsidP="006A699C">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line="240" w:lineRule="auto"/>
        <w:ind w:left="360"/>
        <w:jc w:val="both"/>
        <w:rPr>
          <w:rFonts w:cs="Times New Roman"/>
          <w:color w:val="000000"/>
        </w:rPr>
      </w:pPr>
      <w:r w:rsidRPr="00395738">
        <w:rPr>
          <w:rFonts w:cs="Times New Roman"/>
          <w:color w:val="000000"/>
        </w:rPr>
        <w:t xml:space="preserve">Micro- and macro-prudential policies share a number of instruments but have a different, albeit </w:t>
      </w:r>
      <w:r w:rsidR="00FA00C0" w:rsidRPr="00395738">
        <w:rPr>
          <w:rFonts w:cs="Times New Roman"/>
          <w:color w:val="000000"/>
        </w:rPr>
        <w:t>complementary</w:t>
      </w:r>
      <w:r w:rsidRPr="00395738">
        <w:rPr>
          <w:rFonts w:cs="Times New Roman"/>
          <w:color w:val="000000"/>
        </w:rPr>
        <w:t xml:space="preserve">, focus. The main focus of micro-prudential supervision is to safeguard individual financial institutions from idiosyncratic risks and prevent them from taking too much risk. </w:t>
      </w:r>
      <w:r w:rsidR="00FA00C0" w:rsidRPr="00395738">
        <w:rPr>
          <w:rFonts w:cs="Times New Roman"/>
          <w:color w:val="000000"/>
        </w:rPr>
        <w:t xml:space="preserve">By contrast, </w:t>
      </w:r>
      <w:r w:rsidR="006A699C" w:rsidRPr="00395738">
        <w:rPr>
          <w:rFonts w:cs="Times New Roman"/>
          <w:color w:val="000000"/>
        </w:rPr>
        <w:t xml:space="preserve">macro-prudential policy </w:t>
      </w:r>
      <w:r w:rsidR="00FA00C0" w:rsidRPr="00395738">
        <w:rPr>
          <w:rFonts w:cs="Times New Roman"/>
          <w:color w:val="000000"/>
        </w:rPr>
        <w:t xml:space="preserve">focuses on </w:t>
      </w:r>
      <w:r w:rsidR="006A699C" w:rsidRPr="00395738">
        <w:rPr>
          <w:rFonts w:cs="Times New Roman"/>
          <w:color w:val="000000"/>
        </w:rPr>
        <w:t>the stability of the financial system</w:t>
      </w:r>
      <w:r w:rsidR="00D85C18" w:rsidRPr="00395738">
        <w:rPr>
          <w:rFonts w:cs="Times New Roman"/>
          <w:color w:val="000000"/>
        </w:rPr>
        <w:t xml:space="preserve"> as a whole</w:t>
      </w:r>
      <w:r w:rsidR="006A699C" w:rsidRPr="00395738">
        <w:rPr>
          <w:rFonts w:cs="Times New Roman"/>
          <w:color w:val="000000"/>
        </w:rPr>
        <w:t xml:space="preserve">. </w:t>
      </w:r>
    </w:p>
    <w:p w14:paraId="36E94B0C" w14:textId="5A473FF1" w:rsidR="007008AF" w:rsidRPr="00395738" w:rsidRDefault="007008AF" w:rsidP="006A699C">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line="240" w:lineRule="auto"/>
        <w:ind w:left="360"/>
        <w:jc w:val="both"/>
        <w:rPr>
          <w:rFonts w:cs="Times New Roman"/>
          <w:color w:val="000000"/>
        </w:rPr>
      </w:pPr>
      <w:r w:rsidRPr="00395738">
        <w:rPr>
          <w:rFonts w:cs="Times New Roman"/>
          <w:color w:val="000000"/>
        </w:rPr>
        <w:t xml:space="preserve">Conceptually, </w:t>
      </w:r>
      <w:r w:rsidRPr="00395738">
        <w:rPr>
          <w:rFonts w:cs="Times New Roman"/>
          <w:i/>
          <w:color w:val="000000"/>
        </w:rPr>
        <w:t>intermediate</w:t>
      </w:r>
      <w:r w:rsidRPr="00395738">
        <w:rPr>
          <w:rFonts w:cs="Times New Roman"/>
          <w:color w:val="000000"/>
        </w:rPr>
        <w:t xml:space="preserve"> macro-prudential objectives for the financial system relate to financial risks </w:t>
      </w:r>
      <w:r w:rsidR="00FA00C0" w:rsidRPr="00395738">
        <w:rPr>
          <w:rFonts w:cs="Times New Roman"/>
          <w:color w:val="000000"/>
        </w:rPr>
        <w:t>faced by</w:t>
      </w:r>
      <w:r w:rsidRPr="00395738">
        <w:rPr>
          <w:rFonts w:cs="Times New Roman"/>
          <w:color w:val="000000"/>
        </w:rPr>
        <w:t xml:space="preserve"> individual financial institutions. For example, endogenous credit and liquidity cycles in the financial system coincide with a build-up of credit and liquidity risk in individual institutions: Credit booms are not necessarily a source of concern for micro-prudential supervision, as banks, taken in isolation, look healthy during boom periods.</w:t>
      </w:r>
      <w:r w:rsidRPr="00395738">
        <w:rPr>
          <w:rStyle w:val="FootnoteReference"/>
          <w:rFonts w:cs="Times New Roman"/>
          <w:color w:val="000000"/>
        </w:rPr>
        <w:footnoteReference w:id="20"/>
      </w:r>
      <w:r w:rsidRPr="00395738">
        <w:rPr>
          <w:rFonts w:cs="Times New Roman"/>
          <w:color w:val="000000"/>
        </w:rPr>
        <w:t xml:space="preserve"> Likewise, fluctuations in market prices (market risk for individual institutions) can lead to contagion across the financial system.</w:t>
      </w:r>
    </w:p>
    <w:p w14:paraId="2EF0DD68" w14:textId="77777777" w:rsidR="007008AF" w:rsidRPr="00395738" w:rsidRDefault="007008AF" w:rsidP="006A699C">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line="240" w:lineRule="auto"/>
        <w:ind w:left="360"/>
        <w:jc w:val="both"/>
        <w:rPr>
          <w:rFonts w:cs="Times New Roman"/>
          <w:color w:val="000000"/>
        </w:rPr>
      </w:pPr>
      <w:r w:rsidRPr="00395738">
        <w:rPr>
          <w:rFonts w:cs="Times New Roman"/>
          <w:color w:val="000000"/>
        </w:rPr>
        <w:t xml:space="preserve">On the other hand, complementarities between the two policy domains arise primarily because they do not rely on </w:t>
      </w:r>
      <w:r w:rsidRPr="00395738">
        <w:rPr>
          <w:rFonts w:cs="Times New Roman"/>
          <w:i/>
          <w:color w:val="000000"/>
        </w:rPr>
        <w:t>exactly</w:t>
      </w:r>
      <w:r w:rsidRPr="00395738">
        <w:rPr>
          <w:rFonts w:cs="Times New Roman"/>
          <w:color w:val="000000"/>
        </w:rPr>
        <w:t xml:space="preserve"> the same set of tools. To give an example of complementarity: the counter-cyclical nature of some macro-prudential measures may have the unintended effect of leading banks to collectively take on risk </w:t>
      </w:r>
      <w:r w:rsidRPr="00395738">
        <w:rPr>
          <w:rFonts w:cs="Times New Roman"/>
          <w:i/>
          <w:color w:val="000000"/>
        </w:rPr>
        <w:t>ex ante</w:t>
      </w:r>
      <w:r w:rsidRPr="00395738">
        <w:rPr>
          <w:rFonts w:cs="Times New Roman"/>
          <w:color w:val="000000"/>
        </w:rPr>
        <w:t>. Micro-prudential measures may deter such collective behavior by preventing excessive risk-taking at the level of individual banks.</w:t>
      </w:r>
    </w:p>
    <w:p w14:paraId="696AB4A6" w14:textId="77777777" w:rsidR="007008AF" w:rsidRPr="00395738" w:rsidRDefault="007008AF" w:rsidP="006A699C">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line="240" w:lineRule="auto"/>
        <w:ind w:left="360"/>
        <w:jc w:val="both"/>
        <w:rPr>
          <w:rFonts w:cs="Times New Roman"/>
          <w:color w:val="000000"/>
        </w:rPr>
      </w:pPr>
      <w:r w:rsidRPr="00395738">
        <w:rPr>
          <w:rFonts w:cs="Times New Roman"/>
          <w:color w:val="000000"/>
        </w:rPr>
        <w:t>Complementarities may also emerge because micro- and macro-supervision may not use their common instruments with the same degree of granularity. Overall, one can distinguish at least two levels of complementarity. First, macro-prudential policies are in some cases blunter than micro-prudential ones. Second, macro-prudential policies may be vulnerable to “collective moral hazard” problems. Micro-prudential supervision can help fix the problems and incentives caused by macro-prudential problems by enforcing requirements at the level of individual institutions.</w:t>
      </w:r>
    </w:p>
    <w:p w14:paraId="3DA1244A" w14:textId="30C77D7D" w:rsidR="007008AF" w:rsidRPr="00395738" w:rsidRDefault="007008AF" w:rsidP="00D85A54">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ind w:left="360"/>
        <w:jc w:val="both"/>
        <w:rPr>
          <w:rFonts w:cs="Times New Roman"/>
          <w:color w:val="000000"/>
        </w:rPr>
      </w:pPr>
      <w:r w:rsidRPr="00395738">
        <w:rPr>
          <w:rFonts w:cs="Times New Roman"/>
          <w:color w:val="000000"/>
        </w:rPr>
        <w:t xml:space="preserve">Tensions </w:t>
      </w:r>
      <w:r w:rsidR="00FA00C0" w:rsidRPr="00395738">
        <w:rPr>
          <w:rFonts w:cs="Times New Roman"/>
          <w:color w:val="000000"/>
        </w:rPr>
        <w:t xml:space="preserve">between the two approaches </w:t>
      </w:r>
      <w:r w:rsidRPr="00395738">
        <w:rPr>
          <w:rFonts w:cs="Times New Roman"/>
          <w:color w:val="000000"/>
        </w:rPr>
        <w:t>may arise primarily because micro-prudential supervision does not necessarily internalize the potential adverse effects that it may have at the macroeconomic scale. Frictions between micro and macro-prudential policies are most likely to emerge during downturns. For example, during a downturn, the desire to increase the capital buffers of individual banks to protect them against future credit losses (a micro-prudential concern) can – in aggregate – have negative pro-cyclical effects on credit growth to the economy (a macro-prudential concern).</w:t>
      </w:r>
    </w:p>
    <w:p w14:paraId="69F9F882" w14:textId="77777777" w:rsidR="00AE3D60" w:rsidRPr="00395738" w:rsidRDefault="00AE3D60" w:rsidP="00AE3D60">
      <w:pPr>
        <w:pStyle w:val="ListParagraph"/>
        <w:autoSpaceDE w:val="0"/>
        <w:autoSpaceDN w:val="0"/>
        <w:adjustRightInd w:val="0"/>
        <w:spacing w:after="240" w:line="360" w:lineRule="auto"/>
        <w:ind w:left="270"/>
        <w:contextualSpacing w:val="0"/>
        <w:jc w:val="both"/>
        <w:rPr>
          <w:rFonts w:cs="Times New Roman"/>
          <w:color w:val="000000"/>
          <w:sz w:val="20"/>
          <w:szCs w:val="20"/>
        </w:rPr>
      </w:pPr>
      <w:r w:rsidRPr="00395738">
        <w:rPr>
          <w:rFonts w:cs="Times New Roman"/>
          <w:color w:val="000000"/>
          <w:sz w:val="20"/>
          <w:szCs w:val="20"/>
        </w:rPr>
        <w:t>Source: Summarized from the European Central Bank’s Financial Stability Review, May 2014.</w:t>
      </w:r>
    </w:p>
    <w:p w14:paraId="35BF73F6" w14:textId="72675AD4" w:rsidR="00C11E95" w:rsidRPr="00395738" w:rsidRDefault="00C11E95" w:rsidP="00942E73">
      <w:pPr>
        <w:pStyle w:val="ListParagraph"/>
        <w:numPr>
          <w:ilvl w:val="0"/>
          <w:numId w:val="1"/>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lastRenderedPageBreak/>
        <w:t xml:space="preserve">The specific </w:t>
      </w:r>
      <w:r w:rsidR="00474804" w:rsidRPr="00395738">
        <w:rPr>
          <w:rFonts w:cs="Times New Roman"/>
          <w:color w:val="000000"/>
          <w:sz w:val="24"/>
          <w:szCs w:val="24"/>
        </w:rPr>
        <w:t xml:space="preserve">credit </w:t>
      </w:r>
      <w:r w:rsidRPr="00395738">
        <w:rPr>
          <w:rFonts w:cs="Times New Roman"/>
          <w:color w:val="000000"/>
          <w:sz w:val="24"/>
          <w:szCs w:val="24"/>
        </w:rPr>
        <w:t xml:space="preserve">data used </w:t>
      </w:r>
      <w:r w:rsidR="006769C8" w:rsidRPr="00395738">
        <w:rPr>
          <w:rFonts w:cs="Times New Roman"/>
          <w:color w:val="000000"/>
          <w:sz w:val="24"/>
          <w:szCs w:val="24"/>
        </w:rPr>
        <w:t xml:space="preserve">for </w:t>
      </w:r>
      <w:r w:rsidRPr="00395738">
        <w:rPr>
          <w:rFonts w:cs="Times New Roman"/>
          <w:color w:val="000000"/>
          <w:sz w:val="24"/>
          <w:szCs w:val="24"/>
        </w:rPr>
        <w:t xml:space="preserve">financial regulation and supervision in each country will depend on a number of issues and </w:t>
      </w:r>
      <w:r w:rsidR="00C91515" w:rsidRPr="00395738">
        <w:rPr>
          <w:rFonts w:cs="Times New Roman"/>
          <w:color w:val="000000"/>
          <w:sz w:val="24"/>
          <w:szCs w:val="24"/>
        </w:rPr>
        <w:t xml:space="preserve">is therefore likely to </w:t>
      </w:r>
      <w:r w:rsidRPr="00395738">
        <w:rPr>
          <w:rFonts w:cs="Times New Roman"/>
          <w:color w:val="000000"/>
          <w:sz w:val="24"/>
          <w:szCs w:val="24"/>
        </w:rPr>
        <w:t>vary</w:t>
      </w:r>
      <w:r w:rsidR="00474804" w:rsidRPr="00395738">
        <w:rPr>
          <w:rFonts w:cs="Times New Roman"/>
          <w:color w:val="000000"/>
          <w:sz w:val="24"/>
          <w:szCs w:val="24"/>
        </w:rPr>
        <w:t xml:space="preserve"> </w:t>
      </w:r>
      <w:r w:rsidR="00C91515" w:rsidRPr="00395738">
        <w:rPr>
          <w:rFonts w:cs="Times New Roman"/>
          <w:color w:val="000000"/>
          <w:sz w:val="24"/>
          <w:szCs w:val="24"/>
        </w:rPr>
        <w:t xml:space="preserve">to some degree </w:t>
      </w:r>
      <w:r w:rsidRPr="00395738">
        <w:rPr>
          <w:rFonts w:cs="Times New Roman"/>
          <w:color w:val="000000"/>
          <w:sz w:val="24"/>
          <w:szCs w:val="24"/>
        </w:rPr>
        <w:t xml:space="preserve">from one country to the other. Some of these issues include: </w:t>
      </w:r>
    </w:p>
    <w:p w14:paraId="0CD06AF4" w14:textId="77777777" w:rsidR="00C11E95" w:rsidRPr="00395738" w:rsidRDefault="00C11E95" w:rsidP="00942E73">
      <w:pPr>
        <w:pStyle w:val="ListParagraph"/>
        <w:numPr>
          <w:ilvl w:val="0"/>
          <w:numId w:val="8"/>
        </w:numPr>
        <w:autoSpaceDE w:val="0"/>
        <w:autoSpaceDN w:val="0"/>
        <w:adjustRightInd w:val="0"/>
        <w:spacing w:after="240" w:line="360" w:lineRule="auto"/>
        <w:jc w:val="both"/>
        <w:rPr>
          <w:rFonts w:cs="Times New Roman"/>
          <w:color w:val="000000"/>
          <w:sz w:val="24"/>
          <w:szCs w:val="24"/>
        </w:rPr>
      </w:pPr>
      <w:r w:rsidRPr="00395738">
        <w:rPr>
          <w:rFonts w:cs="Times New Roman"/>
          <w:color w:val="000000"/>
          <w:sz w:val="24"/>
          <w:szCs w:val="24"/>
        </w:rPr>
        <w:t xml:space="preserve">The legal and regulatory framework for banks and other financial </w:t>
      </w:r>
      <w:r w:rsidR="009A74E1" w:rsidRPr="00395738">
        <w:rPr>
          <w:rFonts w:cs="Times New Roman"/>
          <w:color w:val="000000"/>
          <w:sz w:val="24"/>
          <w:szCs w:val="24"/>
        </w:rPr>
        <w:t>entities</w:t>
      </w:r>
      <w:r w:rsidRPr="00395738">
        <w:rPr>
          <w:rFonts w:cs="Times New Roman"/>
          <w:color w:val="000000"/>
          <w:sz w:val="24"/>
          <w:szCs w:val="24"/>
        </w:rPr>
        <w:t>, including issues such as secrecy provisions and the reporting duties of these entities</w:t>
      </w:r>
      <w:r w:rsidR="009A74E1" w:rsidRPr="00395738">
        <w:rPr>
          <w:rStyle w:val="FootnoteReference"/>
          <w:rFonts w:cs="Times New Roman"/>
          <w:color w:val="000000"/>
          <w:sz w:val="24"/>
          <w:szCs w:val="24"/>
        </w:rPr>
        <w:footnoteReference w:id="21"/>
      </w:r>
    </w:p>
    <w:p w14:paraId="32A3CA2A" w14:textId="1824350E" w:rsidR="00C11E95" w:rsidRPr="00395738" w:rsidRDefault="00C11E95" w:rsidP="00942E73">
      <w:pPr>
        <w:pStyle w:val="ListParagraph"/>
        <w:numPr>
          <w:ilvl w:val="0"/>
          <w:numId w:val="8"/>
        </w:numPr>
        <w:autoSpaceDE w:val="0"/>
        <w:autoSpaceDN w:val="0"/>
        <w:adjustRightInd w:val="0"/>
        <w:spacing w:after="240" w:line="360" w:lineRule="auto"/>
        <w:jc w:val="both"/>
        <w:rPr>
          <w:rFonts w:cs="Times New Roman"/>
          <w:color w:val="000000"/>
          <w:sz w:val="24"/>
          <w:szCs w:val="24"/>
        </w:rPr>
      </w:pPr>
      <w:r w:rsidRPr="00395738">
        <w:rPr>
          <w:rFonts w:cs="Times New Roman"/>
          <w:color w:val="000000"/>
          <w:sz w:val="24"/>
          <w:szCs w:val="24"/>
        </w:rPr>
        <w:t xml:space="preserve">The legal </w:t>
      </w:r>
      <w:r w:rsidR="00192A73" w:rsidRPr="00395738">
        <w:rPr>
          <w:rFonts w:cs="Times New Roman"/>
          <w:color w:val="000000"/>
          <w:sz w:val="24"/>
          <w:szCs w:val="24"/>
        </w:rPr>
        <w:t xml:space="preserve">and regulatory </w:t>
      </w:r>
      <w:r w:rsidRPr="00395738">
        <w:rPr>
          <w:rFonts w:cs="Times New Roman"/>
          <w:color w:val="000000"/>
          <w:sz w:val="24"/>
          <w:szCs w:val="24"/>
        </w:rPr>
        <w:t xml:space="preserve">framework underpinning the regulatory, supervisory and financial stability monitoring duties and activities of the central bank, </w:t>
      </w:r>
      <w:r w:rsidR="00192A73" w:rsidRPr="00395738">
        <w:rPr>
          <w:rFonts w:cs="Times New Roman"/>
          <w:color w:val="000000"/>
          <w:sz w:val="24"/>
          <w:szCs w:val="24"/>
        </w:rPr>
        <w:t xml:space="preserve">other </w:t>
      </w:r>
      <w:r w:rsidRPr="00395738">
        <w:rPr>
          <w:rFonts w:cs="Times New Roman"/>
          <w:color w:val="000000"/>
          <w:sz w:val="24"/>
          <w:szCs w:val="24"/>
        </w:rPr>
        <w:t>financial supervisor</w:t>
      </w:r>
      <w:r w:rsidR="00192A73" w:rsidRPr="00395738">
        <w:rPr>
          <w:rFonts w:cs="Times New Roman"/>
          <w:color w:val="000000"/>
          <w:sz w:val="24"/>
          <w:szCs w:val="24"/>
        </w:rPr>
        <w:t>(</w:t>
      </w:r>
      <w:r w:rsidRPr="00395738">
        <w:rPr>
          <w:rFonts w:cs="Times New Roman"/>
          <w:color w:val="000000"/>
          <w:sz w:val="24"/>
          <w:szCs w:val="24"/>
        </w:rPr>
        <w:t>s</w:t>
      </w:r>
      <w:r w:rsidR="00192A73" w:rsidRPr="00395738">
        <w:rPr>
          <w:rFonts w:cs="Times New Roman"/>
          <w:color w:val="000000"/>
          <w:sz w:val="24"/>
          <w:szCs w:val="24"/>
        </w:rPr>
        <w:t>)</w:t>
      </w:r>
      <w:r w:rsidRPr="00395738">
        <w:rPr>
          <w:rFonts w:cs="Times New Roman"/>
          <w:color w:val="000000"/>
          <w:sz w:val="24"/>
          <w:szCs w:val="24"/>
        </w:rPr>
        <w:t xml:space="preserve"> and other financial sector authorities</w:t>
      </w:r>
      <w:r w:rsidR="009A74E1" w:rsidRPr="00395738">
        <w:rPr>
          <w:rFonts w:cs="Times New Roman"/>
          <w:color w:val="000000"/>
          <w:sz w:val="24"/>
          <w:szCs w:val="24"/>
        </w:rPr>
        <w:t>, including the prudential regulatory framework</w:t>
      </w:r>
    </w:p>
    <w:p w14:paraId="508F7796" w14:textId="77777777" w:rsidR="00C11E95" w:rsidRPr="00395738" w:rsidRDefault="00C11E95" w:rsidP="00942E73">
      <w:pPr>
        <w:pStyle w:val="ListParagraph"/>
        <w:numPr>
          <w:ilvl w:val="0"/>
          <w:numId w:val="8"/>
        </w:numPr>
        <w:autoSpaceDE w:val="0"/>
        <w:autoSpaceDN w:val="0"/>
        <w:adjustRightInd w:val="0"/>
        <w:spacing w:after="240" w:line="360" w:lineRule="auto"/>
        <w:jc w:val="both"/>
        <w:rPr>
          <w:rFonts w:cs="Times New Roman"/>
          <w:color w:val="000000"/>
          <w:sz w:val="24"/>
          <w:szCs w:val="24"/>
        </w:rPr>
      </w:pPr>
      <w:r w:rsidRPr="00395738">
        <w:rPr>
          <w:rFonts w:cs="Times New Roman"/>
          <w:color w:val="000000"/>
          <w:sz w:val="24"/>
          <w:szCs w:val="24"/>
        </w:rPr>
        <w:t xml:space="preserve">The actual financial supervision model implemented in </w:t>
      </w:r>
      <w:r w:rsidR="00C91515" w:rsidRPr="00395738">
        <w:rPr>
          <w:rFonts w:cs="Times New Roman"/>
          <w:color w:val="000000"/>
          <w:sz w:val="24"/>
          <w:szCs w:val="24"/>
        </w:rPr>
        <w:t>a</w:t>
      </w:r>
      <w:r w:rsidRPr="00395738">
        <w:rPr>
          <w:rFonts w:cs="Times New Roman"/>
          <w:color w:val="000000"/>
          <w:sz w:val="24"/>
          <w:szCs w:val="24"/>
        </w:rPr>
        <w:t xml:space="preserve"> country</w:t>
      </w:r>
      <w:r w:rsidR="00474804" w:rsidRPr="00395738">
        <w:rPr>
          <w:rFonts w:cs="Times New Roman"/>
          <w:color w:val="000000"/>
          <w:sz w:val="24"/>
          <w:szCs w:val="24"/>
        </w:rPr>
        <w:t>, including its degree of technical sophistication</w:t>
      </w:r>
    </w:p>
    <w:p w14:paraId="2AEB9687" w14:textId="1922E0D9" w:rsidR="00D819A7" w:rsidRPr="00395738" w:rsidRDefault="00C11E95" w:rsidP="00942E73">
      <w:pPr>
        <w:pStyle w:val="ListParagraph"/>
        <w:numPr>
          <w:ilvl w:val="0"/>
          <w:numId w:val="8"/>
        </w:numPr>
        <w:autoSpaceDE w:val="0"/>
        <w:autoSpaceDN w:val="0"/>
        <w:adjustRightInd w:val="0"/>
        <w:spacing w:after="240" w:line="360" w:lineRule="auto"/>
        <w:jc w:val="both"/>
        <w:rPr>
          <w:rFonts w:cs="Times New Roman"/>
          <w:color w:val="000000"/>
          <w:sz w:val="24"/>
          <w:szCs w:val="24"/>
        </w:rPr>
      </w:pPr>
      <w:r w:rsidRPr="00395738">
        <w:rPr>
          <w:rFonts w:cs="Times New Roman"/>
          <w:color w:val="000000"/>
          <w:sz w:val="24"/>
          <w:szCs w:val="24"/>
        </w:rPr>
        <w:t xml:space="preserve">The types of </w:t>
      </w:r>
      <w:r w:rsidR="00DF6944" w:rsidRPr="00395738">
        <w:rPr>
          <w:rFonts w:cs="Times New Roman"/>
          <w:color w:val="000000"/>
          <w:sz w:val="24"/>
          <w:szCs w:val="24"/>
        </w:rPr>
        <w:t>CRSPs</w:t>
      </w:r>
      <w:r w:rsidRPr="00395738">
        <w:rPr>
          <w:rFonts w:cs="Times New Roman"/>
          <w:color w:val="000000"/>
          <w:sz w:val="24"/>
          <w:szCs w:val="24"/>
        </w:rPr>
        <w:t xml:space="preserve"> operating in the country (i.e. CRs, CBs, CCRCs) and the actual availability</w:t>
      </w:r>
      <w:r w:rsidR="008B5372" w:rsidRPr="00395738">
        <w:rPr>
          <w:rFonts w:cs="Times New Roman"/>
          <w:color w:val="000000"/>
          <w:sz w:val="24"/>
          <w:szCs w:val="24"/>
        </w:rPr>
        <w:t>,</w:t>
      </w:r>
      <w:r w:rsidRPr="00395738">
        <w:rPr>
          <w:rFonts w:cs="Times New Roman"/>
          <w:color w:val="000000"/>
          <w:sz w:val="24"/>
          <w:szCs w:val="24"/>
        </w:rPr>
        <w:t xml:space="preserve"> </w:t>
      </w:r>
      <w:r w:rsidR="005153DB" w:rsidRPr="00395738">
        <w:rPr>
          <w:rFonts w:cs="Times New Roman"/>
          <w:color w:val="000000"/>
          <w:sz w:val="24"/>
          <w:szCs w:val="24"/>
        </w:rPr>
        <w:t>depth and breadth of</w:t>
      </w:r>
      <w:r w:rsidR="00DF6944" w:rsidRPr="00395738">
        <w:rPr>
          <w:rFonts w:cs="Times New Roman"/>
          <w:color w:val="000000"/>
          <w:sz w:val="24"/>
          <w:szCs w:val="24"/>
        </w:rPr>
        <w:t xml:space="preserve"> </w:t>
      </w:r>
      <w:r w:rsidRPr="00395738">
        <w:rPr>
          <w:rFonts w:cs="Times New Roman"/>
          <w:color w:val="000000"/>
          <w:sz w:val="24"/>
          <w:szCs w:val="24"/>
        </w:rPr>
        <w:t>data in them</w:t>
      </w:r>
    </w:p>
    <w:p w14:paraId="2AFA7523" w14:textId="0214617E" w:rsidR="00C11E95" w:rsidRPr="00395738" w:rsidRDefault="00474804" w:rsidP="00942E73">
      <w:pPr>
        <w:pStyle w:val="ListParagraph"/>
        <w:numPr>
          <w:ilvl w:val="0"/>
          <w:numId w:val="8"/>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The availability of </w:t>
      </w:r>
      <w:r w:rsidR="006769C8" w:rsidRPr="00395738">
        <w:rPr>
          <w:rFonts w:cs="Times New Roman"/>
          <w:color w:val="000000"/>
          <w:sz w:val="24"/>
          <w:szCs w:val="24"/>
        </w:rPr>
        <w:t xml:space="preserve">modern </w:t>
      </w:r>
      <w:r w:rsidRPr="00395738">
        <w:rPr>
          <w:rFonts w:cs="Times New Roman"/>
          <w:color w:val="000000"/>
          <w:sz w:val="24"/>
          <w:szCs w:val="24"/>
        </w:rPr>
        <w:t xml:space="preserve">analytical and reporting tools at the central bank/financial supervisory agency to exploit the data available at CRs (if such tools are not already embedded in the system), or </w:t>
      </w:r>
      <w:r w:rsidR="00DF6944" w:rsidRPr="00395738">
        <w:rPr>
          <w:rFonts w:cs="Times New Roman"/>
          <w:color w:val="000000"/>
          <w:sz w:val="24"/>
          <w:szCs w:val="24"/>
        </w:rPr>
        <w:t xml:space="preserve">that is </w:t>
      </w:r>
      <w:r w:rsidRPr="00395738">
        <w:rPr>
          <w:rFonts w:cs="Times New Roman"/>
          <w:color w:val="000000"/>
          <w:sz w:val="24"/>
          <w:szCs w:val="24"/>
        </w:rPr>
        <w:t>obtained from CBs and CCRCs.</w:t>
      </w:r>
    </w:p>
    <w:p w14:paraId="5EC2652F" w14:textId="62ECD698" w:rsidR="00DF6944" w:rsidRPr="00395738" w:rsidRDefault="00D03695" w:rsidP="00942E7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As a result of the above, trying to identify </w:t>
      </w:r>
      <w:r w:rsidR="008F53E6" w:rsidRPr="00395738">
        <w:rPr>
          <w:rFonts w:cs="Times New Roman"/>
          <w:color w:val="000000"/>
          <w:sz w:val="24"/>
          <w:szCs w:val="24"/>
        </w:rPr>
        <w:t>a</w:t>
      </w:r>
      <w:r w:rsidRPr="00395738">
        <w:rPr>
          <w:rFonts w:cs="Times New Roman"/>
          <w:color w:val="000000"/>
          <w:sz w:val="24"/>
          <w:szCs w:val="24"/>
        </w:rPr>
        <w:t xml:space="preserve"> </w:t>
      </w:r>
      <w:r w:rsidR="008F53E6" w:rsidRPr="00395738">
        <w:rPr>
          <w:rFonts w:cs="Times New Roman"/>
          <w:color w:val="000000"/>
          <w:sz w:val="24"/>
          <w:szCs w:val="24"/>
        </w:rPr>
        <w:t>“</w:t>
      </w:r>
      <w:r w:rsidRPr="00395738">
        <w:rPr>
          <w:rFonts w:cs="Times New Roman"/>
          <w:color w:val="000000"/>
          <w:sz w:val="24"/>
          <w:szCs w:val="24"/>
        </w:rPr>
        <w:t>typical set</w:t>
      </w:r>
      <w:r w:rsidR="008F53E6" w:rsidRPr="00395738">
        <w:rPr>
          <w:rFonts w:cs="Times New Roman"/>
          <w:color w:val="000000"/>
          <w:sz w:val="24"/>
          <w:szCs w:val="24"/>
        </w:rPr>
        <w:t>”</w:t>
      </w:r>
      <w:r w:rsidRPr="00395738">
        <w:rPr>
          <w:rFonts w:cs="Times New Roman"/>
          <w:color w:val="000000"/>
          <w:sz w:val="24"/>
          <w:szCs w:val="24"/>
        </w:rPr>
        <w:t xml:space="preserve"> of specific credit data items that are </w:t>
      </w:r>
      <w:r w:rsidR="008F53E6" w:rsidRPr="00395738">
        <w:rPr>
          <w:rFonts w:cs="Times New Roman"/>
          <w:color w:val="000000"/>
          <w:sz w:val="24"/>
          <w:szCs w:val="24"/>
        </w:rPr>
        <w:t>used in</w:t>
      </w:r>
      <w:r w:rsidRPr="00395738">
        <w:rPr>
          <w:rFonts w:cs="Times New Roman"/>
          <w:color w:val="000000"/>
          <w:sz w:val="24"/>
          <w:szCs w:val="24"/>
        </w:rPr>
        <w:t xml:space="preserve"> financial </w:t>
      </w:r>
      <w:r w:rsidR="006769C8" w:rsidRPr="00395738">
        <w:rPr>
          <w:rFonts w:cs="Times New Roman"/>
          <w:color w:val="000000"/>
          <w:sz w:val="24"/>
          <w:szCs w:val="24"/>
        </w:rPr>
        <w:t xml:space="preserve">sector </w:t>
      </w:r>
      <w:r w:rsidRPr="00395738">
        <w:rPr>
          <w:rFonts w:cs="Times New Roman"/>
          <w:color w:val="000000"/>
          <w:sz w:val="24"/>
          <w:szCs w:val="24"/>
        </w:rPr>
        <w:t>supervis</w:t>
      </w:r>
      <w:r w:rsidR="008F53E6" w:rsidRPr="00395738">
        <w:rPr>
          <w:rFonts w:cs="Times New Roman"/>
          <w:color w:val="000000"/>
          <w:sz w:val="24"/>
          <w:szCs w:val="24"/>
        </w:rPr>
        <w:t xml:space="preserve">ory </w:t>
      </w:r>
      <w:r w:rsidR="00F37E89" w:rsidRPr="00395738">
        <w:rPr>
          <w:rFonts w:cs="Times New Roman"/>
          <w:color w:val="000000"/>
          <w:sz w:val="24"/>
          <w:szCs w:val="24"/>
        </w:rPr>
        <w:t xml:space="preserve">and regulatory </w:t>
      </w:r>
      <w:r w:rsidR="008F53E6" w:rsidRPr="00395738">
        <w:rPr>
          <w:rFonts w:cs="Times New Roman"/>
          <w:color w:val="000000"/>
          <w:sz w:val="24"/>
          <w:szCs w:val="24"/>
        </w:rPr>
        <w:t xml:space="preserve">activities on the basis of </w:t>
      </w:r>
      <w:r w:rsidRPr="00395738">
        <w:rPr>
          <w:rFonts w:cs="Times New Roman"/>
          <w:color w:val="000000"/>
          <w:sz w:val="24"/>
          <w:szCs w:val="24"/>
        </w:rPr>
        <w:t xml:space="preserve">cross-country comparisons </w:t>
      </w:r>
      <w:r w:rsidR="008F53E6" w:rsidRPr="00395738">
        <w:rPr>
          <w:rFonts w:cs="Times New Roman"/>
          <w:color w:val="000000"/>
          <w:sz w:val="24"/>
          <w:szCs w:val="24"/>
        </w:rPr>
        <w:t xml:space="preserve">is likely to </w:t>
      </w:r>
      <w:r w:rsidRPr="00395738">
        <w:rPr>
          <w:rFonts w:cs="Times New Roman"/>
          <w:color w:val="000000"/>
          <w:sz w:val="24"/>
          <w:szCs w:val="24"/>
        </w:rPr>
        <w:t xml:space="preserve">be extremely difficult and probably not </w:t>
      </w:r>
      <w:r w:rsidR="008F53E6" w:rsidRPr="00395738">
        <w:rPr>
          <w:rFonts w:cs="Times New Roman"/>
          <w:color w:val="000000"/>
          <w:sz w:val="24"/>
          <w:szCs w:val="24"/>
        </w:rPr>
        <w:t xml:space="preserve">very </w:t>
      </w:r>
      <w:r w:rsidRPr="00395738">
        <w:rPr>
          <w:rFonts w:cs="Times New Roman"/>
          <w:color w:val="000000"/>
          <w:sz w:val="24"/>
          <w:szCs w:val="24"/>
        </w:rPr>
        <w:t>useful.</w:t>
      </w:r>
      <w:r w:rsidR="00F54E7C" w:rsidRPr="00395738">
        <w:rPr>
          <w:rFonts w:cs="Times New Roman"/>
          <w:color w:val="000000"/>
          <w:sz w:val="24"/>
          <w:szCs w:val="24"/>
        </w:rPr>
        <w:t xml:space="preserve"> </w:t>
      </w:r>
    </w:p>
    <w:p w14:paraId="656C8D1D" w14:textId="73BE0258" w:rsidR="007F63D3" w:rsidRPr="00395738" w:rsidRDefault="00F54E7C" w:rsidP="00942E7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An </w:t>
      </w:r>
      <w:r w:rsidR="00A86279" w:rsidRPr="00395738">
        <w:rPr>
          <w:rFonts w:cs="Times New Roman"/>
          <w:color w:val="000000"/>
          <w:sz w:val="24"/>
          <w:szCs w:val="24"/>
        </w:rPr>
        <w:t xml:space="preserve">alternative </w:t>
      </w:r>
      <w:r w:rsidR="008F53E6" w:rsidRPr="00395738">
        <w:rPr>
          <w:rFonts w:cs="Times New Roman"/>
          <w:color w:val="000000"/>
          <w:sz w:val="24"/>
          <w:szCs w:val="24"/>
        </w:rPr>
        <w:t xml:space="preserve">approach </w:t>
      </w:r>
      <w:r w:rsidR="00A86279" w:rsidRPr="00395738">
        <w:rPr>
          <w:rFonts w:cs="Times New Roman"/>
          <w:color w:val="000000"/>
          <w:sz w:val="24"/>
          <w:szCs w:val="24"/>
        </w:rPr>
        <w:t xml:space="preserve">is </w:t>
      </w:r>
      <w:r w:rsidR="00D03695" w:rsidRPr="00395738">
        <w:rPr>
          <w:rFonts w:cs="Times New Roman"/>
          <w:color w:val="000000"/>
          <w:sz w:val="24"/>
          <w:szCs w:val="24"/>
        </w:rPr>
        <w:t xml:space="preserve">to take as a starting point the </w:t>
      </w:r>
      <w:r w:rsidR="00A86279" w:rsidRPr="00395738">
        <w:rPr>
          <w:rFonts w:cs="Times New Roman"/>
          <w:color w:val="000000"/>
          <w:sz w:val="24"/>
          <w:szCs w:val="24"/>
        </w:rPr>
        <w:t xml:space="preserve">core </w:t>
      </w:r>
      <w:r w:rsidR="00F465EA" w:rsidRPr="00395738">
        <w:rPr>
          <w:rFonts w:cs="Times New Roman"/>
          <w:color w:val="000000"/>
          <w:sz w:val="24"/>
          <w:szCs w:val="24"/>
        </w:rPr>
        <w:t xml:space="preserve">analytical </w:t>
      </w:r>
      <w:r w:rsidR="00D03695" w:rsidRPr="00395738">
        <w:rPr>
          <w:rFonts w:cs="Times New Roman"/>
          <w:color w:val="000000"/>
          <w:sz w:val="24"/>
          <w:szCs w:val="24"/>
        </w:rPr>
        <w:t xml:space="preserve">tasks </w:t>
      </w:r>
      <w:r w:rsidRPr="00395738">
        <w:rPr>
          <w:rFonts w:cs="Times New Roman"/>
          <w:color w:val="000000"/>
          <w:sz w:val="24"/>
          <w:szCs w:val="24"/>
        </w:rPr>
        <w:t xml:space="preserve">that are </w:t>
      </w:r>
      <w:r w:rsidR="00D03695" w:rsidRPr="00395738">
        <w:rPr>
          <w:rFonts w:cs="Times New Roman"/>
          <w:color w:val="000000"/>
          <w:sz w:val="24"/>
          <w:szCs w:val="24"/>
        </w:rPr>
        <w:t xml:space="preserve">performed </w:t>
      </w:r>
      <w:r w:rsidRPr="00395738">
        <w:rPr>
          <w:rFonts w:cs="Times New Roman"/>
          <w:color w:val="000000"/>
          <w:sz w:val="24"/>
          <w:szCs w:val="24"/>
        </w:rPr>
        <w:t xml:space="preserve">in </w:t>
      </w:r>
      <w:r w:rsidR="00D03695" w:rsidRPr="00395738">
        <w:rPr>
          <w:rFonts w:cs="Times New Roman"/>
          <w:color w:val="000000"/>
          <w:sz w:val="24"/>
          <w:szCs w:val="24"/>
        </w:rPr>
        <w:t>a modern financial regulatory and supervisory model/regime,</w:t>
      </w:r>
      <w:r w:rsidR="00A86279" w:rsidRPr="00395738">
        <w:rPr>
          <w:rStyle w:val="FootnoteReference"/>
          <w:rFonts w:cs="Times New Roman"/>
          <w:color w:val="000000"/>
          <w:sz w:val="24"/>
          <w:szCs w:val="24"/>
        </w:rPr>
        <w:footnoteReference w:id="22"/>
      </w:r>
      <w:r w:rsidR="00D03695" w:rsidRPr="00395738">
        <w:rPr>
          <w:rFonts w:cs="Times New Roman"/>
          <w:color w:val="000000"/>
          <w:sz w:val="24"/>
          <w:szCs w:val="24"/>
        </w:rPr>
        <w:t xml:space="preserve"> </w:t>
      </w:r>
      <w:r w:rsidR="00A86279" w:rsidRPr="00395738">
        <w:rPr>
          <w:rFonts w:cs="Times New Roman"/>
          <w:color w:val="000000"/>
          <w:sz w:val="24"/>
          <w:szCs w:val="24"/>
        </w:rPr>
        <w:t xml:space="preserve">and </w:t>
      </w:r>
      <w:r w:rsidRPr="00395738">
        <w:rPr>
          <w:rFonts w:cs="Times New Roman"/>
          <w:color w:val="000000"/>
          <w:sz w:val="24"/>
          <w:szCs w:val="24"/>
        </w:rPr>
        <w:t xml:space="preserve">on this basis assess </w:t>
      </w:r>
      <w:r w:rsidR="00DF6944" w:rsidRPr="00395738">
        <w:rPr>
          <w:rFonts w:cs="Times New Roman"/>
          <w:color w:val="000000"/>
          <w:sz w:val="24"/>
          <w:szCs w:val="24"/>
        </w:rPr>
        <w:t xml:space="preserve">in broad terms </w:t>
      </w:r>
      <w:r w:rsidRPr="00395738">
        <w:rPr>
          <w:rFonts w:cs="Times New Roman"/>
          <w:color w:val="000000"/>
          <w:sz w:val="24"/>
          <w:szCs w:val="24"/>
        </w:rPr>
        <w:t>the</w:t>
      </w:r>
      <w:r w:rsidR="00A86279" w:rsidRPr="00395738">
        <w:rPr>
          <w:rFonts w:cs="Times New Roman"/>
          <w:color w:val="000000"/>
          <w:sz w:val="24"/>
          <w:szCs w:val="24"/>
        </w:rPr>
        <w:t xml:space="preserve"> data needs </w:t>
      </w:r>
      <w:r w:rsidR="007F63D3" w:rsidRPr="00395738">
        <w:rPr>
          <w:rFonts w:cs="Times New Roman"/>
          <w:color w:val="000000"/>
          <w:sz w:val="24"/>
          <w:szCs w:val="24"/>
        </w:rPr>
        <w:t xml:space="preserve">that are </w:t>
      </w:r>
      <w:r w:rsidRPr="00395738">
        <w:rPr>
          <w:rFonts w:cs="Times New Roman"/>
          <w:color w:val="000000"/>
          <w:sz w:val="24"/>
          <w:szCs w:val="24"/>
        </w:rPr>
        <w:t xml:space="preserve">derived </w:t>
      </w:r>
      <w:r w:rsidR="00A86279" w:rsidRPr="00395738">
        <w:rPr>
          <w:rFonts w:cs="Times New Roman"/>
          <w:color w:val="000000"/>
          <w:sz w:val="24"/>
          <w:szCs w:val="24"/>
        </w:rPr>
        <w:t xml:space="preserve">from such core tasks. </w:t>
      </w:r>
      <w:r w:rsidR="007F63D3" w:rsidRPr="00395738">
        <w:rPr>
          <w:rFonts w:cs="Times New Roman"/>
          <w:color w:val="000000"/>
          <w:sz w:val="24"/>
          <w:szCs w:val="24"/>
        </w:rPr>
        <w:t xml:space="preserve">This </w:t>
      </w:r>
      <w:r w:rsidRPr="00395738">
        <w:rPr>
          <w:rFonts w:cs="Times New Roman"/>
          <w:color w:val="000000"/>
          <w:sz w:val="24"/>
          <w:szCs w:val="24"/>
        </w:rPr>
        <w:t xml:space="preserve">report </w:t>
      </w:r>
      <w:r w:rsidR="007F63D3" w:rsidRPr="00395738">
        <w:rPr>
          <w:rFonts w:cs="Times New Roman"/>
          <w:color w:val="000000"/>
          <w:sz w:val="24"/>
          <w:szCs w:val="24"/>
        </w:rPr>
        <w:t>follows th</w:t>
      </w:r>
      <w:r w:rsidR="00DF6944" w:rsidRPr="00395738">
        <w:rPr>
          <w:rFonts w:cs="Times New Roman"/>
          <w:color w:val="000000"/>
          <w:sz w:val="24"/>
          <w:szCs w:val="24"/>
        </w:rPr>
        <w:t xml:space="preserve">is alternative </w:t>
      </w:r>
      <w:r w:rsidR="007F63D3" w:rsidRPr="00395738">
        <w:rPr>
          <w:rFonts w:cs="Times New Roman"/>
          <w:color w:val="000000"/>
          <w:sz w:val="24"/>
          <w:szCs w:val="24"/>
        </w:rPr>
        <w:t>approach</w:t>
      </w:r>
      <w:r w:rsidRPr="00395738">
        <w:rPr>
          <w:rFonts w:cs="Times New Roman"/>
          <w:color w:val="000000"/>
          <w:sz w:val="24"/>
          <w:szCs w:val="24"/>
        </w:rPr>
        <w:t>.</w:t>
      </w:r>
      <w:r w:rsidR="007F63D3" w:rsidRPr="00395738">
        <w:rPr>
          <w:rFonts w:cs="Times New Roman"/>
          <w:color w:val="000000"/>
          <w:sz w:val="24"/>
          <w:szCs w:val="24"/>
        </w:rPr>
        <w:t xml:space="preserve"> </w:t>
      </w:r>
    </w:p>
    <w:p w14:paraId="106E83BB" w14:textId="672C90C3" w:rsidR="00F23254" w:rsidRPr="00395738" w:rsidRDefault="007F63D3" w:rsidP="00942E7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lastRenderedPageBreak/>
        <w:t xml:space="preserve">In this context, </w:t>
      </w:r>
      <w:r w:rsidR="00F23254" w:rsidRPr="00395738">
        <w:rPr>
          <w:rFonts w:cs="Times New Roman"/>
          <w:color w:val="000000"/>
          <w:sz w:val="24"/>
          <w:szCs w:val="24"/>
        </w:rPr>
        <w:t xml:space="preserve">micro-prudential </w:t>
      </w:r>
      <w:r w:rsidR="000F323D" w:rsidRPr="00395738">
        <w:rPr>
          <w:rFonts w:cs="Times New Roman"/>
          <w:color w:val="000000"/>
          <w:sz w:val="24"/>
          <w:szCs w:val="24"/>
        </w:rPr>
        <w:t xml:space="preserve">financial supervisors have a key </w:t>
      </w:r>
      <w:r w:rsidR="008273B9" w:rsidRPr="00395738">
        <w:rPr>
          <w:rFonts w:cs="Times New Roman"/>
          <w:color w:val="000000"/>
          <w:sz w:val="24"/>
          <w:szCs w:val="24"/>
        </w:rPr>
        <w:t>interest</w:t>
      </w:r>
      <w:r w:rsidR="000F323D" w:rsidRPr="00395738">
        <w:rPr>
          <w:rFonts w:cs="Times New Roman"/>
          <w:color w:val="000000"/>
          <w:sz w:val="24"/>
          <w:szCs w:val="24"/>
        </w:rPr>
        <w:t xml:space="preserve"> </w:t>
      </w:r>
      <w:r w:rsidR="008273B9" w:rsidRPr="00395738">
        <w:rPr>
          <w:rFonts w:cs="Times New Roman"/>
          <w:color w:val="000000"/>
          <w:sz w:val="24"/>
          <w:szCs w:val="24"/>
        </w:rPr>
        <w:t xml:space="preserve">in </w:t>
      </w:r>
      <w:r w:rsidR="00A03483" w:rsidRPr="00395738">
        <w:rPr>
          <w:rFonts w:cs="Times New Roman"/>
          <w:color w:val="000000"/>
          <w:sz w:val="24"/>
          <w:szCs w:val="24"/>
        </w:rPr>
        <w:t xml:space="preserve">the </w:t>
      </w:r>
      <w:r w:rsidR="006769C8" w:rsidRPr="00395738">
        <w:rPr>
          <w:rFonts w:cs="Times New Roman"/>
          <w:color w:val="000000"/>
          <w:sz w:val="24"/>
          <w:szCs w:val="24"/>
        </w:rPr>
        <w:t xml:space="preserve">overall </w:t>
      </w:r>
      <w:r w:rsidR="008273B9" w:rsidRPr="00395738">
        <w:rPr>
          <w:rFonts w:cs="Times New Roman"/>
          <w:color w:val="000000"/>
          <w:sz w:val="24"/>
          <w:szCs w:val="24"/>
        </w:rPr>
        <w:t xml:space="preserve">quality of the loan portfolio </w:t>
      </w:r>
      <w:r w:rsidR="006769C8" w:rsidRPr="00395738">
        <w:rPr>
          <w:rFonts w:cs="Times New Roman"/>
          <w:color w:val="000000"/>
          <w:sz w:val="24"/>
          <w:szCs w:val="24"/>
        </w:rPr>
        <w:t xml:space="preserve">of individual regulated institutions. Hence, among other aspects they will </w:t>
      </w:r>
      <w:r w:rsidR="000F323D" w:rsidRPr="00395738">
        <w:rPr>
          <w:rFonts w:cs="Times New Roman"/>
          <w:color w:val="000000"/>
          <w:sz w:val="24"/>
          <w:szCs w:val="24"/>
        </w:rPr>
        <w:t xml:space="preserve">analyze </w:t>
      </w:r>
      <w:r w:rsidR="008273B9" w:rsidRPr="00395738">
        <w:rPr>
          <w:rFonts w:cs="Times New Roman"/>
          <w:color w:val="000000"/>
          <w:sz w:val="24"/>
          <w:szCs w:val="24"/>
        </w:rPr>
        <w:t xml:space="preserve">the </w:t>
      </w:r>
      <w:r w:rsidR="00F23254" w:rsidRPr="00395738">
        <w:rPr>
          <w:rFonts w:cs="Times New Roman"/>
          <w:color w:val="000000"/>
          <w:sz w:val="24"/>
          <w:szCs w:val="24"/>
        </w:rPr>
        <w:t>types of loans granted, loan attributes (e.g. currency, maturity</w:t>
      </w:r>
      <w:r w:rsidR="00F37C68" w:rsidRPr="00395738">
        <w:rPr>
          <w:rFonts w:cs="Times New Roman"/>
          <w:color w:val="000000"/>
          <w:sz w:val="24"/>
          <w:szCs w:val="24"/>
        </w:rPr>
        <w:t>, interest rate, etc.</w:t>
      </w:r>
      <w:r w:rsidR="00F23254" w:rsidRPr="00395738">
        <w:rPr>
          <w:rFonts w:cs="Times New Roman"/>
          <w:color w:val="000000"/>
          <w:sz w:val="24"/>
          <w:szCs w:val="24"/>
        </w:rPr>
        <w:t>)</w:t>
      </w:r>
      <w:r w:rsidR="008273B9" w:rsidRPr="00395738">
        <w:rPr>
          <w:rFonts w:cs="Times New Roman"/>
          <w:color w:val="000000"/>
          <w:sz w:val="24"/>
          <w:szCs w:val="24"/>
        </w:rPr>
        <w:t xml:space="preserve"> </w:t>
      </w:r>
      <w:r w:rsidR="008C6C26" w:rsidRPr="00395738">
        <w:rPr>
          <w:rFonts w:cs="Times New Roman"/>
          <w:color w:val="000000"/>
          <w:sz w:val="24"/>
          <w:szCs w:val="24"/>
        </w:rPr>
        <w:t xml:space="preserve">and any mismatches of these with </w:t>
      </w:r>
      <w:r w:rsidR="006769C8" w:rsidRPr="00395738">
        <w:rPr>
          <w:rFonts w:cs="Times New Roman"/>
          <w:color w:val="000000"/>
          <w:sz w:val="24"/>
          <w:szCs w:val="24"/>
        </w:rPr>
        <w:t xml:space="preserve">the institution’s </w:t>
      </w:r>
      <w:r w:rsidR="008C6C26" w:rsidRPr="00395738">
        <w:rPr>
          <w:rFonts w:cs="Times New Roman"/>
          <w:color w:val="000000"/>
          <w:sz w:val="24"/>
          <w:szCs w:val="24"/>
        </w:rPr>
        <w:t>funding</w:t>
      </w:r>
      <w:r w:rsidR="006769C8" w:rsidRPr="00395738">
        <w:rPr>
          <w:rFonts w:cs="Times New Roman"/>
          <w:color w:val="000000"/>
          <w:sz w:val="24"/>
          <w:szCs w:val="24"/>
        </w:rPr>
        <w:t xml:space="preserve"> structure</w:t>
      </w:r>
      <w:r w:rsidR="008C6C26" w:rsidRPr="00395738">
        <w:rPr>
          <w:rFonts w:cs="Times New Roman"/>
          <w:color w:val="000000"/>
          <w:sz w:val="24"/>
          <w:szCs w:val="24"/>
        </w:rPr>
        <w:t xml:space="preserve">, </w:t>
      </w:r>
      <w:r w:rsidR="008273B9" w:rsidRPr="00395738">
        <w:rPr>
          <w:rFonts w:cs="Times New Roman"/>
          <w:color w:val="000000"/>
          <w:sz w:val="24"/>
          <w:szCs w:val="24"/>
        </w:rPr>
        <w:t xml:space="preserve">and </w:t>
      </w:r>
      <w:r w:rsidR="00F23254" w:rsidRPr="00395738">
        <w:rPr>
          <w:rFonts w:cs="Times New Roman"/>
          <w:color w:val="000000"/>
          <w:sz w:val="24"/>
          <w:szCs w:val="24"/>
        </w:rPr>
        <w:t xml:space="preserve">loan </w:t>
      </w:r>
      <w:r w:rsidR="008273B9" w:rsidRPr="00395738">
        <w:rPr>
          <w:rFonts w:cs="Times New Roman"/>
          <w:color w:val="000000"/>
          <w:sz w:val="24"/>
          <w:szCs w:val="24"/>
        </w:rPr>
        <w:t xml:space="preserve">quality </w:t>
      </w:r>
      <w:r w:rsidR="00F23254" w:rsidRPr="00395738">
        <w:rPr>
          <w:rFonts w:cs="Times New Roman"/>
          <w:color w:val="000000"/>
          <w:sz w:val="24"/>
          <w:szCs w:val="24"/>
        </w:rPr>
        <w:t xml:space="preserve">measures (e.g. amount in arrears, </w:t>
      </w:r>
      <w:r w:rsidR="008273B9" w:rsidRPr="00395738">
        <w:rPr>
          <w:rFonts w:cs="Times New Roman"/>
          <w:color w:val="000000"/>
          <w:sz w:val="24"/>
          <w:szCs w:val="24"/>
        </w:rPr>
        <w:t xml:space="preserve">provisions, </w:t>
      </w:r>
      <w:r w:rsidR="00F23254" w:rsidRPr="00395738">
        <w:rPr>
          <w:rFonts w:cs="Times New Roman"/>
          <w:color w:val="000000"/>
          <w:sz w:val="24"/>
          <w:szCs w:val="24"/>
        </w:rPr>
        <w:t xml:space="preserve">value of collateral). </w:t>
      </w:r>
      <w:r w:rsidR="007B68F4" w:rsidRPr="00395738">
        <w:rPr>
          <w:rFonts w:cs="Times New Roman"/>
          <w:color w:val="000000"/>
          <w:sz w:val="24"/>
          <w:szCs w:val="24"/>
        </w:rPr>
        <w:t xml:space="preserve">Often supervisors will perform these analyses not only </w:t>
      </w:r>
      <w:r w:rsidR="005B60E8" w:rsidRPr="00395738">
        <w:rPr>
          <w:rFonts w:cs="Times New Roman"/>
          <w:color w:val="000000"/>
          <w:sz w:val="24"/>
          <w:szCs w:val="24"/>
        </w:rPr>
        <w:t xml:space="preserve">at the entity-level, </w:t>
      </w:r>
      <w:r w:rsidR="007B68F4" w:rsidRPr="00395738">
        <w:rPr>
          <w:rFonts w:cs="Times New Roman"/>
          <w:color w:val="000000"/>
          <w:sz w:val="24"/>
          <w:szCs w:val="24"/>
        </w:rPr>
        <w:t xml:space="preserve">but will also </w:t>
      </w:r>
      <w:r w:rsidR="008273B9" w:rsidRPr="00395738">
        <w:rPr>
          <w:rFonts w:cs="Times New Roman"/>
          <w:color w:val="000000"/>
          <w:sz w:val="24"/>
          <w:szCs w:val="24"/>
        </w:rPr>
        <w:t xml:space="preserve">selectively </w:t>
      </w:r>
      <w:r w:rsidR="007B68F4" w:rsidRPr="00395738">
        <w:rPr>
          <w:rFonts w:cs="Times New Roman"/>
          <w:color w:val="000000"/>
          <w:sz w:val="24"/>
          <w:szCs w:val="24"/>
        </w:rPr>
        <w:t xml:space="preserve">analyze </w:t>
      </w:r>
      <w:r w:rsidR="008273B9" w:rsidRPr="00395738">
        <w:rPr>
          <w:rFonts w:cs="Times New Roman"/>
          <w:color w:val="000000"/>
          <w:sz w:val="24"/>
          <w:szCs w:val="24"/>
        </w:rPr>
        <w:t>individual borrowers</w:t>
      </w:r>
      <w:r w:rsidR="007B68F4" w:rsidRPr="00395738">
        <w:rPr>
          <w:rFonts w:cs="Times New Roman"/>
          <w:color w:val="000000"/>
          <w:sz w:val="24"/>
          <w:szCs w:val="24"/>
        </w:rPr>
        <w:t xml:space="preserve"> and</w:t>
      </w:r>
      <w:r w:rsidR="008273B9" w:rsidRPr="00395738">
        <w:rPr>
          <w:rFonts w:cs="Times New Roman"/>
          <w:color w:val="000000"/>
          <w:sz w:val="24"/>
          <w:szCs w:val="24"/>
        </w:rPr>
        <w:t xml:space="preserve"> groups of connected clients</w:t>
      </w:r>
      <w:r w:rsidR="00A03483" w:rsidRPr="00395738">
        <w:rPr>
          <w:rFonts w:cs="Times New Roman"/>
          <w:color w:val="000000"/>
          <w:sz w:val="24"/>
          <w:szCs w:val="24"/>
        </w:rPr>
        <w:t>.</w:t>
      </w:r>
      <w:r w:rsidR="008273B9" w:rsidRPr="00395738">
        <w:rPr>
          <w:rFonts w:cs="Times New Roman"/>
          <w:color w:val="000000"/>
          <w:sz w:val="24"/>
          <w:szCs w:val="24"/>
        </w:rPr>
        <w:t xml:space="preserve"> </w:t>
      </w:r>
      <w:r w:rsidR="00395809" w:rsidRPr="00395738">
        <w:rPr>
          <w:rFonts w:cs="Times New Roman"/>
          <w:color w:val="000000"/>
          <w:sz w:val="24"/>
          <w:szCs w:val="24"/>
        </w:rPr>
        <w:t xml:space="preserve">Supervisors will also likely </w:t>
      </w:r>
      <w:r w:rsidR="005153DB" w:rsidRPr="00395738">
        <w:rPr>
          <w:rFonts w:cs="Times New Roman"/>
          <w:color w:val="000000"/>
          <w:sz w:val="24"/>
          <w:szCs w:val="24"/>
        </w:rPr>
        <w:t>carry out</w:t>
      </w:r>
      <w:r w:rsidR="00395809" w:rsidRPr="00395738">
        <w:rPr>
          <w:rFonts w:cs="Times New Roman"/>
          <w:color w:val="000000"/>
          <w:sz w:val="24"/>
          <w:szCs w:val="24"/>
        </w:rPr>
        <w:t xml:space="preserve"> </w:t>
      </w:r>
      <w:r w:rsidR="008273B9" w:rsidRPr="00395738">
        <w:rPr>
          <w:rFonts w:cs="Times New Roman"/>
          <w:color w:val="000000"/>
          <w:sz w:val="24"/>
          <w:szCs w:val="24"/>
        </w:rPr>
        <w:t>exercises like benchmarking/peer group reviews</w:t>
      </w:r>
      <w:r w:rsidR="00E82C60" w:rsidRPr="00395738">
        <w:rPr>
          <w:rFonts w:cs="Times New Roman"/>
          <w:color w:val="000000"/>
          <w:sz w:val="24"/>
          <w:szCs w:val="24"/>
        </w:rPr>
        <w:t xml:space="preserve"> and</w:t>
      </w:r>
      <w:r w:rsidR="008273B9" w:rsidRPr="00395738">
        <w:rPr>
          <w:rFonts w:cs="Times New Roman"/>
          <w:color w:val="000000"/>
          <w:sz w:val="24"/>
          <w:szCs w:val="24"/>
        </w:rPr>
        <w:t xml:space="preserve"> </w:t>
      </w:r>
      <w:r w:rsidR="00395809" w:rsidRPr="00395738">
        <w:rPr>
          <w:rFonts w:cs="Times New Roman"/>
          <w:color w:val="000000"/>
          <w:sz w:val="24"/>
          <w:szCs w:val="24"/>
        </w:rPr>
        <w:t>stress tests at the level of individual financial institutions.</w:t>
      </w:r>
      <w:r w:rsidR="008273B9" w:rsidRPr="00395738">
        <w:rPr>
          <w:rFonts w:cs="Times New Roman"/>
          <w:color w:val="000000"/>
          <w:sz w:val="24"/>
          <w:szCs w:val="24"/>
        </w:rPr>
        <w:t xml:space="preserve"> </w:t>
      </w:r>
      <w:r w:rsidR="00A03483" w:rsidRPr="00395738">
        <w:rPr>
          <w:rFonts w:cs="Times New Roman"/>
          <w:b/>
          <w:color w:val="000000"/>
          <w:sz w:val="24"/>
          <w:szCs w:val="24"/>
        </w:rPr>
        <w:t xml:space="preserve">These </w:t>
      </w:r>
      <w:r w:rsidR="007B68F4" w:rsidRPr="00395738">
        <w:rPr>
          <w:rFonts w:cs="Times New Roman"/>
          <w:b/>
          <w:color w:val="000000"/>
          <w:sz w:val="24"/>
          <w:szCs w:val="24"/>
        </w:rPr>
        <w:t>core</w:t>
      </w:r>
      <w:r w:rsidR="00F465EA" w:rsidRPr="00395738">
        <w:rPr>
          <w:rFonts w:cs="Times New Roman"/>
          <w:b/>
          <w:color w:val="000000"/>
          <w:sz w:val="24"/>
          <w:szCs w:val="24"/>
        </w:rPr>
        <w:t xml:space="preserve"> analytical tasks for micro-prudential supervision</w:t>
      </w:r>
      <w:r w:rsidR="00791A4D" w:rsidRPr="00395738">
        <w:rPr>
          <w:rFonts w:cs="Times New Roman"/>
          <w:b/>
          <w:color w:val="000000"/>
          <w:sz w:val="24"/>
          <w:szCs w:val="24"/>
        </w:rPr>
        <w:t xml:space="preserve"> and</w:t>
      </w:r>
      <w:r w:rsidR="007B68F4" w:rsidRPr="00395738">
        <w:rPr>
          <w:rFonts w:cs="Times New Roman"/>
          <w:b/>
          <w:color w:val="000000"/>
          <w:sz w:val="24"/>
          <w:szCs w:val="24"/>
        </w:rPr>
        <w:t xml:space="preserve"> the underlying credit data needs</w:t>
      </w:r>
      <w:r w:rsidR="00A03483" w:rsidRPr="00395738">
        <w:rPr>
          <w:rFonts w:cs="Times New Roman"/>
          <w:b/>
          <w:color w:val="000000"/>
          <w:sz w:val="24"/>
          <w:szCs w:val="24"/>
        </w:rPr>
        <w:t>,</w:t>
      </w:r>
      <w:r w:rsidR="007B68F4" w:rsidRPr="00395738">
        <w:rPr>
          <w:rFonts w:cs="Times New Roman"/>
          <w:b/>
          <w:color w:val="000000"/>
          <w:sz w:val="24"/>
          <w:szCs w:val="24"/>
        </w:rPr>
        <w:t xml:space="preserve"> </w:t>
      </w:r>
      <w:r w:rsidR="005B60E8" w:rsidRPr="00395738">
        <w:rPr>
          <w:rFonts w:cs="Times New Roman"/>
          <w:b/>
          <w:color w:val="000000"/>
          <w:sz w:val="24"/>
          <w:szCs w:val="24"/>
        </w:rPr>
        <w:t xml:space="preserve">and especially how such data is sourced from </w:t>
      </w:r>
      <w:r w:rsidR="00C37B3C" w:rsidRPr="00395738">
        <w:rPr>
          <w:rFonts w:cs="Times New Roman"/>
          <w:b/>
          <w:color w:val="000000"/>
          <w:sz w:val="24"/>
          <w:szCs w:val="24"/>
        </w:rPr>
        <w:t>CRSPs</w:t>
      </w:r>
      <w:r w:rsidR="005B60E8" w:rsidRPr="00395738">
        <w:rPr>
          <w:rFonts w:cs="Times New Roman"/>
          <w:b/>
          <w:color w:val="000000"/>
          <w:sz w:val="24"/>
          <w:szCs w:val="24"/>
        </w:rPr>
        <w:t xml:space="preserve"> </w:t>
      </w:r>
      <w:r w:rsidR="00791A4D" w:rsidRPr="00395738">
        <w:rPr>
          <w:rFonts w:cs="Times New Roman"/>
          <w:b/>
          <w:color w:val="000000"/>
          <w:sz w:val="24"/>
          <w:szCs w:val="24"/>
        </w:rPr>
        <w:t xml:space="preserve">and </w:t>
      </w:r>
      <w:r w:rsidR="00C37B3C" w:rsidRPr="00395738">
        <w:rPr>
          <w:rFonts w:cs="Times New Roman"/>
          <w:b/>
          <w:color w:val="000000"/>
          <w:sz w:val="24"/>
          <w:szCs w:val="24"/>
        </w:rPr>
        <w:t xml:space="preserve">the </w:t>
      </w:r>
      <w:r w:rsidR="00791A4D" w:rsidRPr="00395738">
        <w:rPr>
          <w:rFonts w:cs="Times New Roman"/>
          <w:b/>
          <w:color w:val="000000"/>
          <w:sz w:val="24"/>
          <w:szCs w:val="24"/>
        </w:rPr>
        <w:t xml:space="preserve">obstacles to effective usage </w:t>
      </w:r>
      <w:r w:rsidR="007B68F4" w:rsidRPr="00395738">
        <w:rPr>
          <w:rFonts w:cs="Times New Roman"/>
          <w:b/>
          <w:color w:val="000000"/>
          <w:sz w:val="24"/>
          <w:szCs w:val="24"/>
        </w:rPr>
        <w:t xml:space="preserve">are </w:t>
      </w:r>
      <w:r w:rsidR="000F323D" w:rsidRPr="00395738">
        <w:rPr>
          <w:rFonts w:cs="Times New Roman"/>
          <w:b/>
          <w:color w:val="000000"/>
          <w:sz w:val="24"/>
          <w:szCs w:val="24"/>
        </w:rPr>
        <w:t xml:space="preserve">discussed </w:t>
      </w:r>
      <w:r w:rsidR="008273B9" w:rsidRPr="00395738">
        <w:rPr>
          <w:rFonts w:cs="Times New Roman"/>
          <w:b/>
          <w:color w:val="000000"/>
          <w:sz w:val="24"/>
          <w:szCs w:val="24"/>
        </w:rPr>
        <w:t xml:space="preserve">in </w:t>
      </w:r>
      <w:r w:rsidR="008D0DBC" w:rsidRPr="00395738">
        <w:rPr>
          <w:rFonts w:cs="Times New Roman"/>
          <w:b/>
          <w:color w:val="000000"/>
          <w:sz w:val="24"/>
          <w:szCs w:val="24"/>
        </w:rPr>
        <w:t>c</w:t>
      </w:r>
      <w:r w:rsidR="008273B9" w:rsidRPr="00395738">
        <w:rPr>
          <w:rFonts w:cs="Times New Roman"/>
          <w:b/>
          <w:color w:val="000000"/>
          <w:sz w:val="24"/>
          <w:szCs w:val="24"/>
        </w:rPr>
        <w:t xml:space="preserve">hapter </w:t>
      </w:r>
      <w:r w:rsidR="00D20C03" w:rsidRPr="00395738">
        <w:rPr>
          <w:rFonts w:cs="Times New Roman"/>
          <w:b/>
          <w:color w:val="000000"/>
          <w:sz w:val="24"/>
          <w:szCs w:val="24"/>
        </w:rPr>
        <w:t>III</w:t>
      </w:r>
      <w:r w:rsidR="008273B9" w:rsidRPr="00395738">
        <w:rPr>
          <w:rFonts w:cs="Times New Roman"/>
          <w:b/>
          <w:color w:val="000000"/>
          <w:sz w:val="24"/>
          <w:szCs w:val="24"/>
        </w:rPr>
        <w:t xml:space="preserve"> of this report.</w:t>
      </w:r>
    </w:p>
    <w:p w14:paraId="7AC04983" w14:textId="0092165E" w:rsidR="00F30B04" w:rsidRPr="00395738" w:rsidRDefault="005B60E8" w:rsidP="00942E7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Implementation of macro-prudential supervision </w:t>
      </w:r>
      <w:r w:rsidR="00D715BB" w:rsidRPr="00395738">
        <w:rPr>
          <w:rFonts w:cs="Times New Roman"/>
          <w:color w:val="000000"/>
          <w:sz w:val="24"/>
          <w:szCs w:val="24"/>
        </w:rPr>
        <w:t xml:space="preserve">policies </w:t>
      </w:r>
      <w:r w:rsidRPr="00395738">
        <w:rPr>
          <w:rFonts w:cs="Times New Roman"/>
          <w:color w:val="000000"/>
          <w:sz w:val="24"/>
          <w:szCs w:val="24"/>
        </w:rPr>
        <w:t>has increased demand for data relevant for financial stability analysis</w:t>
      </w:r>
      <w:r w:rsidR="00F465EA" w:rsidRPr="00395738">
        <w:rPr>
          <w:rFonts w:cs="Times New Roman"/>
          <w:color w:val="000000"/>
          <w:sz w:val="24"/>
          <w:szCs w:val="24"/>
        </w:rPr>
        <w:t>. Macro-prudential supervision focuses on the monitoring and managing of the build-up of risks to systemic financial stability</w:t>
      </w:r>
      <w:r w:rsidR="00D715BB" w:rsidRPr="00395738">
        <w:rPr>
          <w:rFonts w:cs="Times New Roman"/>
          <w:color w:val="000000"/>
          <w:sz w:val="24"/>
          <w:szCs w:val="24"/>
        </w:rPr>
        <w:t>, which are</w:t>
      </w:r>
      <w:r w:rsidR="00F465EA" w:rsidRPr="00395738">
        <w:rPr>
          <w:rFonts w:cs="Times New Roman"/>
          <w:color w:val="000000"/>
          <w:sz w:val="24"/>
          <w:szCs w:val="24"/>
        </w:rPr>
        <w:t xml:space="preserve"> very often generated endogenously during </w:t>
      </w:r>
      <w:r w:rsidR="00DE42BE" w:rsidRPr="00395738">
        <w:rPr>
          <w:rFonts w:cs="Times New Roman"/>
          <w:color w:val="000000"/>
          <w:sz w:val="24"/>
          <w:szCs w:val="24"/>
        </w:rPr>
        <w:t>so-called “credit booms”.</w:t>
      </w:r>
      <w:r w:rsidR="00F37C68" w:rsidRPr="00395738">
        <w:rPr>
          <w:rStyle w:val="FootnoteReference"/>
          <w:rFonts w:cs="Times New Roman"/>
          <w:color w:val="000000"/>
          <w:sz w:val="24"/>
          <w:szCs w:val="24"/>
        </w:rPr>
        <w:footnoteReference w:id="23"/>
      </w:r>
      <w:r w:rsidR="00DE42BE" w:rsidRPr="00395738">
        <w:rPr>
          <w:rFonts w:cs="Times New Roman"/>
          <w:color w:val="000000"/>
          <w:sz w:val="24"/>
          <w:szCs w:val="24"/>
        </w:rPr>
        <w:t xml:space="preserve"> </w:t>
      </w:r>
      <w:r w:rsidR="00F465EA" w:rsidRPr="00395738">
        <w:rPr>
          <w:rFonts w:cs="Times New Roman"/>
          <w:color w:val="000000"/>
          <w:sz w:val="24"/>
          <w:szCs w:val="24"/>
        </w:rPr>
        <w:t xml:space="preserve">Hence, </w:t>
      </w:r>
      <w:r w:rsidR="008378CF" w:rsidRPr="00395738">
        <w:rPr>
          <w:rFonts w:cs="Times New Roman"/>
          <w:color w:val="000000"/>
          <w:sz w:val="24"/>
          <w:szCs w:val="24"/>
        </w:rPr>
        <w:t>macro-prudential authorities are</w:t>
      </w:r>
      <w:r w:rsidR="00F465EA" w:rsidRPr="00395738">
        <w:rPr>
          <w:rFonts w:cs="Times New Roman"/>
          <w:color w:val="000000"/>
          <w:sz w:val="24"/>
          <w:szCs w:val="24"/>
        </w:rPr>
        <w:t xml:space="preserve"> typically interested in analyzing </w:t>
      </w:r>
      <w:r w:rsidR="008C6C26" w:rsidRPr="00395738">
        <w:rPr>
          <w:rFonts w:cs="Times New Roman"/>
          <w:color w:val="000000"/>
          <w:sz w:val="24"/>
          <w:szCs w:val="24"/>
        </w:rPr>
        <w:t xml:space="preserve">system-wide </w:t>
      </w:r>
      <w:r w:rsidR="00F465EA" w:rsidRPr="00395738">
        <w:rPr>
          <w:rFonts w:cs="Times New Roman"/>
          <w:color w:val="000000"/>
          <w:sz w:val="24"/>
          <w:szCs w:val="24"/>
        </w:rPr>
        <w:t xml:space="preserve">phenomena such as potential excessive credit growth that may be driving asset price bubbles, excessive leverage that may act as an amplifying channel, maturity and/or currency mismatches and direct and indirect exposure concentrations that may lead to asset fire sales and contagion. </w:t>
      </w:r>
      <w:r w:rsidR="007A1B57" w:rsidRPr="00395738">
        <w:rPr>
          <w:rFonts w:cs="Times New Roman"/>
          <w:b/>
          <w:color w:val="000000"/>
          <w:sz w:val="24"/>
          <w:szCs w:val="24"/>
        </w:rPr>
        <w:t>C</w:t>
      </w:r>
      <w:r w:rsidR="00C37B3C" w:rsidRPr="00395738">
        <w:rPr>
          <w:rFonts w:cs="Times New Roman"/>
          <w:b/>
          <w:color w:val="000000"/>
          <w:sz w:val="24"/>
          <w:szCs w:val="24"/>
        </w:rPr>
        <w:t xml:space="preserve">hapter </w:t>
      </w:r>
      <w:r w:rsidR="00D20C03" w:rsidRPr="00395738">
        <w:rPr>
          <w:rFonts w:cs="Times New Roman"/>
          <w:b/>
          <w:color w:val="000000"/>
          <w:sz w:val="24"/>
          <w:szCs w:val="24"/>
        </w:rPr>
        <w:t>IV</w:t>
      </w:r>
      <w:r w:rsidR="007A1B57" w:rsidRPr="00395738">
        <w:rPr>
          <w:rFonts w:cs="Times New Roman"/>
          <w:b/>
          <w:color w:val="000000"/>
          <w:sz w:val="24"/>
          <w:szCs w:val="24"/>
        </w:rPr>
        <w:t>,</w:t>
      </w:r>
      <w:r w:rsidR="00C37B3C" w:rsidRPr="00395738">
        <w:rPr>
          <w:rFonts w:cs="Times New Roman"/>
          <w:b/>
          <w:color w:val="000000"/>
          <w:sz w:val="24"/>
          <w:szCs w:val="24"/>
        </w:rPr>
        <w:t xml:space="preserve"> </w:t>
      </w:r>
      <w:r w:rsidR="007A1B57" w:rsidRPr="00395738">
        <w:rPr>
          <w:rFonts w:cs="Times New Roman"/>
          <w:b/>
          <w:color w:val="000000"/>
          <w:sz w:val="24"/>
          <w:szCs w:val="24"/>
        </w:rPr>
        <w:t xml:space="preserve">following a similar structure to </w:t>
      </w:r>
      <w:r w:rsidR="00D20C03" w:rsidRPr="00395738">
        <w:rPr>
          <w:rFonts w:cs="Times New Roman"/>
          <w:b/>
          <w:color w:val="000000"/>
          <w:sz w:val="24"/>
          <w:szCs w:val="24"/>
        </w:rPr>
        <w:t>c</w:t>
      </w:r>
      <w:r w:rsidR="007A1B57" w:rsidRPr="00395738">
        <w:rPr>
          <w:rFonts w:cs="Times New Roman"/>
          <w:b/>
          <w:color w:val="000000"/>
          <w:sz w:val="24"/>
          <w:szCs w:val="24"/>
        </w:rPr>
        <w:t xml:space="preserve">hapter </w:t>
      </w:r>
      <w:r w:rsidR="00D20C03" w:rsidRPr="00395738">
        <w:rPr>
          <w:rFonts w:cs="Times New Roman"/>
          <w:b/>
          <w:color w:val="000000"/>
          <w:sz w:val="24"/>
          <w:szCs w:val="24"/>
        </w:rPr>
        <w:t>III</w:t>
      </w:r>
      <w:r w:rsidR="007A1B57" w:rsidRPr="00395738">
        <w:rPr>
          <w:rFonts w:cs="Times New Roman"/>
          <w:b/>
          <w:color w:val="000000"/>
          <w:sz w:val="24"/>
          <w:szCs w:val="24"/>
        </w:rPr>
        <w:t xml:space="preserve">, </w:t>
      </w:r>
      <w:r w:rsidR="00C37B3C" w:rsidRPr="00395738">
        <w:rPr>
          <w:rFonts w:cs="Times New Roman"/>
          <w:b/>
          <w:color w:val="000000"/>
          <w:sz w:val="24"/>
          <w:szCs w:val="24"/>
        </w:rPr>
        <w:t>analyses t</w:t>
      </w:r>
      <w:r w:rsidR="00F30B04" w:rsidRPr="00395738">
        <w:rPr>
          <w:rFonts w:cs="Times New Roman"/>
          <w:b/>
          <w:color w:val="000000"/>
          <w:sz w:val="24"/>
          <w:szCs w:val="24"/>
        </w:rPr>
        <w:t>he core analytical tasks for macro-prudential supervision</w:t>
      </w:r>
      <w:r w:rsidR="00791A4D" w:rsidRPr="00395738">
        <w:rPr>
          <w:rFonts w:cs="Times New Roman"/>
          <w:b/>
          <w:color w:val="000000"/>
          <w:sz w:val="24"/>
          <w:szCs w:val="24"/>
        </w:rPr>
        <w:t xml:space="preserve"> and</w:t>
      </w:r>
      <w:r w:rsidR="00F30B04" w:rsidRPr="00395738">
        <w:rPr>
          <w:rFonts w:cs="Times New Roman"/>
          <w:b/>
          <w:color w:val="000000"/>
          <w:sz w:val="24"/>
          <w:szCs w:val="24"/>
        </w:rPr>
        <w:t xml:space="preserve"> the underlying credit data needs, </w:t>
      </w:r>
      <w:r w:rsidR="00C37B3C" w:rsidRPr="00395738">
        <w:rPr>
          <w:rFonts w:cs="Times New Roman"/>
          <w:b/>
          <w:color w:val="000000"/>
          <w:sz w:val="24"/>
          <w:szCs w:val="24"/>
        </w:rPr>
        <w:t>h</w:t>
      </w:r>
      <w:r w:rsidR="00F30B04" w:rsidRPr="00395738">
        <w:rPr>
          <w:rFonts w:cs="Times New Roman"/>
          <w:b/>
          <w:color w:val="000000"/>
          <w:sz w:val="24"/>
          <w:szCs w:val="24"/>
        </w:rPr>
        <w:t xml:space="preserve">ow such data is sourced from </w:t>
      </w:r>
      <w:r w:rsidR="00C37B3C" w:rsidRPr="00395738">
        <w:rPr>
          <w:rFonts w:cs="Times New Roman"/>
          <w:b/>
          <w:color w:val="000000"/>
          <w:sz w:val="24"/>
          <w:szCs w:val="24"/>
        </w:rPr>
        <w:t>CRSPs</w:t>
      </w:r>
      <w:r w:rsidR="00F30B04" w:rsidRPr="00395738">
        <w:rPr>
          <w:rFonts w:cs="Times New Roman"/>
          <w:b/>
          <w:color w:val="000000"/>
          <w:sz w:val="24"/>
          <w:szCs w:val="24"/>
        </w:rPr>
        <w:t xml:space="preserve"> </w:t>
      </w:r>
      <w:r w:rsidR="00791A4D" w:rsidRPr="00395738">
        <w:rPr>
          <w:rFonts w:cs="Times New Roman"/>
          <w:b/>
          <w:color w:val="000000"/>
          <w:sz w:val="24"/>
          <w:szCs w:val="24"/>
        </w:rPr>
        <w:t xml:space="preserve">and </w:t>
      </w:r>
      <w:r w:rsidR="00C37B3C" w:rsidRPr="00395738">
        <w:rPr>
          <w:rFonts w:cs="Times New Roman"/>
          <w:b/>
          <w:color w:val="000000"/>
          <w:sz w:val="24"/>
          <w:szCs w:val="24"/>
        </w:rPr>
        <w:t xml:space="preserve">the </w:t>
      </w:r>
      <w:r w:rsidR="00791A4D" w:rsidRPr="00395738">
        <w:rPr>
          <w:rFonts w:cs="Times New Roman"/>
          <w:b/>
          <w:color w:val="000000"/>
          <w:sz w:val="24"/>
          <w:szCs w:val="24"/>
        </w:rPr>
        <w:t>obstacles to effective usage</w:t>
      </w:r>
      <w:r w:rsidR="00F30B04" w:rsidRPr="00395738">
        <w:rPr>
          <w:rFonts w:cs="Times New Roman"/>
          <w:b/>
          <w:color w:val="000000"/>
          <w:sz w:val="24"/>
          <w:szCs w:val="24"/>
        </w:rPr>
        <w:t>.</w:t>
      </w:r>
    </w:p>
    <w:p w14:paraId="6F65A265" w14:textId="42CEB293" w:rsidR="00C37B3C" w:rsidRPr="00395738" w:rsidRDefault="000932E3" w:rsidP="00C37B3C">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sz w:val="24"/>
          <w:szCs w:val="24"/>
        </w:rPr>
        <w:t xml:space="preserve">The overall effectiveness of </w:t>
      </w:r>
      <w:r w:rsidR="00894022" w:rsidRPr="00395738">
        <w:rPr>
          <w:rFonts w:cs="Times New Roman"/>
          <w:sz w:val="24"/>
          <w:szCs w:val="24"/>
        </w:rPr>
        <w:t>m</w:t>
      </w:r>
      <w:r w:rsidR="003B32B7" w:rsidRPr="00395738">
        <w:rPr>
          <w:rFonts w:cs="Times New Roman"/>
          <w:sz w:val="24"/>
          <w:szCs w:val="24"/>
        </w:rPr>
        <w:t>icro and macro-prudential supervision rel</w:t>
      </w:r>
      <w:r w:rsidRPr="00395738">
        <w:rPr>
          <w:rFonts w:cs="Times New Roman"/>
          <w:sz w:val="24"/>
          <w:szCs w:val="24"/>
        </w:rPr>
        <w:t xml:space="preserve">ies </w:t>
      </w:r>
      <w:r w:rsidR="003B32B7" w:rsidRPr="00395738">
        <w:rPr>
          <w:rFonts w:cs="Times New Roman"/>
          <w:sz w:val="24"/>
          <w:szCs w:val="24"/>
        </w:rPr>
        <w:t xml:space="preserve">to a large extent on there being robust regulations. </w:t>
      </w:r>
      <w:r w:rsidR="000F323D" w:rsidRPr="00395738">
        <w:rPr>
          <w:rFonts w:cs="Times New Roman"/>
          <w:sz w:val="24"/>
          <w:szCs w:val="24"/>
        </w:rPr>
        <w:t>Su</w:t>
      </w:r>
      <w:r w:rsidR="003B32B7" w:rsidRPr="00395738">
        <w:rPr>
          <w:rFonts w:cs="Times New Roman"/>
          <w:sz w:val="24"/>
          <w:szCs w:val="24"/>
        </w:rPr>
        <w:t xml:space="preserve">pervisors and other </w:t>
      </w:r>
      <w:r w:rsidR="000F323D" w:rsidRPr="00395738">
        <w:rPr>
          <w:rFonts w:cs="Times New Roman"/>
          <w:sz w:val="24"/>
          <w:szCs w:val="24"/>
        </w:rPr>
        <w:t xml:space="preserve">relevant </w:t>
      </w:r>
      <w:r w:rsidR="003B32B7" w:rsidRPr="00395738">
        <w:rPr>
          <w:rFonts w:cs="Times New Roman"/>
          <w:sz w:val="24"/>
          <w:szCs w:val="24"/>
        </w:rPr>
        <w:t xml:space="preserve">authorities </w:t>
      </w:r>
      <w:r w:rsidR="00BB243A" w:rsidRPr="00395738">
        <w:rPr>
          <w:rFonts w:cs="Times New Roman"/>
          <w:sz w:val="24"/>
          <w:szCs w:val="24"/>
        </w:rPr>
        <w:t xml:space="preserve">are interested in having a thorough understanding of the aspects that need </w:t>
      </w:r>
      <w:r w:rsidR="00894022" w:rsidRPr="00395738">
        <w:rPr>
          <w:rFonts w:cs="Times New Roman"/>
          <w:sz w:val="24"/>
          <w:szCs w:val="24"/>
        </w:rPr>
        <w:t>to be regulated or for which regulation needs to be improved</w:t>
      </w:r>
      <w:r w:rsidR="00BB243A" w:rsidRPr="00395738">
        <w:rPr>
          <w:rFonts w:cs="Times New Roman"/>
          <w:sz w:val="24"/>
          <w:szCs w:val="24"/>
        </w:rPr>
        <w:t xml:space="preserve">. Moreover, </w:t>
      </w:r>
      <w:r w:rsidR="000F323D" w:rsidRPr="00395738">
        <w:rPr>
          <w:rFonts w:cs="Times New Roman"/>
          <w:sz w:val="24"/>
          <w:szCs w:val="24"/>
        </w:rPr>
        <w:t>the</w:t>
      </w:r>
      <w:r w:rsidR="004A4C72" w:rsidRPr="00395738">
        <w:rPr>
          <w:rFonts w:cs="Times New Roman"/>
          <w:sz w:val="24"/>
          <w:szCs w:val="24"/>
        </w:rPr>
        <w:t xml:space="preserve">y </w:t>
      </w:r>
      <w:r w:rsidR="00BB243A" w:rsidRPr="00395738">
        <w:rPr>
          <w:rFonts w:cs="Times New Roman"/>
          <w:sz w:val="24"/>
          <w:szCs w:val="24"/>
        </w:rPr>
        <w:t xml:space="preserve">need to be able to simulate </w:t>
      </w:r>
      <w:r w:rsidR="00BB243A" w:rsidRPr="00395738">
        <w:rPr>
          <w:rFonts w:cs="Times New Roman"/>
          <w:sz w:val="24"/>
          <w:szCs w:val="24"/>
        </w:rPr>
        <w:lastRenderedPageBreak/>
        <w:t xml:space="preserve">the potential consequences of the intended regulations so as to </w:t>
      </w:r>
      <w:r w:rsidR="000F323D" w:rsidRPr="00395738">
        <w:rPr>
          <w:rFonts w:cs="Times New Roman"/>
          <w:sz w:val="24"/>
          <w:szCs w:val="24"/>
        </w:rPr>
        <w:t xml:space="preserve">effectively </w:t>
      </w:r>
      <w:r w:rsidR="00BB243A" w:rsidRPr="00395738">
        <w:rPr>
          <w:rFonts w:cs="Times New Roman"/>
          <w:sz w:val="24"/>
          <w:szCs w:val="24"/>
        </w:rPr>
        <w:t>calibrat</w:t>
      </w:r>
      <w:r w:rsidR="000F323D" w:rsidRPr="00395738">
        <w:rPr>
          <w:rFonts w:cs="Times New Roman"/>
          <w:sz w:val="24"/>
          <w:szCs w:val="24"/>
        </w:rPr>
        <w:t>e</w:t>
      </w:r>
      <w:r w:rsidR="00BB243A" w:rsidRPr="00395738">
        <w:rPr>
          <w:rFonts w:cs="Times New Roman"/>
          <w:sz w:val="24"/>
          <w:szCs w:val="24"/>
        </w:rPr>
        <w:t xml:space="preserve"> the </w:t>
      </w:r>
      <w:r w:rsidR="000F323D" w:rsidRPr="00395738">
        <w:rPr>
          <w:rFonts w:cs="Times New Roman"/>
          <w:sz w:val="24"/>
          <w:szCs w:val="24"/>
        </w:rPr>
        <w:t>respective r</w:t>
      </w:r>
      <w:r w:rsidR="00BB243A" w:rsidRPr="00395738">
        <w:rPr>
          <w:rFonts w:cs="Times New Roman"/>
          <w:sz w:val="24"/>
          <w:szCs w:val="24"/>
        </w:rPr>
        <w:t>egulatory provisions</w:t>
      </w:r>
      <w:r w:rsidR="00F76096" w:rsidRPr="00395738">
        <w:rPr>
          <w:rFonts w:cs="Times New Roman"/>
          <w:sz w:val="24"/>
          <w:szCs w:val="24"/>
        </w:rPr>
        <w:t xml:space="preserve"> before the</w:t>
      </w:r>
      <w:r w:rsidR="00E57DD6" w:rsidRPr="00395738">
        <w:rPr>
          <w:rFonts w:cs="Times New Roman"/>
          <w:sz w:val="24"/>
          <w:szCs w:val="24"/>
        </w:rPr>
        <w:t>y</w:t>
      </w:r>
      <w:r w:rsidR="00F76096" w:rsidRPr="00395738">
        <w:rPr>
          <w:rFonts w:cs="Times New Roman"/>
          <w:sz w:val="24"/>
          <w:szCs w:val="24"/>
        </w:rPr>
        <w:t xml:space="preserve"> come into force. </w:t>
      </w:r>
      <w:r w:rsidR="00C37B3C" w:rsidRPr="00395738">
        <w:rPr>
          <w:rFonts w:cs="Times New Roman"/>
          <w:b/>
          <w:color w:val="000000"/>
          <w:sz w:val="24"/>
          <w:szCs w:val="24"/>
        </w:rPr>
        <w:t xml:space="preserve">Chapter </w:t>
      </w:r>
      <w:r w:rsidR="00D20C03" w:rsidRPr="00395738">
        <w:rPr>
          <w:rFonts w:cs="Times New Roman"/>
          <w:b/>
          <w:color w:val="000000"/>
          <w:sz w:val="24"/>
          <w:szCs w:val="24"/>
        </w:rPr>
        <w:t>V</w:t>
      </w:r>
      <w:r w:rsidR="00C37B3C" w:rsidRPr="00395738">
        <w:rPr>
          <w:rFonts w:cs="Times New Roman"/>
          <w:b/>
          <w:color w:val="000000"/>
          <w:sz w:val="24"/>
          <w:szCs w:val="24"/>
        </w:rPr>
        <w:t xml:space="preserve"> </w:t>
      </w:r>
      <w:r w:rsidR="000F323D" w:rsidRPr="00395738">
        <w:rPr>
          <w:rFonts w:cs="Times New Roman"/>
          <w:b/>
          <w:color w:val="000000"/>
          <w:sz w:val="24"/>
          <w:szCs w:val="24"/>
        </w:rPr>
        <w:t xml:space="preserve">therefore </w:t>
      </w:r>
      <w:r w:rsidR="00C37B3C" w:rsidRPr="00395738">
        <w:rPr>
          <w:rFonts w:cs="Times New Roman"/>
          <w:b/>
          <w:color w:val="000000"/>
          <w:sz w:val="24"/>
          <w:szCs w:val="24"/>
        </w:rPr>
        <w:t>d</w:t>
      </w:r>
      <w:r w:rsidR="000F323D" w:rsidRPr="00395738">
        <w:rPr>
          <w:rFonts w:cs="Times New Roman"/>
          <w:b/>
          <w:color w:val="000000"/>
          <w:sz w:val="24"/>
          <w:szCs w:val="24"/>
        </w:rPr>
        <w:t>escribes</w:t>
      </w:r>
      <w:r w:rsidR="00C37B3C" w:rsidRPr="00395738">
        <w:rPr>
          <w:rFonts w:cs="Times New Roman"/>
          <w:b/>
          <w:color w:val="000000"/>
          <w:sz w:val="24"/>
          <w:szCs w:val="24"/>
        </w:rPr>
        <w:t xml:space="preserve"> the types of analytical tasks used in connection with financial sector regulation</w:t>
      </w:r>
      <w:r w:rsidR="00192A73" w:rsidRPr="00395738">
        <w:rPr>
          <w:rFonts w:cs="Times New Roman"/>
          <w:b/>
          <w:color w:val="000000"/>
          <w:sz w:val="24"/>
          <w:szCs w:val="24"/>
        </w:rPr>
        <w:t>-making,</w:t>
      </w:r>
      <w:r w:rsidR="00C37B3C" w:rsidRPr="00395738">
        <w:rPr>
          <w:rFonts w:cs="Times New Roman"/>
          <w:b/>
          <w:color w:val="000000"/>
          <w:sz w:val="24"/>
          <w:szCs w:val="24"/>
        </w:rPr>
        <w:t xml:space="preserve"> and the underlying credit data needs.</w:t>
      </w:r>
    </w:p>
    <w:p w14:paraId="3DD129B7" w14:textId="0EA59583" w:rsidR="008B68F0" w:rsidRPr="00395738" w:rsidRDefault="008378CF" w:rsidP="007838FA">
      <w:pPr>
        <w:pStyle w:val="ListParagraph"/>
        <w:numPr>
          <w:ilvl w:val="0"/>
          <w:numId w:val="1"/>
        </w:numPr>
        <w:autoSpaceDE w:val="0"/>
        <w:autoSpaceDN w:val="0"/>
        <w:adjustRightInd w:val="0"/>
        <w:spacing w:after="0" w:line="360" w:lineRule="auto"/>
        <w:contextualSpacing w:val="0"/>
        <w:jc w:val="both"/>
        <w:rPr>
          <w:rFonts w:cs="Times New Roman"/>
          <w:sz w:val="24"/>
          <w:szCs w:val="24"/>
        </w:rPr>
      </w:pPr>
      <w:r w:rsidRPr="00395738">
        <w:rPr>
          <w:rFonts w:cs="Times New Roman"/>
          <w:color w:val="000000"/>
          <w:sz w:val="24"/>
          <w:szCs w:val="24"/>
        </w:rPr>
        <w:t xml:space="preserve">It is important to </w:t>
      </w:r>
      <w:r w:rsidR="000F323D" w:rsidRPr="00395738">
        <w:rPr>
          <w:rFonts w:cs="Times New Roman"/>
          <w:color w:val="000000"/>
          <w:sz w:val="24"/>
          <w:szCs w:val="24"/>
        </w:rPr>
        <w:t>clarify a</w:t>
      </w:r>
      <w:r w:rsidRPr="00395738">
        <w:rPr>
          <w:rFonts w:cs="Times New Roman"/>
          <w:color w:val="000000"/>
          <w:sz w:val="24"/>
          <w:szCs w:val="24"/>
        </w:rPr>
        <w:t>t this point that w</w:t>
      </w:r>
      <w:r w:rsidR="008B68F0" w:rsidRPr="00395738">
        <w:rPr>
          <w:rFonts w:cs="Times New Roman"/>
          <w:color w:val="000000"/>
          <w:sz w:val="24"/>
          <w:szCs w:val="24"/>
        </w:rPr>
        <w:t xml:space="preserve">hile credit data and credit-related </w:t>
      </w:r>
      <w:r w:rsidR="005B60E8" w:rsidRPr="00395738">
        <w:rPr>
          <w:rFonts w:cs="Times New Roman"/>
          <w:color w:val="000000"/>
          <w:sz w:val="24"/>
          <w:szCs w:val="24"/>
        </w:rPr>
        <w:t>data</w:t>
      </w:r>
      <w:r w:rsidR="007C55D1" w:rsidRPr="00395738">
        <w:rPr>
          <w:rFonts w:cs="Times New Roman"/>
          <w:color w:val="000000"/>
          <w:sz w:val="24"/>
          <w:szCs w:val="24"/>
        </w:rPr>
        <w:t xml:space="preserve"> are </w:t>
      </w:r>
      <w:r w:rsidR="008B68F0" w:rsidRPr="00395738">
        <w:rPr>
          <w:rFonts w:cs="Times New Roman"/>
          <w:color w:val="000000"/>
          <w:sz w:val="24"/>
          <w:szCs w:val="24"/>
        </w:rPr>
        <w:t xml:space="preserve">essential for financial </w:t>
      </w:r>
      <w:r w:rsidR="004A4C72" w:rsidRPr="00395738">
        <w:rPr>
          <w:rFonts w:cs="Times New Roman"/>
          <w:color w:val="000000"/>
          <w:sz w:val="24"/>
          <w:szCs w:val="24"/>
        </w:rPr>
        <w:t xml:space="preserve">sector </w:t>
      </w:r>
      <w:r w:rsidR="003A2D61" w:rsidRPr="00395738">
        <w:rPr>
          <w:rFonts w:cs="Times New Roman"/>
          <w:color w:val="000000"/>
          <w:sz w:val="24"/>
          <w:szCs w:val="24"/>
        </w:rPr>
        <w:t>regulators/</w:t>
      </w:r>
      <w:r w:rsidR="008B68F0" w:rsidRPr="00395738">
        <w:rPr>
          <w:rFonts w:cs="Times New Roman"/>
          <w:color w:val="000000"/>
          <w:sz w:val="24"/>
          <w:szCs w:val="24"/>
        </w:rPr>
        <w:t xml:space="preserve">supervisors, </w:t>
      </w:r>
      <w:r w:rsidR="007C55D1" w:rsidRPr="00395738">
        <w:rPr>
          <w:rFonts w:cs="Times New Roman"/>
          <w:color w:val="000000"/>
          <w:sz w:val="24"/>
          <w:szCs w:val="24"/>
        </w:rPr>
        <w:t>they are</w:t>
      </w:r>
      <w:r w:rsidR="005B60E8" w:rsidRPr="00395738">
        <w:rPr>
          <w:rFonts w:cs="Times New Roman"/>
          <w:color w:val="000000"/>
          <w:sz w:val="24"/>
          <w:szCs w:val="24"/>
        </w:rPr>
        <w:t xml:space="preserve"> </w:t>
      </w:r>
      <w:r w:rsidR="008B68F0" w:rsidRPr="00395738">
        <w:rPr>
          <w:rFonts w:cs="Times New Roman"/>
          <w:color w:val="000000"/>
          <w:sz w:val="24"/>
          <w:szCs w:val="24"/>
        </w:rPr>
        <w:t xml:space="preserve">not the only type of data they use. </w:t>
      </w:r>
      <w:r w:rsidR="008B68F0" w:rsidRPr="00395738">
        <w:rPr>
          <w:rFonts w:cs="Times New Roman"/>
          <w:sz w:val="24"/>
          <w:szCs w:val="24"/>
        </w:rPr>
        <w:t>I</w:t>
      </w:r>
      <w:r w:rsidR="00953E84" w:rsidRPr="00395738">
        <w:rPr>
          <w:rFonts w:cs="Times New Roman"/>
          <w:sz w:val="24"/>
          <w:szCs w:val="24"/>
        </w:rPr>
        <w:t xml:space="preserve">n </w:t>
      </w:r>
      <w:r w:rsidR="00F30B04" w:rsidRPr="00395738">
        <w:rPr>
          <w:rFonts w:cs="Times New Roman"/>
          <w:sz w:val="24"/>
          <w:szCs w:val="24"/>
        </w:rPr>
        <w:t xml:space="preserve">the Eurozone, for example, a number of </w:t>
      </w:r>
      <w:r w:rsidR="007C55D1" w:rsidRPr="00395738">
        <w:rPr>
          <w:rFonts w:cs="Times New Roman"/>
          <w:sz w:val="24"/>
          <w:szCs w:val="24"/>
        </w:rPr>
        <w:t xml:space="preserve">data </w:t>
      </w:r>
      <w:r w:rsidR="00F30B04" w:rsidRPr="00395738">
        <w:rPr>
          <w:rFonts w:cs="Times New Roman"/>
          <w:sz w:val="24"/>
          <w:szCs w:val="24"/>
        </w:rPr>
        <w:t xml:space="preserve">modules have been defined within the supervisory reporting framework. One of the key modules is indeed a granular credit data module, </w:t>
      </w:r>
      <w:r w:rsidR="00E57DD6" w:rsidRPr="00395738">
        <w:rPr>
          <w:rFonts w:cs="Times New Roman"/>
          <w:sz w:val="24"/>
          <w:szCs w:val="24"/>
        </w:rPr>
        <w:t>a</w:t>
      </w:r>
      <w:r w:rsidR="00F30B04" w:rsidRPr="00395738">
        <w:rPr>
          <w:rFonts w:cs="Times New Roman"/>
          <w:sz w:val="24"/>
          <w:szCs w:val="24"/>
        </w:rPr>
        <w:t xml:space="preserve">s an essential component to be used for supervisory analyses as well as a planning </w:t>
      </w:r>
      <w:r w:rsidR="005153DB" w:rsidRPr="00395738">
        <w:rPr>
          <w:rFonts w:cs="Times New Roman"/>
          <w:sz w:val="24"/>
          <w:szCs w:val="24"/>
        </w:rPr>
        <w:t>tool</w:t>
      </w:r>
      <w:r w:rsidR="00F30B04" w:rsidRPr="00395738">
        <w:rPr>
          <w:rFonts w:cs="Times New Roman"/>
          <w:sz w:val="24"/>
          <w:szCs w:val="24"/>
        </w:rPr>
        <w:t xml:space="preserve"> to inform supervisory activity.</w:t>
      </w:r>
      <w:r w:rsidR="00C925FC" w:rsidRPr="00395738">
        <w:rPr>
          <w:rStyle w:val="FootnoteReference"/>
          <w:rFonts w:cs="Times New Roman"/>
          <w:color w:val="000000"/>
          <w:sz w:val="24"/>
          <w:szCs w:val="24"/>
        </w:rPr>
        <w:footnoteReference w:id="24"/>
      </w:r>
      <w:r w:rsidR="00F30B04" w:rsidRPr="00395738">
        <w:rPr>
          <w:rFonts w:cs="Times New Roman"/>
          <w:sz w:val="24"/>
          <w:szCs w:val="24"/>
        </w:rPr>
        <w:t xml:space="preserve"> </w:t>
      </w:r>
      <w:r w:rsidR="00E57DD6" w:rsidRPr="00395738">
        <w:rPr>
          <w:rFonts w:cs="Times New Roman"/>
          <w:sz w:val="24"/>
          <w:szCs w:val="24"/>
        </w:rPr>
        <w:t>A</w:t>
      </w:r>
      <w:r w:rsidR="000F323D" w:rsidRPr="00395738">
        <w:rPr>
          <w:rFonts w:cs="Times New Roman"/>
          <w:sz w:val="24"/>
          <w:szCs w:val="24"/>
        </w:rPr>
        <w:t xml:space="preserve"> number of o</w:t>
      </w:r>
      <w:r w:rsidR="00B92AFB" w:rsidRPr="00395738">
        <w:rPr>
          <w:rFonts w:cs="Times New Roman"/>
          <w:sz w:val="24"/>
          <w:szCs w:val="24"/>
        </w:rPr>
        <w:t xml:space="preserve">ther modules </w:t>
      </w:r>
      <w:r w:rsidR="000F323D" w:rsidRPr="00395738">
        <w:rPr>
          <w:rFonts w:cs="Times New Roman"/>
          <w:sz w:val="24"/>
          <w:szCs w:val="24"/>
        </w:rPr>
        <w:t xml:space="preserve">have also been </w:t>
      </w:r>
      <w:r w:rsidR="00B92AFB" w:rsidRPr="00395738">
        <w:rPr>
          <w:rFonts w:cs="Times New Roman"/>
          <w:sz w:val="24"/>
          <w:szCs w:val="24"/>
        </w:rPr>
        <w:t xml:space="preserve">defined in the </w:t>
      </w:r>
      <w:r w:rsidR="00E57DD6" w:rsidRPr="00395738">
        <w:rPr>
          <w:rFonts w:cs="Times New Roman"/>
          <w:sz w:val="24"/>
          <w:szCs w:val="24"/>
        </w:rPr>
        <w:t xml:space="preserve">supervisory reporting </w:t>
      </w:r>
      <w:r w:rsidR="00B92AFB" w:rsidRPr="00395738">
        <w:rPr>
          <w:rFonts w:cs="Times New Roman"/>
          <w:sz w:val="24"/>
          <w:szCs w:val="24"/>
        </w:rPr>
        <w:t>framework</w:t>
      </w:r>
      <w:r w:rsidR="00E57DD6" w:rsidRPr="00395738">
        <w:rPr>
          <w:rFonts w:cs="Times New Roman"/>
          <w:sz w:val="24"/>
          <w:szCs w:val="24"/>
        </w:rPr>
        <w:t>, however</w:t>
      </w:r>
      <w:r w:rsidR="000F323D" w:rsidRPr="00395738">
        <w:rPr>
          <w:rFonts w:cs="Times New Roman"/>
          <w:sz w:val="24"/>
          <w:szCs w:val="24"/>
        </w:rPr>
        <w:t xml:space="preserve">. These other modules </w:t>
      </w:r>
      <w:r w:rsidR="00B92AFB" w:rsidRPr="00395738">
        <w:rPr>
          <w:rFonts w:cs="Times New Roman"/>
          <w:sz w:val="24"/>
          <w:szCs w:val="24"/>
        </w:rPr>
        <w:t>are</w:t>
      </w:r>
      <w:r w:rsidR="00F30B04" w:rsidRPr="00395738">
        <w:rPr>
          <w:rFonts w:cs="Times New Roman"/>
          <w:sz w:val="24"/>
          <w:szCs w:val="24"/>
        </w:rPr>
        <w:t>:</w:t>
      </w:r>
    </w:p>
    <w:p w14:paraId="1C3A2687" w14:textId="2156256A" w:rsidR="00B8704A" w:rsidRPr="00395738" w:rsidRDefault="004D3539" w:rsidP="007838FA">
      <w:pPr>
        <w:pStyle w:val="ListParagraph"/>
        <w:numPr>
          <w:ilvl w:val="0"/>
          <w:numId w:val="10"/>
        </w:numPr>
        <w:autoSpaceDE w:val="0"/>
        <w:autoSpaceDN w:val="0"/>
        <w:adjustRightInd w:val="0"/>
        <w:spacing w:after="0" w:line="360" w:lineRule="auto"/>
        <w:contextualSpacing w:val="0"/>
        <w:jc w:val="both"/>
        <w:rPr>
          <w:rFonts w:cs="Times New Roman"/>
          <w:sz w:val="24"/>
          <w:szCs w:val="24"/>
        </w:rPr>
      </w:pPr>
      <w:r w:rsidRPr="00395738">
        <w:rPr>
          <w:rFonts w:cs="Times New Roman"/>
          <w:sz w:val="24"/>
          <w:szCs w:val="24"/>
        </w:rPr>
        <w:t>The core supervisory data</w:t>
      </w:r>
      <w:r w:rsidR="00B8704A" w:rsidRPr="00395738">
        <w:rPr>
          <w:rFonts w:cs="Times New Roman"/>
          <w:sz w:val="24"/>
          <w:szCs w:val="24"/>
        </w:rPr>
        <w:t xml:space="preserve"> </w:t>
      </w:r>
      <w:r w:rsidRPr="00395738">
        <w:rPr>
          <w:rFonts w:cs="Times New Roman"/>
          <w:sz w:val="24"/>
          <w:szCs w:val="24"/>
        </w:rPr>
        <w:t>module, essentially based on the European Banking Authority’s common reporting and financial</w:t>
      </w:r>
      <w:r w:rsidR="00B8704A" w:rsidRPr="00395738">
        <w:rPr>
          <w:rFonts w:cs="Times New Roman"/>
          <w:sz w:val="24"/>
          <w:szCs w:val="24"/>
        </w:rPr>
        <w:t xml:space="preserve"> </w:t>
      </w:r>
      <w:r w:rsidRPr="00395738">
        <w:rPr>
          <w:rFonts w:cs="Times New Roman"/>
          <w:sz w:val="24"/>
          <w:szCs w:val="24"/>
        </w:rPr>
        <w:t>reporting templates,</w:t>
      </w:r>
      <w:r w:rsidR="008C6C26" w:rsidRPr="00395738">
        <w:rPr>
          <w:rStyle w:val="FootnoteReference"/>
          <w:rFonts w:cs="Times New Roman"/>
          <w:sz w:val="24"/>
          <w:szCs w:val="24"/>
        </w:rPr>
        <w:footnoteReference w:id="25"/>
      </w:r>
      <w:r w:rsidRPr="00395738">
        <w:rPr>
          <w:rFonts w:cs="Times New Roman"/>
          <w:sz w:val="24"/>
          <w:szCs w:val="24"/>
        </w:rPr>
        <w:t xml:space="preserve"> </w:t>
      </w:r>
      <w:r w:rsidR="00F30B04" w:rsidRPr="00395738">
        <w:rPr>
          <w:rFonts w:cs="Times New Roman"/>
          <w:sz w:val="24"/>
          <w:szCs w:val="24"/>
        </w:rPr>
        <w:t xml:space="preserve">to </w:t>
      </w:r>
      <w:r w:rsidRPr="00395738">
        <w:rPr>
          <w:rFonts w:cs="Times New Roman"/>
          <w:sz w:val="24"/>
          <w:szCs w:val="24"/>
        </w:rPr>
        <w:t>provide standardi</w:t>
      </w:r>
      <w:r w:rsidR="00B8704A" w:rsidRPr="00395738">
        <w:rPr>
          <w:rFonts w:cs="Times New Roman"/>
          <w:sz w:val="24"/>
          <w:szCs w:val="24"/>
        </w:rPr>
        <w:t>ze</w:t>
      </w:r>
      <w:r w:rsidRPr="00395738">
        <w:rPr>
          <w:rFonts w:cs="Times New Roman"/>
          <w:sz w:val="24"/>
          <w:szCs w:val="24"/>
        </w:rPr>
        <w:t>d information on solvency measures, as well as</w:t>
      </w:r>
      <w:r w:rsidR="00B8704A" w:rsidRPr="00395738">
        <w:rPr>
          <w:rFonts w:cs="Times New Roman"/>
          <w:sz w:val="24"/>
          <w:szCs w:val="24"/>
        </w:rPr>
        <w:t xml:space="preserve"> </w:t>
      </w:r>
      <w:r w:rsidRPr="00395738">
        <w:rPr>
          <w:rFonts w:cs="Times New Roman"/>
          <w:sz w:val="24"/>
          <w:szCs w:val="24"/>
        </w:rPr>
        <w:t>financial informati</w:t>
      </w:r>
      <w:r w:rsidR="000F323D" w:rsidRPr="00395738">
        <w:rPr>
          <w:rFonts w:cs="Times New Roman"/>
          <w:sz w:val="24"/>
          <w:szCs w:val="24"/>
        </w:rPr>
        <w:t>on on banks and banking groups</w:t>
      </w:r>
      <w:r w:rsidR="006C08C0" w:rsidRPr="00395738">
        <w:rPr>
          <w:rFonts w:cs="Times New Roman"/>
          <w:sz w:val="24"/>
          <w:szCs w:val="24"/>
        </w:rPr>
        <w:t xml:space="preserve"> and large exposures</w:t>
      </w:r>
    </w:p>
    <w:p w14:paraId="7DE4C2BC" w14:textId="0CFC5549" w:rsidR="008B68F0" w:rsidRPr="00395738" w:rsidRDefault="004D3539" w:rsidP="007838FA">
      <w:pPr>
        <w:pStyle w:val="ListParagraph"/>
        <w:numPr>
          <w:ilvl w:val="0"/>
          <w:numId w:val="10"/>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The statistical data module</w:t>
      </w:r>
      <w:r w:rsidR="00F30B04" w:rsidRPr="00395738">
        <w:rPr>
          <w:rFonts w:cs="Times New Roman"/>
          <w:color w:val="000000"/>
          <w:sz w:val="24"/>
          <w:szCs w:val="24"/>
        </w:rPr>
        <w:t>, which</w:t>
      </w:r>
      <w:r w:rsidRPr="00395738">
        <w:rPr>
          <w:rFonts w:cs="Times New Roman"/>
          <w:color w:val="000000"/>
          <w:sz w:val="24"/>
          <w:szCs w:val="24"/>
        </w:rPr>
        <w:t xml:space="preserve"> relies on monetary</w:t>
      </w:r>
      <w:r w:rsidR="00B8704A" w:rsidRPr="00395738">
        <w:rPr>
          <w:rFonts w:cs="Times New Roman"/>
          <w:color w:val="000000"/>
          <w:sz w:val="24"/>
          <w:szCs w:val="24"/>
        </w:rPr>
        <w:t xml:space="preserve"> </w:t>
      </w:r>
      <w:r w:rsidRPr="00395738">
        <w:rPr>
          <w:rFonts w:cs="Times New Roman"/>
          <w:color w:val="000000"/>
          <w:sz w:val="24"/>
          <w:szCs w:val="24"/>
        </w:rPr>
        <w:t>financial institution (MFI) statistics as a complement to supervisory information.</w:t>
      </w:r>
      <w:r w:rsidR="00F30B04" w:rsidRPr="00395738">
        <w:rPr>
          <w:rStyle w:val="FootnoteReference"/>
          <w:rFonts w:cs="Times New Roman"/>
          <w:color w:val="000000"/>
          <w:sz w:val="24"/>
          <w:szCs w:val="24"/>
        </w:rPr>
        <w:footnoteReference w:id="26"/>
      </w:r>
      <w:r w:rsidRPr="00395738">
        <w:rPr>
          <w:rFonts w:cs="Times New Roman"/>
          <w:color w:val="000000"/>
          <w:sz w:val="24"/>
          <w:szCs w:val="24"/>
        </w:rPr>
        <w:t xml:space="preserve"> These </w:t>
      </w:r>
      <w:r w:rsidR="00F30B04" w:rsidRPr="00395738">
        <w:rPr>
          <w:rFonts w:cs="Times New Roman"/>
          <w:color w:val="000000"/>
          <w:sz w:val="24"/>
          <w:szCs w:val="24"/>
        </w:rPr>
        <w:t xml:space="preserve">MFI </w:t>
      </w:r>
      <w:r w:rsidRPr="00395738">
        <w:rPr>
          <w:rFonts w:cs="Times New Roman"/>
          <w:color w:val="000000"/>
          <w:sz w:val="24"/>
          <w:szCs w:val="24"/>
        </w:rPr>
        <w:t>data</w:t>
      </w:r>
      <w:r w:rsidR="00B8704A" w:rsidRPr="00395738">
        <w:rPr>
          <w:rFonts w:cs="Times New Roman"/>
          <w:color w:val="000000"/>
          <w:sz w:val="24"/>
          <w:szCs w:val="24"/>
        </w:rPr>
        <w:t xml:space="preserve"> </w:t>
      </w:r>
      <w:r w:rsidRPr="00395738">
        <w:rPr>
          <w:rFonts w:cs="Times New Roman"/>
          <w:color w:val="000000"/>
          <w:sz w:val="24"/>
          <w:szCs w:val="24"/>
        </w:rPr>
        <w:t>provide important information on the assets</w:t>
      </w:r>
      <w:r w:rsidR="000F323D" w:rsidRPr="00395738">
        <w:rPr>
          <w:rFonts w:cs="Times New Roman"/>
          <w:color w:val="000000"/>
          <w:sz w:val="24"/>
          <w:szCs w:val="24"/>
        </w:rPr>
        <w:t xml:space="preserve"> and funding structures of MFIs</w:t>
      </w:r>
    </w:p>
    <w:p w14:paraId="4C0FA141" w14:textId="47608751" w:rsidR="008B68F0" w:rsidRPr="00395738" w:rsidRDefault="008B68F0" w:rsidP="007838FA">
      <w:pPr>
        <w:pStyle w:val="ListParagraph"/>
        <w:numPr>
          <w:ilvl w:val="0"/>
          <w:numId w:val="10"/>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A</w:t>
      </w:r>
      <w:r w:rsidR="004D3539" w:rsidRPr="00395738">
        <w:rPr>
          <w:rFonts w:cs="Times New Roman"/>
          <w:color w:val="000000"/>
          <w:sz w:val="24"/>
          <w:szCs w:val="24"/>
        </w:rPr>
        <w:t>d hoc data collections</w:t>
      </w:r>
      <w:r w:rsidR="00F30B04" w:rsidRPr="00395738">
        <w:rPr>
          <w:rStyle w:val="FootnoteReference"/>
          <w:rFonts w:cs="Times New Roman"/>
          <w:color w:val="000000"/>
          <w:sz w:val="24"/>
          <w:szCs w:val="24"/>
        </w:rPr>
        <w:footnoteReference w:id="27"/>
      </w:r>
    </w:p>
    <w:p w14:paraId="0EAA174E" w14:textId="5D34184C" w:rsidR="008B68F0" w:rsidRPr="00395738" w:rsidRDefault="008B68F0" w:rsidP="007838FA">
      <w:pPr>
        <w:pStyle w:val="ListParagraph"/>
        <w:numPr>
          <w:ilvl w:val="0"/>
          <w:numId w:val="10"/>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N</w:t>
      </w:r>
      <w:r w:rsidR="004D3539" w:rsidRPr="00395738">
        <w:rPr>
          <w:rFonts w:cs="Times New Roman"/>
          <w:color w:val="000000"/>
          <w:sz w:val="24"/>
          <w:szCs w:val="24"/>
        </w:rPr>
        <w:t>ational data requirements,</w:t>
      </w:r>
      <w:r w:rsidR="00B8704A" w:rsidRPr="00395738">
        <w:rPr>
          <w:rFonts w:cs="Times New Roman"/>
          <w:color w:val="000000"/>
          <w:sz w:val="24"/>
          <w:szCs w:val="24"/>
        </w:rPr>
        <w:t xml:space="preserve"> </w:t>
      </w:r>
      <w:r w:rsidR="004D3539" w:rsidRPr="00395738">
        <w:rPr>
          <w:rFonts w:cs="Times New Roman"/>
          <w:color w:val="000000"/>
          <w:sz w:val="24"/>
          <w:szCs w:val="24"/>
        </w:rPr>
        <w:t>to inform national-specific reporting</w:t>
      </w:r>
    </w:p>
    <w:p w14:paraId="2E4CB2E6" w14:textId="77777777" w:rsidR="004D3539" w:rsidRPr="00395738" w:rsidRDefault="008B68F0" w:rsidP="00DF2AE8">
      <w:pPr>
        <w:pStyle w:val="ListParagraph"/>
        <w:numPr>
          <w:ilvl w:val="0"/>
          <w:numId w:val="10"/>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D</w:t>
      </w:r>
      <w:r w:rsidR="004D3539" w:rsidRPr="00395738">
        <w:rPr>
          <w:rFonts w:cs="Times New Roman"/>
          <w:color w:val="000000"/>
          <w:sz w:val="24"/>
          <w:szCs w:val="24"/>
        </w:rPr>
        <w:t>ata required for public</w:t>
      </w:r>
      <w:r w:rsidR="00B8704A" w:rsidRPr="00395738">
        <w:rPr>
          <w:rFonts w:cs="Times New Roman"/>
          <w:color w:val="000000"/>
          <w:sz w:val="24"/>
          <w:szCs w:val="24"/>
        </w:rPr>
        <w:t xml:space="preserve"> </w:t>
      </w:r>
      <w:r w:rsidR="004D3539" w:rsidRPr="00395738">
        <w:rPr>
          <w:rFonts w:cs="Times New Roman"/>
          <w:color w:val="000000"/>
          <w:sz w:val="24"/>
          <w:szCs w:val="24"/>
        </w:rPr>
        <w:t>disclosure.</w:t>
      </w:r>
    </w:p>
    <w:p w14:paraId="4891558C" w14:textId="29845980" w:rsidR="007838FA" w:rsidRPr="00395738" w:rsidRDefault="007838FA">
      <w:pPr>
        <w:rPr>
          <w:rFonts w:cs="Times New Roman"/>
          <w:color w:val="000000"/>
          <w:sz w:val="24"/>
          <w:szCs w:val="24"/>
        </w:rPr>
      </w:pPr>
      <w:r w:rsidRPr="00395738">
        <w:rPr>
          <w:rFonts w:cs="Times New Roman"/>
          <w:color w:val="000000"/>
          <w:sz w:val="24"/>
          <w:szCs w:val="24"/>
        </w:rPr>
        <w:br w:type="page"/>
      </w:r>
    </w:p>
    <w:p w14:paraId="486A2992" w14:textId="40C58474" w:rsidR="002A7924" w:rsidRPr="00395738" w:rsidRDefault="006F6E8D" w:rsidP="00942E73">
      <w:pPr>
        <w:pStyle w:val="Heading1"/>
        <w:numPr>
          <w:ilvl w:val="0"/>
          <w:numId w:val="2"/>
        </w:numPr>
        <w:spacing w:after="480"/>
      </w:pPr>
      <w:bookmarkStart w:id="4" w:name="_Toc427686024"/>
      <w:r w:rsidRPr="00395738">
        <w:lastRenderedPageBreak/>
        <w:t>D</w:t>
      </w:r>
      <w:r w:rsidR="00242501" w:rsidRPr="00395738">
        <w:t>ata needs of micro-prudential financial supervisors</w:t>
      </w:r>
      <w:r w:rsidRPr="00395738">
        <w:t xml:space="preserve"> </w:t>
      </w:r>
      <w:r w:rsidR="00561687" w:rsidRPr="00395738">
        <w:t xml:space="preserve">for </w:t>
      </w:r>
      <w:r w:rsidR="00EB370E" w:rsidRPr="00395738">
        <w:t xml:space="preserve">assessing </w:t>
      </w:r>
      <w:r w:rsidR="00561687" w:rsidRPr="00395738">
        <w:t xml:space="preserve">the </w:t>
      </w:r>
      <w:r w:rsidR="00EB370E" w:rsidRPr="00395738">
        <w:t>lending activity</w:t>
      </w:r>
      <w:r w:rsidR="00561687" w:rsidRPr="00395738">
        <w:t xml:space="preserve"> of regulated entities</w:t>
      </w:r>
      <w:r w:rsidR="00242501" w:rsidRPr="00395738">
        <w:t>: The role of credit reporting service providers</w:t>
      </w:r>
      <w:bookmarkEnd w:id="4"/>
      <w:r w:rsidR="00242501" w:rsidRPr="00395738">
        <w:t xml:space="preserve"> </w:t>
      </w:r>
    </w:p>
    <w:p w14:paraId="2BC9A56D" w14:textId="77777777" w:rsidR="006609DD" w:rsidRPr="00395738" w:rsidRDefault="007B68F4" w:rsidP="006609DD">
      <w:pPr>
        <w:pStyle w:val="Subtitle"/>
        <w:spacing w:before="480" w:after="240"/>
        <w:rPr>
          <w:rFonts w:asciiTheme="minorHAnsi" w:hAnsiTheme="minorHAnsi"/>
        </w:rPr>
      </w:pPr>
      <w:r w:rsidRPr="00395738">
        <w:rPr>
          <w:rFonts w:asciiTheme="minorHAnsi" w:hAnsiTheme="minorHAnsi"/>
        </w:rPr>
        <w:t xml:space="preserve">III.1 </w:t>
      </w:r>
      <w:r w:rsidR="00242501" w:rsidRPr="00395738">
        <w:rPr>
          <w:rFonts w:asciiTheme="minorHAnsi" w:hAnsiTheme="minorHAnsi"/>
        </w:rPr>
        <w:t>Micro-prudential financial supervision</w:t>
      </w:r>
      <w:r w:rsidR="0023164F" w:rsidRPr="00395738">
        <w:rPr>
          <w:rFonts w:asciiTheme="minorHAnsi" w:hAnsiTheme="minorHAnsi"/>
        </w:rPr>
        <w:t xml:space="preserve">, </w:t>
      </w:r>
      <w:r w:rsidR="00242501" w:rsidRPr="00395738">
        <w:rPr>
          <w:rFonts w:asciiTheme="minorHAnsi" w:hAnsiTheme="minorHAnsi"/>
        </w:rPr>
        <w:t xml:space="preserve">its </w:t>
      </w:r>
      <w:r w:rsidR="0097386D" w:rsidRPr="00395738">
        <w:rPr>
          <w:rFonts w:asciiTheme="minorHAnsi" w:hAnsiTheme="minorHAnsi"/>
        </w:rPr>
        <w:t>evolution</w:t>
      </w:r>
      <w:r w:rsidR="0023164F" w:rsidRPr="00395738">
        <w:rPr>
          <w:rFonts w:asciiTheme="minorHAnsi" w:hAnsiTheme="minorHAnsi"/>
        </w:rPr>
        <w:t xml:space="preserve"> and changing data needs</w:t>
      </w:r>
    </w:p>
    <w:p w14:paraId="71DC02D6" w14:textId="422FFD56" w:rsidR="006F6E8D" w:rsidRPr="00395738" w:rsidRDefault="00323C9B" w:rsidP="00942E7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While i</w:t>
      </w:r>
      <w:r w:rsidR="00BF2AA7" w:rsidRPr="00395738">
        <w:rPr>
          <w:rFonts w:cs="Times New Roman"/>
          <w:color w:val="000000"/>
          <w:sz w:val="24"/>
          <w:szCs w:val="24"/>
        </w:rPr>
        <w:t>t is not the objective of this report to describe in detail micro-prudential financial supervision activities</w:t>
      </w:r>
      <w:r w:rsidRPr="00395738">
        <w:rPr>
          <w:rFonts w:cs="Times New Roman"/>
          <w:color w:val="000000"/>
          <w:sz w:val="24"/>
          <w:szCs w:val="24"/>
        </w:rPr>
        <w:t xml:space="preserve">, </w:t>
      </w:r>
      <w:r w:rsidR="00BF2AA7" w:rsidRPr="00395738">
        <w:rPr>
          <w:rFonts w:cs="Times New Roman"/>
          <w:color w:val="000000"/>
          <w:sz w:val="24"/>
          <w:szCs w:val="24"/>
        </w:rPr>
        <w:t>provid</w:t>
      </w:r>
      <w:r w:rsidRPr="00395738">
        <w:rPr>
          <w:rFonts w:cs="Times New Roman"/>
          <w:color w:val="000000"/>
          <w:sz w:val="24"/>
          <w:szCs w:val="24"/>
        </w:rPr>
        <w:t xml:space="preserve">ing </w:t>
      </w:r>
      <w:r w:rsidR="00BF2AA7" w:rsidRPr="00395738">
        <w:rPr>
          <w:rFonts w:cs="Times New Roman"/>
          <w:color w:val="000000"/>
          <w:sz w:val="24"/>
          <w:szCs w:val="24"/>
        </w:rPr>
        <w:t>an overview on the evolution of these activities</w:t>
      </w:r>
      <w:r w:rsidRPr="00395738">
        <w:rPr>
          <w:rFonts w:cs="Times New Roman"/>
          <w:color w:val="000000"/>
          <w:sz w:val="24"/>
          <w:szCs w:val="24"/>
        </w:rPr>
        <w:t xml:space="preserve"> is nevertheless deemed useful </w:t>
      </w:r>
      <w:r w:rsidR="00BF2AA7" w:rsidRPr="00395738">
        <w:rPr>
          <w:rFonts w:cs="Times New Roman"/>
          <w:color w:val="000000"/>
          <w:sz w:val="24"/>
          <w:szCs w:val="24"/>
        </w:rPr>
        <w:t xml:space="preserve">to understand how data needs of supervisors have evolved and how the credit reporting system has been fulfilling such needs. </w:t>
      </w:r>
      <w:r w:rsidR="006F6E8D" w:rsidRPr="00395738">
        <w:rPr>
          <w:rFonts w:cs="Times New Roman"/>
          <w:color w:val="000000"/>
          <w:sz w:val="24"/>
          <w:szCs w:val="24"/>
        </w:rPr>
        <w:t xml:space="preserve">Given </w:t>
      </w:r>
      <w:r w:rsidR="00647AFC" w:rsidRPr="00395738">
        <w:rPr>
          <w:rFonts w:cs="Times New Roman"/>
          <w:color w:val="000000"/>
          <w:sz w:val="24"/>
          <w:szCs w:val="24"/>
        </w:rPr>
        <w:t>th</w:t>
      </w:r>
      <w:r w:rsidR="006F6E8D" w:rsidRPr="00395738">
        <w:rPr>
          <w:rFonts w:cs="Times New Roman"/>
          <w:color w:val="000000"/>
          <w:sz w:val="24"/>
          <w:szCs w:val="24"/>
        </w:rPr>
        <w:t xml:space="preserve">e focus of this report on the usage of credit data by </w:t>
      </w:r>
      <w:r w:rsidR="00B9362E" w:rsidRPr="00395738">
        <w:rPr>
          <w:rFonts w:cs="Times New Roman"/>
          <w:color w:val="000000"/>
          <w:sz w:val="24"/>
          <w:szCs w:val="24"/>
        </w:rPr>
        <w:t xml:space="preserve">financial </w:t>
      </w:r>
      <w:r w:rsidR="006F6E8D" w:rsidRPr="00395738">
        <w:rPr>
          <w:rFonts w:cs="Times New Roman"/>
          <w:color w:val="000000"/>
          <w:sz w:val="24"/>
          <w:szCs w:val="24"/>
        </w:rPr>
        <w:t>supervisors</w:t>
      </w:r>
      <w:r w:rsidR="00B9362E" w:rsidRPr="00395738">
        <w:rPr>
          <w:rFonts w:cs="Times New Roman"/>
          <w:color w:val="000000"/>
          <w:sz w:val="24"/>
          <w:szCs w:val="24"/>
        </w:rPr>
        <w:t xml:space="preserve"> and regulators</w:t>
      </w:r>
      <w:r w:rsidR="006F6E8D" w:rsidRPr="00395738">
        <w:rPr>
          <w:rFonts w:cs="Times New Roman"/>
          <w:color w:val="000000"/>
          <w:sz w:val="24"/>
          <w:szCs w:val="24"/>
        </w:rPr>
        <w:t xml:space="preserve">, which relates mainly to the assessment of </w:t>
      </w:r>
      <w:r w:rsidR="00EB370E" w:rsidRPr="00395738">
        <w:rPr>
          <w:rFonts w:cs="Times New Roman"/>
          <w:color w:val="000000"/>
          <w:sz w:val="24"/>
          <w:szCs w:val="24"/>
        </w:rPr>
        <w:t>risks related to lending</w:t>
      </w:r>
      <w:r w:rsidR="006F6E8D" w:rsidRPr="00395738">
        <w:rPr>
          <w:rFonts w:cs="Times New Roman"/>
          <w:color w:val="000000"/>
          <w:sz w:val="24"/>
          <w:szCs w:val="24"/>
        </w:rPr>
        <w:t xml:space="preserve">, the discussion below focuses on </w:t>
      </w:r>
      <w:r w:rsidR="00FD1B9C" w:rsidRPr="00395738">
        <w:rPr>
          <w:rFonts w:cs="Times New Roman"/>
          <w:color w:val="000000"/>
          <w:sz w:val="24"/>
          <w:szCs w:val="24"/>
        </w:rPr>
        <w:t>“</w:t>
      </w:r>
      <w:r w:rsidR="006F6E8D" w:rsidRPr="00395738">
        <w:rPr>
          <w:rFonts w:cs="Times New Roman"/>
          <w:color w:val="000000"/>
          <w:sz w:val="24"/>
          <w:szCs w:val="24"/>
        </w:rPr>
        <w:t>banking supervision</w:t>
      </w:r>
      <w:r w:rsidR="00FD1B9C" w:rsidRPr="00395738">
        <w:rPr>
          <w:rFonts w:cs="Times New Roman"/>
          <w:color w:val="000000"/>
          <w:sz w:val="24"/>
          <w:szCs w:val="24"/>
        </w:rPr>
        <w:t>”</w:t>
      </w:r>
      <w:r w:rsidR="006F6E8D" w:rsidRPr="00395738">
        <w:rPr>
          <w:rFonts w:cs="Times New Roman"/>
          <w:color w:val="000000"/>
          <w:sz w:val="24"/>
          <w:szCs w:val="24"/>
        </w:rPr>
        <w:t xml:space="preserve">, </w:t>
      </w:r>
      <w:r w:rsidR="00FD1B9C" w:rsidRPr="00395738">
        <w:rPr>
          <w:rFonts w:cs="Times New Roman"/>
          <w:color w:val="000000"/>
          <w:sz w:val="24"/>
          <w:szCs w:val="24"/>
        </w:rPr>
        <w:t xml:space="preserve">which is </w:t>
      </w:r>
      <w:r w:rsidR="00A5691B" w:rsidRPr="00395738">
        <w:rPr>
          <w:rFonts w:cs="Times New Roman"/>
          <w:color w:val="000000"/>
          <w:sz w:val="24"/>
          <w:szCs w:val="24"/>
        </w:rPr>
        <w:t xml:space="preserve">to be </w:t>
      </w:r>
      <w:r w:rsidR="006F6E8D" w:rsidRPr="00395738">
        <w:rPr>
          <w:rFonts w:cs="Times New Roman"/>
          <w:color w:val="000000"/>
          <w:sz w:val="24"/>
          <w:szCs w:val="24"/>
        </w:rPr>
        <w:t xml:space="preserve">understood </w:t>
      </w:r>
      <w:r w:rsidR="00561687" w:rsidRPr="00395738">
        <w:rPr>
          <w:rFonts w:cs="Times New Roman"/>
          <w:color w:val="000000"/>
          <w:sz w:val="24"/>
          <w:szCs w:val="24"/>
        </w:rPr>
        <w:t xml:space="preserve">here </w:t>
      </w:r>
      <w:r w:rsidR="006F6E8D" w:rsidRPr="00395738">
        <w:rPr>
          <w:rFonts w:cs="Times New Roman"/>
          <w:color w:val="000000"/>
          <w:sz w:val="24"/>
          <w:szCs w:val="24"/>
        </w:rPr>
        <w:t>as the regulation and supervision of banks and other regulated financial institutions that lend money as their core business.</w:t>
      </w:r>
    </w:p>
    <w:p w14:paraId="2065CD72" w14:textId="2C3A3DCB" w:rsidR="00323C9B" w:rsidRPr="00395738" w:rsidRDefault="00323C9B" w:rsidP="00942E7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As mentioned earlier, the primary interest of micro-prudential banking supervision is on preserving the soundness and stability of individual banks and other </w:t>
      </w:r>
      <w:r w:rsidR="00B9362E" w:rsidRPr="00395738">
        <w:rPr>
          <w:rFonts w:cs="Times New Roman"/>
          <w:color w:val="000000"/>
          <w:sz w:val="24"/>
          <w:szCs w:val="24"/>
        </w:rPr>
        <w:t xml:space="preserve">regulated lending </w:t>
      </w:r>
      <w:r w:rsidRPr="00395738">
        <w:rPr>
          <w:rFonts w:cs="Times New Roman"/>
          <w:color w:val="000000"/>
          <w:sz w:val="24"/>
          <w:szCs w:val="24"/>
        </w:rPr>
        <w:t xml:space="preserve">institutions. Until a few years back, this had been the main or sole objective of financial supervisors, and is therefore often referred to as “traditional” financial supervision. </w:t>
      </w:r>
    </w:p>
    <w:p w14:paraId="7C875212" w14:textId="7D21B144" w:rsidR="00EC59C4" w:rsidRPr="00395738" w:rsidRDefault="0097386D" w:rsidP="00942E7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Up to the mid-1980s or </w:t>
      </w:r>
      <w:r w:rsidR="00EE6A2A" w:rsidRPr="00395738">
        <w:rPr>
          <w:rFonts w:cs="Times New Roman"/>
          <w:color w:val="000000"/>
          <w:sz w:val="24"/>
          <w:szCs w:val="24"/>
        </w:rPr>
        <w:t xml:space="preserve">even the </w:t>
      </w:r>
      <w:r w:rsidRPr="00395738">
        <w:rPr>
          <w:rFonts w:cs="Times New Roman"/>
          <w:color w:val="000000"/>
          <w:sz w:val="24"/>
          <w:szCs w:val="24"/>
        </w:rPr>
        <w:t>early 1990s, banking supervis</w:t>
      </w:r>
      <w:r w:rsidR="006F6E8D" w:rsidRPr="00395738">
        <w:rPr>
          <w:rFonts w:cs="Times New Roman"/>
          <w:color w:val="000000"/>
          <w:sz w:val="24"/>
          <w:szCs w:val="24"/>
        </w:rPr>
        <w:t xml:space="preserve">ory activities </w:t>
      </w:r>
      <w:r w:rsidR="00EE6A2A" w:rsidRPr="00395738">
        <w:rPr>
          <w:rFonts w:cs="Times New Roman"/>
          <w:color w:val="000000"/>
          <w:sz w:val="24"/>
          <w:szCs w:val="24"/>
        </w:rPr>
        <w:t xml:space="preserve">consisted mainly </w:t>
      </w:r>
      <w:r w:rsidR="006F6E8D" w:rsidRPr="00395738">
        <w:rPr>
          <w:rFonts w:cs="Times New Roman"/>
          <w:color w:val="000000"/>
          <w:sz w:val="24"/>
          <w:szCs w:val="24"/>
        </w:rPr>
        <w:t xml:space="preserve">on verifying compliance with relevant laws, regulations and other applicable rules, norms, instructions, etc. </w:t>
      </w:r>
      <w:r w:rsidR="007B6E0F" w:rsidRPr="00395738">
        <w:rPr>
          <w:rFonts w:cs="Times New Roman"/>
          <w:color w:val="000000"/>
          <w:sz w:val="24"/>
          <w:szCs w:val="24"/>
        </w:rPr>
        <w:t xml:space="preserve">Compliance was verified </w:t>
      </w:r>
      <w:r w:rsidR="00EB370E" w:rsidRPr="00395738">
        <w:rPr>
          <w:rFonts w:cs="Times New Roman"/>
          <w:color w:val="000000"/>
          <w:sz w:val="24"/>
          <w:szCs w:val="24"/>
        </w:rPr>
        <w:t>through certain off-site techniques,</w:t>
      </w:r>
      <w:r w:rsidR="002F5F16" w:rsidRPr="00395738">
        <w:rPr>
          <w:rStyle w:val="FootnoteReference"/>
          <w:rFonts w:cs="Times New Roman"/>
          <w:color w:val="000000"/>
          <w:sz w:val="24"/>
          <w:szCs w:val="24"/>
        </w:rPr>
        <w:footnoteReference w:id="28"/>
      </w:r>
      <w:r w:rsidR="00EB370E" w:rsidRPr="00395738">
        <w:rPr>
          <w:rFonts w:cs="Times New Roman"/>
          <w:color w:val="000000"/>
          <w:sz w:val="24"/>
          <w:szCs w:val="24"/>
        </w:rPr>
        <w:t xml:space="preserve"> and </w:t>
      </w:r>
      <w:r w:rsidR="007B6E0F" w:rsidRPr="00395738">
        <w:rPr>
          <w:rFonts w:cs="Times New Roman"/>
          <w:color w:val="000000"/>
          <w:sz w:val="24"/>
          <w:szCs w:val="24"/>
        </w:rPr>
        <w:t xml:space="preserve">through on-site inspections. </w:t>
      </w:r>
      <w:r w:rsidR="00EE6A2A" w:rsidRPr="00395738">
        <w:rPr>
          <w:rFonts w:cs="Times New Roman"/>
          <w:color w:val="000000"/>
          <w:sz w:val="24"/>
          <w:szCs w:val="24"/>
        </w:rPr>
        <w:t>Corrective measures</w:t>
      </w:r>
      <w:r w:rsidR="00953722" w:rsidRPr="00395738">
        <w:rPr>
          <w:rFonts w:cs="Times New Roman"/>
          <w:color w:val="000000"/>
          <w:sz w:val="24"/>
          <w:szCs w:val="24"/>
        </w:rPr>
        <w:t>, possibly including sanctions,</w:t>
      </w:r>
      <w:r w:rsidR="00EE6A2A" w:rsidRPr="00395738">
        <w:rPr>
          <w:rFonts w:cs="Times New Roman"/>
          <w:color w:val="000000"/>
          <w:sz w:val="24"/>
          <w:szCs w:val="24"/>
        </w:rPr>
        <w:t xml:space="preserve"> were applied </w:t>
      </w:r>
      <w:r w:rsidR="00323C9B" w:rsidRPr="00395738">
        <w:rPr>
          <w:rFonts w:cs="Times New Roman"/>
          <w:color w:val="000000"/>
          <w:sz w:val="24"/>
          <w:szCs w:val="24"/>
        </w:rPr>
        <w:t xml:space="preserve">if a violation on compliance was detected. </w:t>
      </w:r>
    </w:p>
    <w:p w14:paraId="6E647D90" w14:textId="159F0074" w:rsidR="00EB370E" w:rsidRPr="00395738" w:rsidRDefault="00EC59C4" w:rsidP="00942E7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As part of that supervision model, </w:t>
      </w:r>
      <w:r w:rsidR="00EB370E" w:rsidRPr="00395738">
        <w:rPr>
          <w:rFonts w:cs="Times New Roman"/>
          <w:color w:val="000000"/>
          <w:sz w:val="24"/>
          <w:szCs w:val="24"/>
        </w:rPr>
        <w:t xml:space="preserve">credit institutions </w:t>
      </w:r>
      <w:r w:rsidR="00105778" w:rsidRPr="00395738">
        <w:rPr>
          <w:rFonts w:cs="Times New Roman"/>
          <w:color w:val="000000"/>
          <w:sz w:val="24"/>
          <w:szCs w:val="24"/>
        </w:rPr>
        <w:t xml:space="preserve">in some countries </w:t>
      </w:r>
      <w:r w:rsidRPr="00395738">
        <w:rPr>
          <w:rFonts w:cs="Times New Roman"/>
          <w:color w:val="000000"/>
          <w:sz w:val="24"/>
          <w:szCs w:val="24"/>
        </w:rPr>
        <w:t xml:space="preserve">were </w:t>
      </w:r>
      <w:r w:rsidR="00323C9B" w:rsidRPr="00395738">
        <w:rPr>
          <w:rFonts w:cs="Times New Roman"/>
          <w:color w:val="000000"/>
          <w:sz w:val="24"/>
          <w:szCs w:val="24"/>
        </w:rPr>
        <w:t xml:space="preserve">already </w:t>
      </w:r>
      <w:r w:rsidRPr="00395738">
        <w:rPr>
          <w:rFonts w:cs="Times New Roman"/>
          <w:color w:val="000000"/>
          <w:sz w:val="24"/>
          <w:szCs w:val="24"/>
        </w:rPr>
        <w:t xml:space="preserve">required </w:t>
      </w:r>
      <w:r w:rsidR="00EB370E" w:rsidRPr="00395738">
        <w:rPr>
          <w:rFonts w:cs="Times New Roman"/>
          <w:color w:val="000000"/>
          <w:sz w:val="24"/>
          <w:szCs w:val="24"/>
        </w:rPr>
        <w:t>to report data on a periodic and systematic basis</w:t>
      </w:r>
      <w:r w:rsidRPr="00395738">
        <w:rPr>
          <w:rFonts w:cs="Times New Roman"/>
          <w:color w:val="000000"/>
          <w:sz w:val="24"/>
          <w:szCs w:val="24"/>
        </w:rPr>
        <w:t xml:space="preserve"> to </w:t>
      </w:r>
      <w:r w:rsidR="00953722" w:rsidRPr="00395738">
        <w:rPr>
          <w:rFonts w:cs="Times New Roman"/>
          <w:color w:val="000000"/>
          <w:sz w:val="24"/>
          <w:szCs w:val="24"/>
        </w:rPr>
        <w:t xml:space="preserve">financial </w:t>
      </w:r>
      <w:r w:rsidRPr="00395738">
        <w:rPr>
          <w:rFonts w:cs="Times New Roman"/>
          <w:color w:val="000000"/>
          <w:sz w:val="24"/>
          <w:szCs w:val="24"/>
        </w:rPr>
        <w:t xml:space="preserve">supervisors in order for the latter to </w:t>
      </w:r>
      <w:r w:rsidR="00EB370E" w:rsidRPr="00395738">
        <w:rPr>
          <w:rFonts w:cs="Times New Roman"/>
          <w:color w:val="000000"/>
          <w:sz w:val="24"/>
          <w:szCs w:val="24"/>
        </w:rPr>
        <w:t>perform the necessary off-site analyses, as well as to provide prep</w:t>
      </w:r>
      <w:r w:rsidR="00BF3E05" w:rsidRPr="00395738">
        <w:rPr>
          <w:rFonts w:cs="Times New Roman"/>
          <w:color w:val="000000"/>
          <w:sz w:val="24"/>
          <w:szCs w:val="24"/>
        </w:rPr>
        <w:t xml:space="preserve">aratory information </w:t>
      </w:r>
      <w:r w:rsidR="00B9362E" w:rsidRPr="00395738">
        <w:rPr>
          <w:rFonts w:cs="Times New Roman"/>
          <w:color w:val="000000"/>
          <w:sz w:val="24"/>
          <w:szCs w:val="24"/>
        </w:rPr>
        <w:t xml:space="preserve">to </w:t>
      </w:r>
      <w:r w:rsidR="00953722" w:rsidRPr="00395738">
        <w:rPr>
          <w:rFonts w:cs="Times New Roman"/>
          <w:color w:val="000000"/>
          <w:sz w:val="24"/>
          <w:szCs w:val="24"/>
        </w:rPr>
        <w:t xml:space="preserve">their </w:t>
      </w:r>
      <w:r w:rsidR="00EB370E" w:rsidRPr="00395738">
        <w:rPr>
          <w:rFonts w:cs="Times New Roman"/>
          <w:color w:val="000000"/>
          <w:sz w:val="24"/>
          <w:szCs w:val="24"/>
        </w:rPr>
        <w:t xml:space="preserve">on-site inspectors. </w:t>
      </w:r>
      <w:r w:rsidRPr="00395738">
        <w:rPr>
          <w:rFonts w:cs="Times New Roman"/>
          <w:color w:val="000000"/>
          <w:sz w:val="24"/>
          <w:szCs w:val="24"/>
        </w:rPr>
        <w:t>In this context, t</w:t>
      </w:r>
      <w:r w:rsidR="00EB370E" w:rsidRPr="00395738">
        <w:rPr>
          <w:rFonts w:cs="Times New Roman"/>
          <w:color w:val="000000"/>
          <w:sz w:val="24"/>
          <w:szCs w:val="24"/>
        </w:rPr>
        <w:t xml:space="preserve">he first </w:t>
      </w:r>
      <w:r w:rsidR="00953722" w:rsidRPr="00395738">
        <w:rPr>
          <w:rFonts w:cs="Times New Roman"/>
          <w:color w:val="000000"/>
          <w:sz w:val="24"/>
          <w:szCs w:val="24"/>
        </w:rPr>
        <w:t xml:space="preserve">CRs </w:t>
      </w:r>
      <w:r w:rsidR="00EB370E" w:rsidRPr="00395738">
        <w:rPr>
          <w:rFonts w:cs="Times New Roman"/>
          <w:color w:val="000000"/>
          <w:sz w:val="24"/>
          <w:szCs w:val="24"/>
        </w:rPr>
        <w:t xml:space="preserve">and other centralized </w:t>
      </w:r>
      <w:r w:rsidR="00EB370E" w:rsidRPr="00395738">
        <w:rPr>
          <w:rFonts w:cs="Times New Roman"/>
          <w:color w:val="000000"/>
          <w:sz w:val="24"/>
          <w:szCs w:val="24"/>
        </w:rPr>
        <w:lastRenderedPageBreak/>
        <w:t xml:space="preserve">credit databases operated by central banks and/or other financial supervisors were created in the late 1950s and early 1960s. </w:t>
      </w:r>
    </w:p>
    <w:p w14:paraId="2031F56D" w14:textId="0F8CDA8A" w:rsidR="0012577D" w:rsidRPr="00395738" w:rsidRDefault="00561687" w:rsidP="00942E7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This supervisory model could not keep up with the </w:t>
      </w:r>
      <w:r w:rsidR="00A5691B" w:rsidRPr="00395738">
        <w:rPr>
          <w:rFonts w:cs="Times New Roman"/>
          <w:color w:val="000000"/>
          <w:sz w:val="24"/>
          <w:szCs w:val="24"/>
        </w:rPr>
        <w:t xml:space="preserve">liberalization of financial markets that started mainly in the 1980s </w:t>
      </w:r>
      <w:r w:rsidR="00323C9B" w:rsidRPr="00395738">
        <w:rPr>
          <w:rFonts w:cs="Times New Roman"/>
          <w:color w:val="000000"/>
          <w:sz w:val="24"/>
          <w:szCs w:val="24"/>
        </w:rPr>
        <w:t xml:space="preserve">and </w:t>
      </w:r>
      <w:r w:rsidR="00A5691B" w:rsidRPr="00395738">
        <w:rPr>
          <w:rFonts w:cs="Times New Roman"/>
          <w:color w:val="000000"/>
          <w:sz w:val="24"/>
          <w:szCs w:val="24"/>
        </w:rPr>
        <w:t>which paved the way to their ever</w:t>
      </w:r>
      <w:r w:rsidR="00717463" w:rsidRPr="00395738">
        <w:rPr>
          <w:rFonts w:cs="Times New Roman"/>
          <w:color w:val="000000"/>
          <w:sz w:val="24"/>
          <w:szCs w:val="24"/>
        </w:rPr>
        <w:t>-</w:t>
      </w:r>
      <w:r w:rsidRPr="00395738">
        <w:rPr>
          <w:rFonts w:cs="Times New Roman"/>
          <w:color w:val="000000"/>
          <w:sz w:val="24"/>
          <w:szCs w:val="24"/>
        </w:rPr>
        <w:t>growing sophistication, including the development of increasingly complex financial instruments</w:t>
      </w:r>
      <w:r w:rsidR="00715048" w:rsidRPr="00395738">
        <w:rPr>
          <w:rFonts w:cs="Times New Roman"/>
          <w:color w:val="000000"/>
          <w:sz w:val="24"/>
          <w:szCs w:val="24"/>
        </w:rPr>
        <w:t xml:space="preserve"> and increasing integration of banks and other financial institutions and financial markets across national borders</w:t>
      </w:r>
      <w:r w:rsidRPr="00395738">
        <w:rPr>
          <w:rFonts w:cs="Times New Roman"/>
          <w:color w:val="000000"/>
          <w:sz w:val="24"/>
          <w:szCs w:val="24"/>
        </w:rPr>
        <w:t>. This situation was reflected for example in the evolution of the B</w:t>
      </w:r>
      <w:r w:rsidR="00647AFC" w:rsidRPr="00395738">
        <w:rPr>
          <w:rFonts w:cs="Times New Roman"/>
          <w:color w:val="000000"/>
          <w:sz w:val="24"/>
          <w:szCs w:val="24"/>
        </w:rPr>
        <w:t xml:space="preserve">asel </w:t>
      </w:r>
      <w:r w:rsidRPr="00395738">
        <w:rPr>
          <w:rFonts w:cs="Times New Roman"/>
          <w:color w:val="000000"/>
          <w:sz w:val="24"/>
          <w:szCs w:val="24"/>
        </w:rPr>
        <w:t>capital accords</w:t>
      </w:r>
      <w:r w:rsidR="00465CB4" w:rsidRPr="00395738">
        <w:rPr>
          <w:rFonts w:cs="Times New Roman"/>
          <w:color w:val="000000"/>
          <w:sz w:val="24"/>
          <w:szCs w:val="24"/>
        </w:rPr>
        <w:t xml:space="preserve"> (see Box </w:t>
      </w:r>
      <w:r w:rsidR="00615803" w:rsidRPr="00395738">
        <w:rPr>
          <w:rFonts w:cs="Times New Roman"/>
          <w:color w:val="000000"/>
          <w:sz w:val="24"/>
          <w:szCs w:val="24"/>
        </w:rPr>
        <w:t>4</w:t>
      </w:r>
      <w:r w:rsidR="00465CB4" w:rsidRPr="00395738">
        <w:rPr>
          <w:rFonts w:cs="Times New Roman"/>
          <w:color w:val="000000"/>
          <w:sz w:val="24"/>
          <w:szCs w:val="24"/>
        </w:rPr>
        <w:t>)</w:t>
      </w:r>
      <w:r w:rsidRPr="00395738">
        <w:rPr>
          <w:rFonts w:cs="Times New Roman"/>
          <w:color w:val="000000"/>
          <w:sz w:val="24"/>
          <w:szCs w:val="24"/>
        </w:rPr>
        <w:t xml:space="preserve">. </w:t>
      </w:r>
    </w:p>
    <w:p w14:paraId="37A110AB" w14:textId="6E599922" w:rsidR="00465CB4" w:rsidRPr="00395738" w:rsidRDefault="00465CB4" w:rsidP="00E02FB2">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240" w:line="360" w:lineRule="auto"/>
        <w:ind w:left="360"/>
        <w:jc w:val="center"/>
        <w:rPr>
          <w:rFonts w:cs="Times New Roman"/>
          <w:b/>
          <w:color w:val="000000"/>
          <w:sz w:val="28"/>
          <w:szCs w:val="28"/>
        </w:rPr>
      </w:pPr>
      <w:r w:rsidRPr="00395738">
        <w:rPr>
          <w:rFonts w:cs="Times New Roman"/>
          <w:b/>
          <w:color w:val="000000"/>
          <w:sz w:val="28"/>
          <w:szCs w:val="28"/>
        </w:rPr>
        <w:t xml:space="preserve">Box </w:t>
      </w:r>
      <w:r w:rsidR="00615803" w:rsidRPr="00395738">
        <w:rPr>
          <w:rFonts w:cs="Times New Roman"/>
          <w:b/>
          <w:color w:val="000000"/>
          <w:sz w:val="28"/>
          <w:szCs w:val="28"/>
        </w:rPr>
        <w:t>4</w:t>
      </w:r>
      <w:r w:rsidR="00CF454A" w:rsidRPr="00395738">
        <w:rPr>
          <w:rFonts w:cs="Times New Roman"/>
          <w:b/>
          <w:color w:val="000000"/>
          <w:sz w:val="28"/>
          <w:szCs w:val="28"/>
        </w:rPr>
        <w:t>: Evolution of the Basel C</w:t>
      </w:r>
      <w:r w:rsidRPr="00395738">
        <w:rPr>
          <w:rFonts w:cs="Times New Roman"/>
          <w:b/>
          <w:color w:val="000000"/>
          <w:sz w:val="28"/>
          <w:szCs w:val="28"/>
        </w:rPr>
        <w:t xml:space="preserve">apital </w:t>
      </w:r>
      <w:r w:rsidR="00CF454A" w:rsidRPr="00395738">
        <w:rPr>
          <w:rFonts w:cs="Times New Roman"/>
          <w:b/>
          <w:color w:val="000000"/>
          <w:sz w:val="28"/>
          <w:szCs w:val="28"/>
        </w:rPr>
        <w:t>A</w:t>
      </w:r>
      <w:r w:rsidRPr="00395738">
        <w:rPr>
          <w:rFonts w:cs="Times New Roman"/>
          <w:b/>
          <w:color w:val="000000"/>
          <w:sz w:val="28"/>
          <w:szCs w:val="28"/>
        </w:rPr>
        <w:t>ccords</w:t>
      </w:r>
    </w:p>
    <w:p w14:paraId="39094132" w14:textId="3BA24AA7" w:rsidR="0012577D" w:rsidRPr="00395738" w:rsidRDefault="00561687" w:rsidP="0012577D">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line="240" w:lineRule="auto"/>
        <w:ind w:left="360"/>
        <w:jc w:val="both"/>
        <w:rPr>
          <w:rFonts w:cs="Times New Roman"/>
        </w:rPr>
      </w:pPr>
      <w:r w:rsidRPr="00395738">
        <w:rPr>
          <w:rFonts w:cs="Times New Roman"/>
        </w:rPr>
        <w:t>The original Basel Accord</w:t>
      </w:r>
      <w:r w:rsidR="00465CB4" w:rsidRPr="00395738">
        <w:rPr>
          <w:rFonts w:cs="Times New Roman"/>
        </w:rPr>
        <w:t>,</w:t>
      </w:r>
      <w:r w:rsidRPr="00395738">
        <w:rPr>
          <w:rFonts w:cs="Times New Roman"/>
        </w:rPr>
        <w:t xml:space="preserve"> </w:t>
      </w:r>
      <w:r w:rsidR="00465CB4" w:rsidRPr="00395738">
        <w:rPr>
          <w:rFonts w:cs="Times New Roman"/>
        </w:rPr>
        <w:t>created in 19</w:t>
      </w:r>
      <w:r w:rsidR="00E02FB2" w:rsidRPr="00395738">
        <w:rPr>
          <w:rFonts w:cs="Times New Roman"/>
        </w:rPr>
        <w:t>88</w:t>
      </w:r>
      <w:r w:rsidR="00465CB4" w:rsidRPr="00395738">
        <w:rPr>
          <w:rFonts w:cs="Times New Roman"/>
        </w:rPr>
        <w:t xml:space="preserve">, </w:t>
      </w:r>
      <w:r w:rsidRPr="00395738">
        <w:rPr>
          <w:rFonts w:cs="Times New Roman"/>
        </w:rPr>
        <w:t xml:space="preserve">was </w:t>
      </w:r>
      <w:r w:rsidR="00465CB4" w:rsidRPr="00395738">
        <w:rPr>
          <w:rFonts w:cs="Times New Roman"/>
        </w:rPr>
        <w:t xml:space="preserve">originally intended as a tool </w:t>
      </w:r>
      <w:r w:rsidR="00465CB4" w:rsidRPr="00395738">
        <w:rPr>
          <w:rFonts w:cs="Segoe UI"/>
        </w:rPr>
        <w:t xml:space="preserve">to create an international level playing field with regard to the minimum amount of capital and its measurement for internationally active banks. </w:t>
      </w:r>
      <w:r w:rsidR="00E02FB2" w:rsidRPr="00395738">
        <w:rPr>
          <w:rFonts w:cs="Times New Roman"/>
        </w:rPr>
        <w:t xml:space="preserve">It was </w:t>
      </w:r>
      <w:r w:rsidR="0012577D" w:rsidRPr="00395738">
        <w:rPr>
          <w:rFonts w:cs="Times New Roman"/>
        </w:rPr>
        <w:t xml:space="preserve">nevertheless </w:t>
      </w:r>
      <w:r w:rsidR="00E02FB2" w:rsidRPr="00395738">
        <w:rPr>
          <w:rFonts w:cs="Times New Roman"/>
        </w:rPr>
        <w:t>regarded as the standard for capital measurement and capital requirements for banks</w:t>
      </w:r>
      <w:r w:rsidR="0012577D" w:rsidRPr="00395738">
        <w:rPr>
          <w:rFonts w:cs="Times New Roman"/>
        </w:rPr>
        <w:t xml:space="preserve">, including at the domestic level, </w:t>
      </w:r>
      <w:r w:rsidR="00E02FB2" w:rsidRPr="00395738">
        <w:rPr>
          <w:rFonts w:cs="Times New Roman"/>
        </w:rPr>
        <w:t xml:space="preserve">for </w:t>
      </w:r>
      <w:r w:rsidR="0012577D" w:rsidRPr="00395738">
        <w:rPr>
          <w:rFonts w:cs="Times New Roman"/>
        </w:rPr>
        <w:t>approximately</w:t>
      </w:r>
      <w:r w:rsidR="00E02FB2" w:rsidRPr="00395738">
        <w:rPr>
          <w:rFonts w:cs="Times New Roman"/>
        </w:rPr>
        <w:t xml:space="preserve"> </w:t>
      </w:r>
      <w:r w:rsidR="0012577D" w:rsidRPr="00395738">
        <w:rPr>
          <w:rFonts w:cs="Times New Roman"/>
        </w:rPr>
        <w:t>15</w:t>
      </w:r>
      <w:r w:rsidR="00E02FB2" w:rsidRPr="00395738">
        <w:rPr>
          <w:rFonts w:cs="Times New Roman"/>
        </w:rPr>
        <w:t xml:space="preserve"> years. </w:t>
      </w:r>
      <w:r w:rsidR="00BF3E05" w:rsidRPr="00395738">
        <w:rPr>
          <w:rFonts w:cs="Times New Roman"/>
        </w:rPr>
        <w:t>The original Basel Accord, often referred to simply as “</w:t>
      </w:r>
      <w:r w:rsidR="00465CB4" w:rsidRPr="00395738">
        <w:rPr>
          <w:rFonts w:cs="Segoe UI"/>
        </w:rPr>
        <w:t>Basel I</w:t>
      </w:r>
      <w:r w:rsidR="00BF3E05" w:rsidRPr="00395738">
        <w:rPr>
          <w:rFonts w:cs="Segoe UI"/>
        </w:rPr>
        <w:t>”</w:t>
      </w:r>
      <w:r w:rsidR="00465CB4" w:rsidRPr="00395738">
        <w:rPr>
          <w:rFonts w:cs="Segoe UI"/>
        </w:rPr>
        <w:t xml:space="preserve"> </w:t>
      </w:r>
      <w:r w:rsidR="00E02FB2" w:rsidRPr="00395738">
        <w:rPr>
          <w:rFonts w:cs="Segoe UI"/>
        </w:rPr>
        <w:t xml:space="preserve">contained relatively simple </w:t>
      </w:r>
      <w:r w:rsidRPr="00395738">
        <w:rPr>
          <w:rFonts w:cs="Times New Roman"/>
        </w:rPr>
        <w:t>and straightforward</w:t>
      </w:r>
      <w:r w:rsidR="00E02FB2" w:rsidRPr="00395738">
        <w:rPr>
          <w:rFonts w:cs="Times New Roman"/>
        </w:rPr>
        <w:t xml:space="preserve"> provisions</w:t>
      </w:r>
      <w:r w:rsidR="00465CB4" w:rsidRPr="00395738">
        <w:rPr>
          <w:rFonts w:cs="Times New Roman"/>
        </w:rPr>
        <w:t xml:space="preserve">. </w:t>
      </w:r>
      <w:r w:rsidR="00E02FB2" w:rsidRPr="00395738">
        <w:rPr>
          <w:rFonts w:cs="Times New Roman"/>
        </w:rPr>
        <w:t xml:space="preserve">The growing sophistication of banks, their lending activity and creation of complex financial instruments nevertheless started to strain this simple methodology. </w:t>
      </w:r>
    </w:p>
    <w:p w14:paraId="6BD2930F" w14:textId="77777777" w:rsidR="00DA6545" w:rsidRPr="00395738" w:rsidRDefault="00E02FB2" w:rsidP="00DA6545">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line="240" w:lineRule="auto"/>
        <w:ind w:left="360"/>
        <w:jc w:val="both"/>
        <w:rPr>
          <w:rFonts w:cs="Times New Roman"/>
        </w:rPr>
      </w:pPr>
      <w:r w:rsidRPr="00395738">
        <w:rPr>
          <w:rFonts w:cs="Times New Roman"/>
        </w:rPr>
        <w:t xml:space="preserve">Basel I was then </w:t>
      </w:r>
      <w:r w:rsidR="00465CB4" w:rsidRPr="00395738">
        <w:rPr>
          <w:rFonts w:cs="Times New Roman"/>
        </w:rPr>
        <w:t xml:space="preserve">replaced by </w:t>
      </w:r>
      <w:r w:rsidR="00561687" w:rsidRPr="00395738">
        <w:rPr>
          <w:rFonts w:cs="Times New Roman"/>
        </w:rPr>
        <w:t>Basel II</w:t>
      </w:r>
      <w:r w:rsidR="0012577D" w:rsidRPr="00395738">
        <w:rPr>
          <w:rFonts w:cs="Times New Roman"/>
        </w:rPr>
        <w:t xml:space="preserve"> in 2004</w:t>
      </w:r>
      <w:r w:rsidR="00465CB4" w:rsidRPr="00395738">
        <w:rPr>
          <w:rFonts w:cs="Times New Roman"/>
        </w:rPr>
        <w:t xml:space="preserve">, which was intended to deal with the growing sophistication by establishing a capital regulatory regime more aligned with a bank's underlying risk profile (i.e. moving </w:t>
      </w:r>
      <w:r w:rsidR="00561687" w:rsidRPr="00395738">
        <w:rPr>
          <w:rFonts w:cs="Times New Roman"/>
        </w:rPr>
        <w:t xml:space="preserve">from a "one size fits all" regime to differential approaches using </w:t>
      </w:r>
      <w:r w:rsidR="00BF3E05" w:rsidRPr="00395738">
        <w:rPr>
          <w:rFonts w:cs="Times New Roman"/>
        </w:rPr>
        <w:t xml:space="preserve">bank’s </w:t>
      </w:r>
      <w:r w:rsidR="00561687" w:rsidRPr="00395738">
        <w:rPr>
          <w:rFonts w:cs="Times New Roman"/>
        </w:rPr>
        <w:t>internal models</w:t>
      </w:r>
      <w:r w:rsidR="00BF3E05" w:rsidRPr="00395738">
        <w:rPr>
          <w:rFonts w:cs="Times New Roman"/>
        </w:rPr>
        <w:t xml:space="preserve"> to calculate a number of parameters that are then used as inputs in regulatory capital calculations</w:t>
      </w:r>
      <w:r w:rsidR="00465CB4" w:rsidRPr="00395738">
        <w:rPr>
          <w:rFonts w:cs="Times New Roman"/>
        </w:rPr>
        <w:t>)</w:t>
      </w:r>
      <w:r w:rsidR="00561687" w:rsidRPr="00395738">
        <w:rPr>
          <w:rFonts w:cs="Times New Roman"/>
        </w:rPr>
        <w:t xml:space="preserve">. This </w:t>
      </w:r>
      <w:r w:rsidR="00BF3E05" w:rsidRPr="00395738">
        <w:rPr>
          <w:rFonts w:cs="Times New Roman"/>
        </w:rPr>
        <w:t xml:space="preserve">aimed at making </w:t>
      </w:r>
      <w:r w:rsidR="00561687" w:rsidRPr="00395738">
        <w:rPr>
          <w:rFonts w:cs="Times New Roman"/>
        </w:rPr>
        <w:t xml:space="preserve">the regulatory regime better, but regulation was now no longer simple or completely uniform across banks. </w:t>
      </w:r>
    </w:p>
    <w:p w14:paraId="1015D7D1" w14:textId="69015430" w:rsidR="00647AFC" w:rsidRPr="00395738" w:rsidRDefault="00DA6545" w:rsidP="00DA6545">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line="240" w:lineRule="auto"/>
        <w:ind w:left="360"/>
        <w:jc w:val="both"/>
        <w:rPr>
          <w:rFonts w:cs="Times New Roman"/>
        </w:rPr>
      </w:pPr>
      <w:r w:rsidRPr="00395738">
        <w:rPr>
          <w:rFonts w:cs="Times New Roman"/>
        </w:rPr>
        <w:t>A</w:t>
      </w:r>
      <w:r w:rsidR="0012577D" w:rsidRPr="00395738">
        <w:rPr>
          <w:rFonts w:cs="Times New Roman"/>
          <w:color w:val="000000"/>
        </w:rPr>
        <w:t xml:space="preserve">t that time there was certainly a quite prevalent view that if banks were individually stable, the financial system would itself stay upright. This view was turned down by the 2007-08 </w:t>
      </w:r>
      <w:r w:rsidR="006415EA" w:rsidRPr="00395738">
        <w:rPr>
          <w:rFonts w:cs="Times New Roman"/>
          <w:color w:val="000000"/>
        </w:rPr>
        <w:t xml:space="preserve">global </w:t>
      </w:r>
      <w:r w:rsidR="0012577D" w:rsidRPr="00395738">
        <w:rPr>
          <w:rFonts w:cs="Times New Roman"/>
          <w:color w:val="000000"/>
        </w:rPr>
        <w:t xml:space="preserve">financial crisis. And so, Basel III replaced Basel II. Basel III </w:t>
      </w:r>
      <w:r w:rsidR="005865B0" w:rsidRPr="00395738">
        <w:rPr>
          <w:rFonts w:cs="Times New Roman"/>
          <w:color w:val="000000"/>
        </w:rPr>
        <w:t xml:space="preserve">not only </w:t>
      </w:r>
      <w:r w:rsidR="0012577D" w:rsidRPr="00395738">
        <w:rPr>
          <w:rFonts w:cs="Times New Roman"/>
          <w:color w:val="000000"/>
        </w:rPr>
        <w:t>enhanced the micro-prudential framework</w:t>
      </w:r>
      <w:r w:rsidR="005865B0" w:rsidRPr="00395738">
        <w:rPr>
          <w:rFonts w:cs="Times New Roman"/>
          <w:color w:val="000000"/>
        </w:rPr>
        <w:t xml:space="preserve">, but with the </w:t>
      </w:r>
      <w:r w:rsidR="0012577D" w:rsidRPr="00395738">
        <w:rPr>
          <w:rFonts w:cs="Times New Roman"/>
          <w:color w:val="000000"/>
        </w:rPr>
        <w:t>countercyclical buffer it also introduced the first international agreement on a macro-prudential tool.</w:t>
      </w:r>
      <w:r w:rsidR="0012577D" w:rsidRPr="00395738">
        <w:rPr>
          <w:rStyle w:val="FootnoteReference"/>
          <w:rFonts w:cs="Times New Roman"/>
          <w:color w:val="000000"/>
        </w:rPr>
        <w:footnoteReference w:id="29"/>
      </w:r>
    </w:p>
    <w:p w14:paraId="310535AF" w14:textId="6CDDED2D" w:rsidR="00647AFC" w:rsidRPr="00395738" w:rsidRDefault="00647AFC" w:rsidP="00647AFC">
      <w:pPr>
        <w:pStyle w:val="ListParagraph"/>
        <w:autoSpaceDE w:val="0"/>
        <w:autoSpaceDN w:val="0"/>
        <w:adjustRightInd w:val="0"/>
        <w:spacing w:after="480" w:line="360" w:lineRule="auto"/>
        <w:contextualSpacing w:val="0"/>
        <w:jc w:val="both"/>
        <w:rPr>
          <w:rFonts w:cs="Times New Roman"/>
          <w:color w:val="000000"/>
          <w:sz w:val="20"/>
          <w:szCs w:val="20"/>
        </w:rPr>
      </w:pPr>
      <w:r w:rsidRPr="00395738">
        <w:rPr>
          <w:rFonts w:cs="Times New Roman"/>
          <w:color w:val="000000"/>
          <w:sz w:val="20"/>
          <w:szCs w:val="20"/>
        </w:rPr>
        <w:t xml:space="preserve">Source: </w:t>
      </w:r>
      <w:r w:rsidR="00BF3E05" w:rsidRPr="00395738">
        <w:rPr>
          <w:rFonts w:cs="Times New Roman"/>
          <w:color w:val="000000"/>
          <w:sz w:val="20"/>
          <w:szCs w:val="20"/>
        </w:rPr>
        <w:t>O</w:t>
      </w:r>
      <w:r w:rsidRPr="00395738">
        <w:rPr>
          <w:rFonts w:cs="Times New Roman"/>
          <w:color w:val="000000"/>
          <w:sz w:val="20"/>
          <w:szCs w:val="20"/>
        </w:rPr>
        <w:t>wn elaboration</w:t>
      </w:r>
      <w:r w:rsidR="003055EA" w:rsidRPr="00395738">
        <w:rPr>
          <w:rFonts w:cs="Times New Roman"/>
          <w:color w:val="000000"/>
          <w:sz w:val="20"/>
          <w:szCs w:val="20"/>
        </w:rPr>
        <w:t xml:space="preserve"> based on information available at the BCBS’s microsite at </w:t>
      </w:r>
      <w:hyperlink r:id="rId10" w:history="1">
        <w:r w:rsidR="003055EA" w:rsidRPr="00395738">
          <w:rPr>
            <w:rStyle w:val="Hyperlink"/>
            <w:rFonts w:cs="Times New Roman"/>
            <w:sz w:val="20"/>
            <w:szCs w:val="20"/>
          </w:rPr>
          <w:t>www.bis.org</w:t>
        </w:r>
      </w:hyperlink>
      <w:r w:rsidR="003055EA" w:rsidRPr="00395738">
        <w:rPr>
          <w:rFonts w:cs="Times New Roman"/>
          <w:color w:val="000000"/>
          <w:sz w:val="20"/>
          <w:szCs w:val="20"/>
        </w:rPr>
        <w:t xml:space="preserve"> </w:t>
      </w:r>
    </w:p>
    <w:p w14:paraId="2FE93C5D" w14:textId="77777777" w:rsidR="00EE6A2A" w:rsidRPr="00395738" w:rsidRDefault="00A5691B" w:rsidP="00942E73">
      <w:pPr>
        <w:pStyle w:val="ListParagraph"/>
        <w:numPr>
          <w:ilvl w:val="0"/>
          <w:numId w:val="1"/>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The k</w:t>
      </w:r>
      <w:r w:rsidR="0012577D" w:rsidRPr="00395738">
        <w:rPr>
          <w:rFonts w:cs="Times New Roman"/>
          <w:color w:val="000000"/>
          <w:sz w:val="24"/>
          <w:szCs w:val="24"/>
        </w:rPr>
        <w:t xml:space="preserve">ey problem faced by supervisors has </w:t>
      </w:r>
      <w:r w:rsidRPr="00395738">
        <w:rPr>
          <w:rFonts w:cs="Times New Roman"/>
          <w:color w:val="000000"/>
          <w:sz w:val="24"/>
          <w:szCs w:val="24"/>
        </w:rPr>
        <w:t xml:space="preserve">however </w:t>
      </w:r>
      <w:r w:rsidR="0012577D" w:rsidRPr="00395738">
        <w:rPr>
          <w:rFonts w:cs="Times New Roman"/>
          <w:color w:val="000000"/>
          <w:sz w:val="24"/>
          <w:szCs w:val="24"/>
        </w:rPr>
        <w:t>not changed</w:t>
      </w:r>
      <w:r w:rsidRPr="00395738">
        <w:rPr>
          <w:rFonts w:cs="Times New Roman"/>
          <w:color w:val="000000"/>
          <w:sz w:val="24"/>
          <w:szCs w:val="24"/>
        </w:rPr>
        <w:t xml:space="preserve"> in essence</w:t>
      </w:r>
      <w:r w:rsidR="0012577D" w:rsidRPr="00395738">
        <w:rPr>
          <w:rFonts w:cs="Times New Roman"/>
          <w:color w:val="000000"/>
          <w:sz w:val="24"/>
          <w:szCs w:val="24"/>
        </w:rPr>
        <w:t xml:space="preserve">. </w:t>
      </w:r>
      <w:r w:rsidRPr="00395738">
        <w:rPr>
          <w:rFonts w:cs="Times New Roman"/>
          <w:color w:val="000000"/>
          <w:sz w:val="24"/>
          <w:szCs w:val="24"/>
        </w:rPr>
        <w:t xml:space="preserve">As stated by the Chairman of the </w:t>
      </w:r>
      <w:r w:rsidR="00647AFC" w:rsidRPr="00395738">
        <w:rPr>
          <w:rFonts w:cs="Times New Roman"/>
          <w:color w:val="000000"/>
          <w:sz w:val="24"/>
          <w:szCs w:val="24"/>
        </w:rPr>
        <w:t>Basel Committee on Banking Supervision (</w:t>
      </w:r>
      <w:r w:rsidRPr="00395738">
        <w:rPr>
          <w:rFonts w:cs="Times New Roman"/>
          <w:color w:val="000000"/>
          <w:sz w:val="24"/>
          <w:szCs w:val="24"/>
        </w:rPr>
        <w:t>BCBS</w:t>
      </w:r>
      <w:r w:rsidR="00647AFC" w:rsidRPr="00395738">
        <w:rPr>
          <w:rFonts w:cs="Times New Roman"/>
          <w:color w:val="000000"/>
          <w:sz w:val="24"/>
          <w:szCs w:val="24"/>
        </w:rPr>
        <w:t>)</w:t>
      </w:r>
      <w:r w:rsidRPr="00395738">
        <w:rPr>
          <w:rFonts w:cs="Times New Roman"/>
          <w:color w:val="000000"/>
          <w:sz w:val="24"/>
          <w:szCs w:val="24"/>
        </w:rPr>
        <w:t xml:space="preserve"> “</w:t>
      </w:r>
      <w:r w:rsidRPr="00395738">
        <w:rPr>
          <w:rFonts w:cs="Times New Roman"/>
          <w:i/>
          <w:color w:val="000000"/>
          <w:sz w:val="24"/>
          <w:szCs w:val="24"/>
        </w:rPr>
        <w:t xml:space="preserve">…banks regularly lose money in the same old way: while pursuing profits, growth and market share without </w:t>
      </w:r>
      <w:r w:rsidRPr="00395738">
        <w:rPr>
          <w:rFonts w:cs="Times New Roman"/>
          <w:i/>
          <w:color w:val="000000"/>
          <w:sz w:val="24"/>
          <w:szCs w:val="24"/>
        </w:rPr>
        <w:lastRenderedPageBreak/>
        <w:t>adequate heed to risk. Unfortunately, they often find clever new ways of doing this, so that it isn't always easy to see how the same old habits will be repeated.</w:t>
      </w:r>
      <w:r w:rsidRPr="00395738">
        <w:rPr>
          <w:rFonts w:cs="Times New Roman"/>
          <w:color w:val="000000"/>
          <w:sz w:val="24"/>
          <w:szCs w:val="24"/>
        </w:rPr>
        <w:t>”</w:t>
      </w:r>
      <w:r w:rsidR="00EE6A2A" w:rsidRPr="00395738">
        <w:rPr>
          <w:rStyle w:val="FootnoteReference"/>
          <w:rFonts w:cs="Times New Roman"/>
          <w:color w:val="000000"/>
          <w:sz w:val="24"/>
          <w:szCs w:val="24"/>
        </w:rPr>
        <w:footnoteReference w:id="30"/>
      </w:r>
      <w:r w:rsidR="0012577D" w:rsidRPr="00395738">
        <w:rPr>
          <w:rFonts w:cs="Times New Roman"/>
          <w:color w:val="000000"/>
          <w:sz w:val="24"/>
          <w:szCs w:val="24"/>
        </w:rPr>
        <w:t xml:space="preserve"> </w:t>
      </w:r>
    </w:p>
    <w:p w14:paraId="21BD81B2" w14:textId="030C7AB1" w:rsidR="00715048" w:rsidRPr="00395738" w:rsidRDefault="00EC59C4" w:rsidP="00942E73">
      <w:pPr>
        <w:pStyle w:val="ListParagraph"/>
        <w:numPr>
          <w:ilvl w:val="0"/>
          <w:numId w:val="1"/>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 xml:space="preserve">Starting in the mid-1980s, and more generally in the 1990s, a </w:t>
      </w:r>
      <w:r w:rsidR="00B23171" w:rsidRPr="00395738">
        <w:rPr>
          <w:rFonts w:cs="Times New Roman"/>
          <w:color w:val="000000"/>
          <w:sz w:val="24"/>
          <w:szCs w:val="24"/>
        </w:rPr>
        <w:t xml:space="preserve">“prospective” or “forward-looking” </w:t>
      </w:r>
      <w:r w:rsidRPr="00395738">
        <w:rPr>
          <w:rFonts w:cs="Times New Roman"/>
          <w:color w:val="000000"/>
          <w:sz w:val="24"/>
          <w:szCs w:val="24"/>
        </w:rPr>
        <w:t xml:space="preserve">banking supervisory model aiming at </w:t>
      </w:r>
      <w:r w:rsidRPr="00395738">
        <w:rPr>
          <w:rFonts w:cs="Times New Roman"/>
          <w:i/>
          <w:color w:val="000000"/>
          <w:sz w:val="24"/>
          <w:szCs w:val="24"/>
        </w:rPr>
        <w:t>preventing</w:t>
      </w:r>
      <w:r w:rsidRPr="00395738">
        <w:rPr>
          <w:rFonts w:cs="Times New Roman"/>
          <w:color w:val="000000"/>
          <w:sz w:val="24"/>
          <w:szCs w:val="24"/>
        </w:rPr>
        <w:t xml:space="preserve"> the build-up of risk</w:t>
      </w:r>
      <w:r w:rsidR="00B23171" w:rsidRPr="00395738">
        <w:rPr>
          <w:rFonts w:cs="Times New Roman"/>
          <w:color w:val="000000"/>
          <w:sz w:val="24"/>
          <w:szCs w:val="24"/>
        </w:rPr>
        <w:t xml:space="preserve"> emerged as a response to the new reality in financial markets</w:t>
      </w:r>
      <w:r w:rsidR="005E01C3" w:rsidRPr="00395738">
        <w:rPr>
          <w:rFonts w:cs="Times New Roman"/>
          <w:color w:val="000000"/>
          <w:sz w:val="24"/>
          <w:szCs w:val="24"/>
        </w:rPr>
        <w:t xml:space="preserve"> </w:t>
      </w:r>
      <w:r w:rsidR="00B23171" w:rsidRPr="00395738">
        <w:rPr>
          <w:rFonts w:cs="Times New Roman"/>
          <w:color w:val="000000"/>
          <w:sz w:val="24"/>
          <w:szCs w:val="24"/>
        </w:rPr>
        <w:t>and started to be implemented in many countries around the world</w:t>
      </w:r>
      <w:r w:rsidR="00FF229F" w:rsidRPr="00395738">
        <w:rPr>
          <w:rFonts w:cs="Times New Roman"/>
          <w:color w:val="000000"/>
          <w:sz w:val="24"/>
          <w:szCs w:val="24"/>
        </w:rPr>
        <w:t>.</w:t>
      </w:r>
    </w:p>
    <w:p w14:paraId="7E254F32" w14:textId="77777777" w:rsidR="00942E73" w:rsidRPr="00395738" w:rsidRDefault="00715048" w:rsidP="007838FA">
      <w:pPr>
        <w:pStyle w:val="ListParagraph"/>
        <w:numPr>
          <w:ilvl w:val="0"/>
          <w:numId w:val="1"/>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This new model further evolved into what is now commonly referred to as risk-based banking supervision. S</w:t>
      </w:r>
      <w:r w:rsidR="00B23171" w:rsidRPr="00395738">
        <w:rPr>
          <w:rFonts w:cs="Times New Roman"/>
          <w:color w:val="000000"/>
          <w:sz w:val="24"/>
          <w:szCs w:val="24"/>
        </w:rPr>
        <w:t>ome of the key areas of focus of supervisory activities are:</w:t>
      </w:r>
      <w:r w:rsidRPr="00395738">
        <w:rPr>
          <w:rStyle w:val="FootnoteReference"/>
          <w:rFonts w:cs="Times New Roman"/>
          <w:color w:val="000000"/>
          <w:sz w:val="24"/>
          <w:szCs w:val="24"/>
        </w:rPr>
        <w:footnoteReference w:id="31"/>
      </w:r>
    </w:p>
    <w:p w14:paraId="785C2094" w14:textId="42B447A6" w:rsidR="00942E73" w:rsidRPr="00395738" w:rsidRDefault="00B23171" w:rsidP="007838FA">
      <w:pPr>
        <w:pStyle w:val="ListParagraph"/>
        <w:numPr>
          <w:ilvl w:val="0"/>
          <w:numId w:val="12"/>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T</w:t>
      </w:r>
      <w:r w:rsidR="0012577D" w:rsidRPr="00395738">
        <w:rPr>
          <w:rFonts w:cs="Times New Roman"/>
          <w:color w:val="000000"/>
          <w:sz w:val="24"/>
          <w:szCs w:val="24"/>
        </w:rPr>
        <w:t>he quality of management</w:t>
      </w:r>
      <w:r w:rsidR="00942E73" w:rsidRPr="00395738">
        <w:rPr>
          <w:rFonts w:cs="Times New Roman"/>
          <w:color w:val="000000"/>
          <w:sz w:val="24"/>
          <w:szCs w:val="24"/>
        </w:rPr>
        <w:t xml:space="preserve">. Special emphasis </w:t>
      </w:r>
      <w:r w:rsidRPr="00395738">
        <w:rPr>
          <w:rFonts w:cs="Times New Roman"/>
          <w:color w:val="000000"/>
          <w:sz w:val="24"/>
          <w:szCs w:val="24"/>
        </w:rPr>
        <w:t xml:space="preserve">to be placed </w:t>
      </w:r>
      <w:r w:rsidR="00942E73" w:rsidRPr="00395738">
        <w:rPr>
          <w:rFonts w:cs="Times New Roman"/>
          <w:color w:val="000000"/>
          <w:sz w:val="24"/>
          <w:szCs w:val="24"/>
        </w:rPr>
        <w:t xml:space="preserve">on stronger interaction between supervisors and </w:t>
      </w:r>
      <w:r w:rsidR="00FF229F" w:rsidRPr="00395738">
        <w:rPr>
          <w:rFonts w:cs="Times New Roman"/>
          <w:color w:val="000000"/>
          <w:sz w:val="24"/>
          <w:szCs w:val="24"/>
        </w:rPr>
        <w:t xml:space="preserve">banks’ </w:t>
      </w:r>
      <w:r w:rsidR="00942E73" w:rsidRPr="00395738">
        <w:rPr>
          <w:rFonts w:cs="Times New Roman"/>
          <w:color w:val="000000"/>
          <w:sz w:val="24"/>
          <w:szCs w:val="24"/>
        </w:rPr>
        <w:t>boards</w:t>
      </w:r>
      <w:r w:rsidR="00FF229F" w:rsidRPr="00395738">
        <w:rPr>
          <w:rFonts w:cs="Times New Roman"/>
          <w:color w:val="000000"/>
          <w:sz w:val="24"/>
          <w:szCs w:val="24"/>
        </w:rPr>
        <w:t xml:space="preserve"> of directors</w:t>
      </w:r>
      <w:r w:rsidR="00942E73" w:rsidRPr="00395738">
        <w:rPr>
          <w:rFonts w:cs="Times New Roman"/>
          <w:color w:val="000000"/>
          <w:sz w:val="24"/>
          <w:szCs w:val="24"/>
        </w:rPr>
        <w:t>, senior management, and control functions such as</w:t>
      </w:r>
      <w:r w:rsidR="00FF229F" w:rsidRPr="00395738">
        <w:rPr>
          <w:rFonts w:cs="Times New Roman"/>
          <w:color w:val="000000"/>
          <w:sz w:val="24"/>
          <w:szCs w:val="24"/>
        </w:rPr>
        <w:t xml:space="preserve"> compliance and internal audit</w:t>
      </w:r>
    </w:p>
    <w:p w14:paraId="015AD1DE" w14:textId="192D708B" w:rsidR="00942E73" w:rsidRPr="00395738" w:rsidRDefault="00B23171" w:rsidP="007838FA">
      <w:pPr>
        <w:pStyle w:val="ListParagraph"/>
        <w:numPr>
          <w:ilvl w:val="0"/>
          <w:numId w:val="12"/>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 xml:space="preserve">An </w:t>
      </w:r>
      <w:r w:rsidR="00942E73" w:rsidRPr="00395738">
        <w:rPr>
          <w:rFonts w:cs="Times New Roman"/>
          <w:color w:val="000000"/>
          <w:sz w:val="24"/>
          <w:szCs w:val="24"/>
        </w:rPr>
        <w:t>institutions' risk governance framework (e.g. strong internal audit function, risk appetite framework, risk culture)</w:t>
      </w:r>
      <w:r w:rsidRPr="00395738">
        <w:rPr>
          <w:rFonts w:cs="Times New Roman"/>
          <w:color w:val="000000"/>
          <w:sz w:val="24"/>
          <w:szCs w:val="24"/>
        </w:rPr>
        <w:t>, including the formulation of supervisory expectations for such frameworks</w:t>
      </w:r>
    </w:p>
    <w:p w14:paraId="1431EE1E" w14:textId="77777777" w:rsidR="00942E73" w:rsidRPr="00395738" w:rsidRDefault="00B23171" w:rsidP="00DE7878">
      <w:pPr>
        <w:pStyle w:val="ListParagraph"/>
        <w:numPr>
          <w:ilvl w:val="0"/>
          <w:numId w:val="12"/>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Usage of </w:t>
      </w:r>
      <w:r w:rsidR="00942E73" w:rsidRPr="00395738">
        <w:rPr>
          <w:rFonts w:cs="Times New Roman"/>
          <w:color w:val="000000"/>
          <w:sz w:val="24"/>
          <w:szCs w:val="24"/>
        </w:rPr>
        <w:t>forward</w:t>
      </w:r>
      <w:r w:rsidRPr="00395738">
        <w:rPr>
          <w:rFonts w:cs="Times New Roman"/>
          <w:color w:val="000000"/>
          <w:sz w:val="24"/>
          <w:szCs w:val="24"/>
        </w:rPr>
        <w:t>-</w:t>
      </w:r>
      <w:r w:rsidR="00942E73" w:rsidRPr="00395738">
        <w:rPr>
          <w:rFonts w:cs="Times New Roman"/>
          <w:color w:val="000000"/>
          <w:sz w:val="24"/>
          <w:szCs w:val="24"/>
        </w:rPr>
        <w:t>looking risk analysis tools such as stress testing to detect early weaknesses or problems.</w:t>
      </w:r>
    </w:p>
    <w:p w14:paraId="5A88BEC7" w14:textId="77777777" w:rsidR="00C75C4A" w:rsidRPr="00395738" w:rsidRDefault="00C75C4A" w:rsidP="00C75C4A">
      <w:pPr>
        <w:pStyle w:val="Subtitle"/>
        <w:spacing w:before="480" w:after="240"/>
        <w:rPr>
          <w:rFonts w:asciiTheme="minorHAnsi" w:hAnsiTheme="minorHAnsi"/>
        </w:rPr>
      </w:pPr>
      <w:r w:rsidRPr="00395738">
        <w:rPr>
          <w:rFonts w:asciiTheme="minorHAnsi" w:hAnsiTheme="minorHAnsi"/>
        </w:rPr>
        <w:t xml:space="preserve">III.2 </w:t>
      </w:r>
      <w:r w:rsidR="00A82E4D" w:rsidRPr="00395738">
        <w:rPr>
          <w:rFonts w:asciiTheme="minorHAnsi" w:hAnsiTheme="minorHAnsi"/>
        </w:rPr>
        <w:t xml:space="preserve">Credit data needs for micro-prudential supervisors: </w:t>
      </w:r>
      <w:r w:rsidRPr="00395738">
        <w:rPr>
          <w:rFonts w:asciiTheme="minorHAnsi" w:hAnsiTheme="minorHAnsi"/>
        </w:rPr>
        <w:t xml:space="preserve">Core analytical </w:t>
      </w:r>
      <w:r w:rsidR="00A02F10" w:rsidRPr="00395738">
        <w:rPr>
          <w:rFonts w:asciiTheme="minorHAnsi" w:hAnsiTheme="minorHAnsi"/>
        </w:rPr>
        <w:t xml:space="preserve">supervisory </w:t>
      </w:r>
      <w:r w:rsidRPr="00395738">
        <w:rPr>
          <w:rFonts w:asciiTheme="minorHAnsi" w:hAnsiTheme="minorHAnsi"/>
        </w:rPr>
        <w:t xml:space="preserve">tasks with regard to </w:t>
      </w:r>
      <w:r w:rsidR="005F5889" w:rsidRPr="00395738">
        <w:rPr>
          <w:rFonts w:asciiTheme="minorHAnsi" w:hAnsiTheme="minorHAnsi"/>
        </w:rPr>
        <w:t>lending risks</w:t>
      </w:r>
    </w:p>
    <w:p w14:paraId="4B0BC161" w14:textId="0F839656" w:rsidR="0031322E" w:rsidRPr="00395738" w:rsidRDefault="007C55D1" w:rsidP="0087025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A</w:t>
      </w:r>
      <w:r w:rsidR="0031322E" w:rsidRPr="00395738">
        <w:rPr>
          <w:rFonts w:cs="Times New Roman"/>
          <w:color w:val="000000"/>
          <w:sz w:val="24"/>
          <w:szCs w:val="24"/>
        </w:rPr>
        <w:t xml:space="preserve">s discussed in chapter </w:t>
      </w:r>
      <w:r w:rsidR="00D20C03" w:rsidRPr="00395738">
        <w:rPr>
          <w:rFonts w:cs="Times New Roman"/>
          <w:color w:val="000000"/>
          <w:sz w:val="24"/>
          <w:szCs w:val="24"/>
        </w:rPr>
        <w:t>II</w:t>
      </w:r>
      <w:r w:rsidR="0031322E" w:rsidRPr="00395738">
        <w:rPr>
          <w:rFonts w:cs="Times New Roman"/>
          <w:color w:val="000000"/>
          <w:sz w:val="24"/>
          <w:szCs w:val="24"/>
        </w:rPr>
        <w:t xml:space="preserve"> of this report, </w:t>
      </w:r>
      <w:r w:rsidR="00A82E4D" w:rsidRPr="00395738">
        <w:rPr>
          <w:rFonts w:cs="Times New Roman"/>
          <w:color w:val="000000"/>
          <w:sz w:val="24"/>
          <w:szCs w:val="24"/>
        </w:rPr>
        <w:t xml:space="preserve">by </w:t>
      </w:r>
      <w:r w:rsidR="0031322E" w:rsidRPr="00395738">
        <w:rPr>
          <w:rFonts w:cs="Times New Roman"/>
          <w:color w:val="000000"/>
          <w:sz w:val="24"/>
          <w:szCs w:val="24"/>
        </w:rPr>
        <w:t xml:space="preserve">identifying the core analytical tasks that micro-prudential financial supervisors perform on a regular basis </w:t>
      </w:r>
      <w:r w:rsidR="003A4A2A" w:rsidRPr="00395738">
        <w:rPr>
          <w:rFonts w:cs="Times New Roman"/>
          <w:color w:val="000000"/>
          <w:sz w:val="24"/>
          <w:szCs w:val="24"/>
        </w:rPr>
        <w:t xml:space="preserve">in a modern regulatory and supervisory regime, </w:t>
      </w:r>
      <w:r w:rsidR="00A82E4D" w:rsidRPr="00395738">
        <w:rPr>
          <w:rFonts w:cs="Times New Roman"/>
          <w:color w:val="000000"/>
          <w:sz w:val="24"/>
          <w:szCs w:val="24"/>
        </w:rPr>
        <w:t xml:space="preserve">it is possible to </w:t>
      </w:r>
      <w:r w:rsidR="00DB7570" w:rsidRPr="00395738">
        <w:rPr>
          <w:rFonts w:cs="Times New Roman"/>
          <w:color w:val="000000"/>
          <w:sz w:val="24"/>
          <w:szCs w:val="24"/>
        </w:rPr>
        <w:t xml:space="preserve">obtain a good </w:t>
      </w:r>
      <w:r w:rsidR="005153DB" w:rsidRPr="00395738">
        <w:rPr>
          <w:rFonts w:cs="Times New Roman"/>
          <w:color w:val="000000"/>
          <w:sz w:val="24"/>
          <w:szCs w:val="24"/>
        </w:rPr>
        <w:t>understanding</w:t>
      </w:r>
      <w:r w:rsidR="00A82E4D" w:rsidRPr="00395738">
        <w:rPr>
          <w:rFonts w:cs="Times New Roman"/>
          <w:color w:val="000000"/>
          <w:sz w:val="24"/>
          <w:szCs w:val="24"/>
        </w:rPr>
        <w:t xml:space="preserve"> of </w:t>
      </w:r>
      <w:r w:rsidR="0031322E" w:rsidRPr="00395738">
        <w:rPr>
          <w:rFonts w:cs="Times New Roman"/>
          <w:color w:val="000000"/>
          <w:sz w:val="24"/>
          <w:szCs w:val="24"/>
        </w:rPr>
        <w:t xml:space="preserve">their overall data </w:t>
      </w:r>
      <w:r w:rsidR="0031322E" w:rsidRPr="00395738">
        <w:rPr>
          <w:rFonts w:cs="Times New Roman"/>
          <w:color w:val="000000"/>
          <w:sz w:val="24"/>
          <w:szCs w:val="24"/>
        </w:rPr>
        <w:lastRenderedPageBreak/>
        <w:t>needs</w:t>
      </w:r>
      <w:r w:rsidR="00A31890" w:rsidRPr="00395738">
        <w:rPr>
          <w:rFonts w:cs="Times New Roman"/>
          <w:color w:val="000000"/>
          <w:sz w:val="24"/>
          <w:szCs w:val="24"/>
        </w:rPr>
        <w:t xml:space="preserve"> in terms of types of data, data attributes, frequency of data reporting/updates, coverage </w:t>
      </w:r>
      <w:r w:rsidR="003A4A2A" w:rsidRPr="00395738">
        <w:rPr>
          <w:rFonts w:cs="Times New Roman"/>
          <w:color w:val="000000"/>
          <w:sz w:val="24"/>
          <w:szCs w:val="24"/>
        </w:rPr>
        <w:t>and</w:t>
      </w:r>
      <w:r w:rsidR="00A31890" w:rsidRPr="00395738">
        <w:rPr>
          <w:rFonts w:cs="Times New Roman"/>
          <w:color w:val="000000"/>
          <w:sz w:val="24"/>
          <w:szCs w:val="24"/>
        </w:rPr>
        <w:t xml:space="preserve"> granularity</w:t>
      </w:r>
      <w:r w:rsidR="003A4A2A" w:rsidRPr="00395738">
        <w:rPr>
          <w:rFonts w:cs="Times New Roman"/>
          <w:color w:val="000000"/>
          <w:sz w:val="24"/>
          <w:szCs w:val="24"/>
        </w:rPr>
        <w:t>, among other features</w:t>
      </w:r>
      <w:r w:rsidR="00A82E4D" w:rsidRPr="00395738">
        <w:rPr>
          <w:rFonts w:cs="Times New Roman"/>
          <w:color w:val="000000"/>
          <w:sz w:val="24"/>
          <w:szCs w:val="24"/>
        </w:rPr>
        <w:t xml:space="preserve">. </w:t>
      </w:r>
    </w:p>
    <w:p w14:paraId="1D0689BF" w14:textId="72628638" w:rsidR="00C75C4A" w:rsidRPr="00395738" w:rsidRDefault="00A31890" w:rsidP="00870253">
      <w:pPr>
        <w:pStyle w:val="ListParagraph"/>
        <w:numPr>
          <w:ilvl w:val="0"/>
          <w:numId w:val="1"/>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 xml:space="preserve">When it comes to analyzing lending risks, the central interest of </w:t>
      </w:r>
      <w:r w:rsidR="007C55D1" w:rsidRPr="00395738">
        <w:rPr>
          <w:rFonts w:cs="Times New Roman"/>
          <w:color w:val="000000"/>
          <w:sz w:val="24"/>
          <w:szCs w:val="24"/>
        </w:rPr>
        <w:t xml:space="preserve">financial supervisors </w:t>
      </w:r>
      <w:r w:rsidRPr="00395738">
        <w:rPr>
          <w:rFonts w:cs="Times New Roman"/>
          <w:color w:val="000000"/>
          <w:sz w:val="24"/>
          <w:szCs w:val="24"/>
        </w:rPr>
        <w:t xml:space="preserve">is on the </w:t>
      </w:r>
      <w:r w:rsidR="007C55D1" w:rsidRPr="00395738">
        <w:rPr>
          <w:rFonts w:cs="Times New Roman"/>
          <w:color w:val="000000"/>
          <w:sz w:val="24"/>
          <w:szCs w:val="24"/>
        </w:rPr>
        <w:t>overall quality of the loan portfolio</w:t>
      </w:r>
      <w:r w:rsidRPr="00395738">
        <w:rPr>
          <w:rFonts w:cs="Times New Roman"/>
          <w:color w:val="000000"/>
          <w:sz w:val="24"/>
          <w:szCs w:val="24"/>
        </w:rPr>
        <w:t xml:space="preserve"> of banks and other financial institutions that lend money as a core business</w:t>
      </w:r>
      <w:r w:rsidR="007C55D1" w:rsidRPr="00395738">
        <w:rPr>
          <w:rFonts w:cs="Times New Roman"/>
          <w:color w:val="000000"/>
          <w:sz w:val="24"/>
          <w:szCs w:val="24"/>
        </w:rPr>
        <w:t xml:space="preserve">. </w:t>
      </w:r>
      <w:r w:rsidR="00B80B68" w:rsidRPr="00395738">
        <w:rPr>
          <w:rFonts w:cs="Times New Roman"/>
          <w:color w:val="000000"/>
          <w:sz w:val="24"/>
          <w:szCs w:val="24"/>
        </w:rPr>
        <w:t>F</w:t>
      </w:r>
      <w:r w:rsidR="00647AFC" w:rsidRPr="00395738">
        <w:rPr>
          <w:rFonts w:cs="Times New Roman"/>
          <w:color w:val="000000"/>
          <w:sz w:val="24"/>
          <w:szCs w:val="24"/>
        </w:rPr>
        <w:t xml:space="preserve">ocus is </w:t>
      </w:r>
      <w:r w:rsidR="00B80B68" w:rsidRPr="00395738">
        <w:rPr>
          <w:rFonts w:cs="Times New Roman"/>
          <w:color w:val="000000"/>
          <w:sz w:val="24"/>
          <w:szCs w:val="24"/>
        </w:rPr>
        <w:t xml:space="preserve">placed </w:t>
      </w:r>
      <w:r w:rsidR="00647AFC" w:rsidRPr="00395738">
        <w:rPr>
          <w:rFonts w:cs="Times New Roman"/>
          <w:color w:val="000000"/>
          <w:sz w:val="24"/>
          <w:szCs w:val="24"/>
        </w:rPr>
        <w:t xml:space="preserve">on </w:t>
      </w:r>
      <w:r w:rsidR="00B80B68" w:rsidRPr="00395738">
        <w:rPr>
          <w:rFonts w:cs="Times New Roman"/>
          <w:color w:val="000000"/>
          <w:sz w:val="24"/>
          <w:szCs w:val="24"/>
        </w:rPr>
        <w:t xml:space="preserve">their </w:t>
      </w:r>
      <w:r w:rsidR="00647AFC" w:rsidRPr="00395738">
        <w:rPr>
          <w:rFonts w:cs="Times New Roman"/>
          <w:color w:val="000000"/>
          <w:sz w:val="24"/>
          <w:szCs w:val="24"/>
        </w:rPr>
        <w:t xml:space="preserve">individual performance. </w:t>
      </w:r>
      <w:r w:rsidR="00374959" w:rsidRPr="00395738">
        <w:rPr>
          <w:rFonts w:cs="Times New Roman"/>
          <w:color w:val="000000"/>
          <w:sz w:val="24"/>
          <w:szCs w:val="24"/>
        </w:rPr>
        <w:t>In this context, s</w:t>
      </w:r>
      <w:r w:rsidR="002533B9" w:rsidRPr="00395738">
        <w:rPr>
          <w:rFonts w:cs="Times New Roman"/>
          <w:color w:val="000000"/>
          <w:sz w:val="24"/>
          <w:szCs w:val="24"/>
        </w:rPr>
        <w:t xml:space="preserve">ome of the most relevant and commonly used </w:t>
      </w:r>
      <w:r w:rsidR="002533B9" w:rsidRPr="00395738">
        <w:rPr>
          <w:rFonts w:cs="Times New Roman"/>
          <w:i/>
          <w:color w:val="000000"/>
          <w:sz w:val="24"/>
          <w:szCs w:val="24"/>
        </w:rPr>
        <w:t>types of analyses</w:t>
      </w:r>
      <w:r w:rsidR="002533B9" w:rsidRPr="00395738">
        <w:rPr>
          <w:rFonts w:cs="Times New Roman"/>
          <w:color w:val="000000"/>
          <w:sz w:val="24"/>
          <w:szCs w:val="24"/>
        </w:rPr>
        <w:t xml:space="preserve"> </w:t>
      </w:r>
      <w:r w:rsidR="00953722" w:rsidRPr="00395738">
        <w:rPr>
          <w:rFonts w:cs="Times New Roman"/>
          <w:color w:val="000000"/>
          <w:sz w:val="24"/>
          <w:szCs w:val="24"/>
        </w:rPr>
        <w:t>may include</w:t>
      </w:r>
      <w:r w:rsidR="002059A7" w:rsidRPr="00395738">
        <w:rPr>
          <w:rFonts w:cs="Times New Roman"/>
          <w:color w:val="000000"/>
          <w:sz w:val="24"/>
          <w:szCs w:val="24"/>
        </w:rPr>
        <w:t>:</w:t>
      </w:r>
      <w:r w:rsidR="002059A7" w:rsidRPr="00395738">
        <w:rPr>
          <w:rStyle w:val="FootnoteReference"/>
          <w:rFonts w:cs="Times New Roman"/>
          <w:color w:val="000000"/>
          <w:sz w:val="24"/>
          <w:szCs w:val="24"/>
        </w:rPr>
        <w:footnoteReference w:id="32"/>
      </w:r>
    </w:p>
    <w:p w14:paraId="11C509D3" w14:textId="77777777" w:rsidR="00953722" w:rsidRPr="00395738" w:rsidRDefault="00953722" w:rsidP="00953722">
      <w:pPr>
        <w:pStyle w:val="ListParagraph"/>
        <w:numPr>
          <w:ilvl w:val="0"/>
          <w:numId w:val="6"/>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The concentration of the loan portfolio as a whole or of certain loan types across regions, economic sectors/activities, economic groups, population segments, etc.</w:t>
      </w:r>
    </w:p>
    <w:p w14:paraId="1EDF2042" w14:textId="462B13BE" w:rsidR="007D3916" w:rsidRPr="00395738" w:rsidRDefault="00953722" w:rsidP="00FD4D18">
      <w:pPr>
        <w:pStyle w:val="ListParagraph"/>
        <w:numPr>
          <w:ilvl w:val="0"/>
          <w:numId w:val="6"/>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Distribution of loans across sectors</w:t>
      </w:r>
      <w:r w:rsidR="007D3916" w:rsidRPr="00395738">
        <w:rPr>
          <w:rFonts w:cs="Times New Roman"/>
          <w:color w:val="000000"/>
          <w:sz w:val="24"/>
          <w:szCs w:val="24"/>
        </w:rPr>
        <w:t xml:space="preserve"> (e.g. consumer, mortgage, commercial)</w:t>
      </w:r>
      <w:r w:rsidR="00374959" w:rsidRPr="00395738">
        <w:rPr>
          <w:rFonts w:cs="Times New Roman"/>
          <w:color w:val="000000"/>
          <w:sz w:val="24"/>
          <w:szCs w:val="24"/>
        </w:rPr>
        <w:t xml:space="preserve"> and/or product</w:t>
      </w:r>
      <w:r w:rsidRPr="00395738">
        <w:rPr>
          <w:rFonts w:cs="Times New Roman"/>
          <w:color w:val="000000"/>
          <w:sz w:val="24"/>
          <w:szCs w:val="24"/>
        </w:rPr>
        <w:t xml:space="preserve"> type</w:t>
      </w:r>
      <w:r w:rsidR="00374959" w:rsidRPr="00395738">
        <w:rPr>
          <w:rFonts w:cs="Times New Roman"/>
          <w:color w:val="000000"/>
          <w:sz w:val="24"/>
          <w:szCs w:val="24"/>
        </w:rPr>
        <w:t>s (e.g. credit card, working capital loan, capital expenditure loan, etc.).</w:t>
      </w:r>
    </w:p>
    <w:p w14:paraId="254DC626" w14:textId="6DD9766F" w:rsidR="000C6B67" w:rsidRPr="00395738" w:rsidRDefault="00717463" w:rsidP="00FD4D18">
      <w:pPr>
        <w:pStyle w:val="ListParagraph"/>
        <w:numPr>
          <w:ilvl w:val="0"/>
          <w:numId w:val="6"/>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C</w:t>
      </w:r>
      <w:r w:rsidR="000C6B67" w:rsidRPr="00395738">
        <w:rPr>
          <w:rFonts w:cs="Times New Roman"/>
          <w:color w:val="000000"/>
          <w:sz w:val="24"/>
          <w:szCs w:val="24"/>
        </w:rPr>
        <w:t>onnected lending</w:t>
      </w:r>
      <w:r w:rsidR="00C3390A" w:rsidRPr="00395738">
        <w:rPr>
          <w:rFonts w:cs="Times New Roman"/>
          <w:color w:val="000000"/>
          <w:sz w:val="24"/>
          <w:szCs w:val="24"/>
        </w:rPr>
        <w:t xml:space="preserve"> to individuals and/or legal persons with financial, ownership, management and other types of links/ties with the financial institution</w:t>
      </w:r>
    </w:p>
    <w:p w14:paraId="33B771B4" w14:textId="443F0BA4" w:rsidR="007D3916" w:rsidRPr="00395738" w:rsidRDefault="00717463" w:rsidP="00FD4D18">
      <w:pPr>
        <w:pStyle w:val="ListParagraph"/>
        <w:numPr>
          <w:ilvl w:val="0"/>
          <w:numId w:val="6"/>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C</w:t>
      </w:r>
      <w:r w:rsidR="007D3916" w:rsidRPr="00395738">
        <w:rPr>
          <w:rFonts w:cs="Times New Roman"/>
          <w:color w:val="000000"/>
          <w:sz w:val="24"/>
          <w:szCs w:val="24"/>
        </w:rPr>
        <w:t>urrencies in which the loan portfolio is denominated</w:t>
      </w:r>
    </w:p>
    <w:p w14:paraId="1F91CE53" w14:textId="6C71DBDA" w:rsidR="007D3916" w:rsidRPr="00395738" w:rsidRDefault="00953722" w:rsidP="00FD4D18">
      <w:pPr>
        <w:pStyle w:val="ListParagraph"/>
        <w:numPr>
          <w:ilvl w:val="0"/>
          <w:numId w:val="6"/>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O</w:t>
      </w:r>
      <w:r w:rsidR="000C6B67" w:rsidRPr="00395738">
        <w:rPr>
          <w:rFonts w:cs="Times New Roman"/>
          <w:color w:val="000000"/>
          <w:sz w:val="24"/>
          <w:szCs w:val="24"/>
        </w:rPr>
        <w:t>riginal m</w:t>
      </w:r>
      <w:r w:rsidR="007D3916" w:rsidRPr="00395738">
        <w:rPr>
          <w:rFonts w:cs="Times New Roman"/>
          <w:color w:val="000000"/>
          <w:sz w:val="24"/>
          <w:szCs w:val="24"/>
        </w:rPr>
        <w:t>aturity of loans</w:t>
      </w:r>
      <w:r w:rsidR="000C6B67" w:rsidRPr="00395738">
        <w:rPr>
          <w:rFonts w:cs="Times New Roman"/>
          <w:color w:val="000000"/>
          <w:sz w:val="24"/>
          <w:szCs w:val="24"/>
        </w:rPr>
        <w:t xml:space="preserve"> and pre-payment prospects</w:t>
      </w:r>
    </w:p>
    <w:p w14:paraId="37A50804" w14:textId="7D8C5A88" w:rsidR="00C75C4A" w:rsidRPr="00395738" w:rsidRDefault="00717463" w:rsidP="00FD4D18">
      <w:pPr>
        <w:pStyle w:val="ListParagraph"/>
        <w:numPr>
          <w:ilvl w:val="0"/>
          <w:numId w:val="6"/>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G</w:t>
      </w:r>
      <w:r w:rsidR="000C6B67" w:rsidRPr="00395738">
        <w:rPr>
          <w:rFonts w:cs="Times New Roman"/>
          <w:color w:val="000000"/>
          <w:sz w:val="24"/>
          <w:szCs w:val="24"/>
        </w:rPr>
        <w:t>uarantees and collateral</w:t>
      </w:r>
      <w:r w:rsidR="00FF229F" w:rsidRPr="00395738">
        <w:rPr>
          <w:rFonts w:cs="Times New Roman"/>
          <w:color w:val="000000"/>
          <w:sz w:val="24"/>
          <w:szCs w:val="24"/>
        </w:rPr>
        <w:t xml:space="preserve"> received</w:t>
      </w:r>
      <w:r w:rsidR="000C6B67" w:rsidRPr="00395738">
        <w:rPr>
          <w:rFonts w:cs="Times New Roman"/>
          <w:color w:val="000000"/>
          <w:sz w:val="24"/>
          <w:szCs w:val="24"/>
        </w:rPr>
        <w:t xml:space="preserve">, </w:t>
      </w:r>
      <w:r w:rsidR="007D3916" w:rsidRPr="00395738">
        <w:rPr>
          <w:rFonts w:cs="Times New Roman"/>
          <w:color w:val="000000"/>
          <w:sz w:val="24"/>
          <w:szCs w:val="24"/>
        </w:rPr>
        <w:t xml:space="preserve">including </w:t>
      </w:r>
      <w:r w:rsidR="00FF229F" w:rsidRPr="00395738">
        <w:rPr>
          <w:rFonts w:cs="Times New Roman"/>
          <w:color w:val="000000"/>
          <w:sz w:val="24"/>
          <w:szCs w:val="24"/>
        </w:rPr>
        <w:t xml:space="preserve">the </w:t>
      </w:r>
      <w:r w:rsidR="000C6B67" w:rsidRPr="00395738">
        <w:rPr>
          <w:rFonts w:cs="Times New Roman"/>
          <w:color w:val="000000"/>
          <w:sz w:val="24"/>
          <w:szCs w:val="24"/>
        </w:rPr>
        <w:t xml:space="preserve">type of collateral and its </w:t>
      </w:r>
      <w:r w:rsidR="007D3916" w:rsidRPr="00395738">
        <w:rPr>
          <w:rFonts w:cs="Times New Roman"/>
          <w:color w:val="000000"/>
          <w:sz w:val="24"/>
          <w:szCs w:val="24"/>
        </w:rPr>
        <w:t>valuation</w:t>
      </w:r>
    </w:p>
    <w:p w14:paraId="51314E54" w14:textId="26674A48" w:rsidR="0012577D" w:rsidRPr="00395738" w:rsidRDefault="00717463" w:rsidP="00FD4D18">
      <w:pPr>
        <w:pStyle w:val="ListParagraph"/>
        <w:numPr>
          <w:ilvl w:val="0"/>
          <w:numId w:val="6"/>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L</w:t>
      </w:r>
      <w:r w:rsidR="0012577D" w:rsidRPr="00395738">
        <w:rPr>
          <w:rFonts w:cs="Times New Roman"/>
          <w:color w:val="000000"/>
          <w:sz w:val="24"/>
          <w:szCs w:val="24"/>
        </w:rPr>
        <w:t>oan classification and provisioning</w:t>
      </w:r>
    </w:p>
    <w:p w14:paraId="6B96D44A" w14:textId="7DA14A32" w:rsidR="00C75C4A" w:rsidRPr="00395738" w:rsidRDefault="00717463" w:rsidP="00FD4D18">
      <w:pPr>
        <w:pStyle w:val="ListParagraph"/>
        <w:numPr>
          <w:ilvl w:val="0"/>
          <w:numId w:val="6"/>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N</w:t>
      </w:r>
      <w:r w:rsidR="00C75C4A" w:rsidRPr="00395738">
        <w:rPr>
          <w:rFonts w:cs="Times New Roman"/>
          <w:color w:val="000000"/>
          <w:sz w:val="24"/>
          <w:szCs w:val="24"/>
        </w:rPr>
        <w:t>on-performing loans</w:t>
      </w:r>
      <w:r w:rsidR="000506F9" w:rsidRPr="00395738">
        <w:rPr>
          <w:rFonts w:cs="Times New Roman"/>
          <w:color w:val="000000"/>
          <w:sz w:val="24"/>
          <w:szCs w:val="24"/>
        </w:rPr>
        <w:t xml:space="preserve"> (e.g. stock</w:t>
      </w:r>
      <w:r w:rsidR="00DB7570" w:rsidRPr="00395738">
        <w:rPr>
          <w:rFonts w:cs="Times New Roman"/>
          <w:color w:val="000000"/>
          <w:sz w:val="24"/>
          <w:szCs w:val="24"/>
        </w:rPr>
        <w:t xml:space="preserve"> of loans</w:t>
      </w:r>
      <w:r w:rsidR="000506F9" w:rsidRPr="00395738">
        <w:rPr>
          <w:rFonts w:cs="Times New Roman"/>
          <w:color w:val="000000"/>
          <w:sz w:val="24"/>
          <w:szCs w:val="24"/>
        </w:rPr>
        <w:t>, vintages)</w:t>
      </w:r>
    </w:p>
    <w:p w14:paraId="145B0AAE" w14:textId="670C3B38" w:rsidR="00C3390A" w:rsidRPr="00395738" w:rsidRDefault="00717463" w:rsidP="00FD4D18">
      <w:pPr>
        <w:pStyle w:val="ListParagraph"/>
        <w:numPr>
          <w:ilvl w:val="0"/>
          <w:numId w:val="6"/>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L</w:t>
      </w:r>
      <w:r w:rsidR="000C6B67" w:rsidRPr="00395738">
        <w:rPr>
          <w:rFonts w:cs="Times New Roman"/>
          <w:color w:val="000000"/>
          <w:sz w:val="24"/>
          <w:szCs w:val="24"/>
        </w:rPr>
        <w:t>oans renewed</w:t>
      </w:r>
      <w:r w:rsidR="00953722" w:rsidRPr="00395738">
        <w:rPr>
          <w:rFonts w:cs="Times New Roman"/>
          <w:color w:val="000000"/>
          <w:sz w:val="24"/>
          <w:szCs w:val="24"/>
        </w:rPr>
        <w:t xml:space="preserve"> or restructured</w:t>
      </w:r>
    </w:p>
    <w:p w14:paraId="03B568FE" w14:textId="2FA848C4" w:rsidR="000C6B67" w:rsidRPr="00395738" w:rsidRDefault="00717463" w:rsidP="00FD4D18">
      <w:pPr>
        <w:pStyle w:val="ListParagraph"/>
        <w:numPr>
          <w:ilvl w:val="0"/>
          <w:numId w:val="6"/>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R</w:t>
      </w:r>
      <w:r w:rsidR="00C3390A" w:rsidRPr="00395738">
        <w:rPr>
          <w:rFonts w:cs="Times New Roman"/>
          <w:color w:val="000000"/>
          <w:sz w:val="24"/>
          <w:szCs w:val="24"/>
        </w:rPr>
        <w:t xml:space="preserve">ecoveries (i.e. </w:t>
      </w:r>
      <w:r w:rsidR="00DB7570" w:rsidRPr="00395738">
        <w:rPr>
          <w:rFonts w:cs="Times New Roman"/>
          <w:color w:val="000000"/>
          <w:sz w:val="24"/>
          <w:szCs w:val="24"/>
        </w:rPr>
        <w:t xml:space="preserve">the </w:t>
      </w:r>
      <w:r w:rsidR="00C3390A" w:rsidRPr="00395738">
        <w:rPr>
          <w:rFonts w:cs="Times New Roman"/>
          <w:color w:val="000000"/>
          <w:sz w:val="24"/>
          <w:szCs w:val="24"/>
        </w:rPr>
        <w:t>amounts recovered after loan has been written-off as bad debt)</w:t>
      </w:r>
    </w:p>
    <w:p w14:paraId="61897917" w14:textId="56EE5A19" w:rsidR="000C6B67" w:rsidRPr="00395738" w:rsidRDefault="00717463" w:rsidP="00625F51">
      <w:pPr>
        <w:pStyle w:val="ListParagraph"/>
        <w:numPr>
          <w:ilvl w:val="0"/>
          <w:numId w:val="6"/>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L</w:t>
      </w:r>
      <w:r w:rsidR="000C6B67" w:rsidRPr="00395738">
        <w:rPr>
          <w:rFonts w:cs="Times New Roman"/>
          <w:color w:val="000000"/>
          <w:sz w:val="24"/>
          <w:szCs w:val="24"/>
        </w:rPr>
        <w:t>oan portfolios sold to/purchase</w:t>
      </w:r>
      <w:r w:rsidR="000F62AD" w:rsidRPr="00395738">
        <w:rPr>
          <w:rFonts w:cs="Times New Roman"/>
          <w:color w:val="000000"/>
          <w:sz w:val="24"/>
          <w:szCs w:val="24"/>
        </w:rPr>
        <w:t>d</w:t>
      </w:r>
      <w:r w:rsidR="000C6B67" w:rsidRPr="00395738">
        <w:rPr>
          <w:rFonts w:cs="Times New Roman"/>
          <w:color w:val="000000"/>
          <w:sz w:val="24"/>
          <w:szCs w:val="24"/>
        </w:rPr>
        <w:t xml:space="preserve"> from other banks and other financial institutions</w:t>
      </w:r>
    </w:p>
    <w:p w14:paraId="71F7569F" w14:textId="0C3E31D3" w:rsidR="00D96B55" w:rsidRPr="00395738" w:rsidRDefault="00717463" w:rsidP="00C3390A">
      <w:pPr>
        <w:pStyle w:val="ListParagraph"/>
        <w:numPr>
          <w:ilvl w:val="0"/>
          <w:numId w:val="6"/>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I</w:t>
      </w:r>
      <w:r w:rsidR="00D96B55" w:rsidRPr="00395738">
        <w:rPr>
          <w:rFonts w:cs="Times New Roman"/>
          <w:color w:val="000000"/>
          <w:sz w:val="24"/>
          <w:szCs w:val="24"/>
        </w:rPr>
        <w:t>nterest rate</w:t>
      </w:r>
      <w:r w:rsidR="00625F51" w:rsidRPr="00395738">
        <w:rPr>
          <w:rFonts w:cs="Times New Roman"/>
          <w:color w:val="000000"/>
          <w:sz w:val="24"/>
          <w:szCs w:val="24"/>
        </w:rPr>
        <w:t>s</w:t>
      </w:r>
      <w:r w:rsidR="00D96B55" w:rsidRPr="00395738">
        <w:rPr>
          <w:rFonts w:cs="Times New Roman"/>
          <w:color w:val="000000"/>
          <w:sz w:val="24"/>
          <w:szCs w:val="24"/>
        </w:rPr>
        <w:t xml:space="preserve"> of loan</w:t>
      </w:r>
      <w:r w:rsidR="00625F51" w:rsidRPr="00395738">
        <w:rPr>
          <w:rFonts w:cs="Times New Roman"/>
          <w:color w:val="000000"/>
          <w:sz w:val="24"/>
          <w:szCs w:val="24"/>
        </w:rPr>
        <w:t>s</w:t>
      </w:r>
      <w:r w:rsidRPr="00395738">
        <w:rPr>
          <w:rFonts w:cs="Times New Roman"/>
          <w:color w:val="000000"/>
          <w:sz w:val="24"/>
          <w:szCs w:val="24"/>
        </w:rPr>
        <w:t>.</w:t>
      </w:r>
    </w:p>
    <w:p w14:paraId="38C307D9" w14:textId="12B20180" w:rsidR="00652AF3" w:rsidRPr="00395738" w:rsidRDefault="001A665A" w:rsidP="00DB7570">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The previous set of analytical tasks </w:t>
      </w:r>
      <w:r w:rsidR="003055EA" w:rsidRPr="00395738">
        <w:rPr>
          <w:rFonts w:cs="Times New Roman"/>
          <w:color w:val="000000"/>
          <w:sz w:val="24"/>
          <w:szCs w:val="24"/>
        </w:rPr>
        <w:t>is based</w:t>
      </w:r>
      <w:r w:rsidRPr="00395738">
        <w:rPr>
          <w:rFonts w:cs="Times New Roman"/>
          <w:color w:val="000000"/>
          <w:sz w:val="24"/>
          <w:szCs w:val="24"/>
        </w:rPr>
        <w:t xml:space="preserve"> on actual balance sheet positions. Supervisors are also highly interested in all types of o</w:t>
      </w:r>
      <w:r w:rsidR="00652AF3" w:rsidRPr="00395738">
        <w:rPr>
          <w:rFonts w:cs="Times New Roman"/>
          <w:color w:val="000000"/>
          <w:sz w:val="24"/>
          <w:szCs w:val="24"/>
        </w:rPr>
        <w:t>ff-balance sheet engagements</w:t>
      </w:r>
      <w:r w:rsidRPr="00395738">
        <w:rPr>
          <w:rFonts w:cs="Times New Roman"/>
          <w:color w:val="000000"/>
          <w:sz w:val="24"/>
          <w:szCs w:val="24"/>
        </w:rPr>
        <w:t xml:space="preserve"> in connection with lending activity, such as credit guarantees given or </w:t>
      </w:r>
      <w:r w:rsidR="00953722" w:rsidRPr="00395738">
        <w:rPr>
          <w:rFonts w:cs="Times New Roman"/>
          <w:color w:val="000000"/>
          <w:sz w:val="24"/>
          <w:szCs w:val="24"/>
        </w:rPr>
        <w:t>unused credit lines</w:t>
      </w:r>
      <w:r w:rsidRPr="00395738">
        <w:rPr>
          <w:rFonts w:cs="Times New Roman"/>
          <w:color w:val="000000"/>
          <w:sz w:val="24"/>
          <w:szCs w:val="24"/>
        </w:rPr>
        <w:t>, among others.</w:t>
      </w:r>
    </w:p>
    <w:p w14:paraId="2D10F3DD" w14:textId="7B4E8812" w:rsidR="00773A99" w:rsidRPr="00395738" w:rsidRDefault="00773A99" w:rsidP="00DB7570">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lastRenderedPageBreak/>
        <w:t xml:space="preserve">In addition to performing all these analyses at the </w:t>
      </w:r>
      <w:r w:rsidR="00FF229F" w:rsidRPr="00395738">
        <w:rPr>
          <w:rFonts w:cs="Times New Roman"/>
          <w:color w:val="000000"/>
          <w:sz w:val="24"/>
          <w:szCs w:val="24"/>
        </w:rPr>
        <w:t xml:space="preserve">financial </w:t>
      </w:r>
      <w:r w:rsidRPr="00395738">
        <w:rPr>
          <w:rFonts w:cs="Times New Roman"/>
          <w:color w:val="000000"/>
          <w:sz w:val="24"/>
          <w:szCs w:val="24"/>
        </w:rPr>
        <w:t>entity-level, often supervisors also selectively analyze individual borrowers</w:t>
      </w:r>
      <w:r w:rsidR="00FF229F" w:rsidRPr="00395738">
        <w:rPr>
          <w:rFonts w:cs="Times New Roman"/>
          <w:color w:val="000000"/>
          <w:sz w:val="24"/>
          <w:szCs w:val="24"/>
        </w:rPr>
        <w:t xml:space="preserve"> of those entities</w:t>
      </w:r>
      <w:r w:rsidRPr="00395738">
        <w:rPr>
          <w:rFonts w:cs="Times New Roman"/>
          <w:color w:val="000000"/>
          <w:sz w:val="24"/>
          <w:szCs w:val="24"/>
        </w:rPr>
        <w:t>. This is done mainly in the course of on-site inspections</w:t>
      </w:r>
      <w:r w:rsidR="002D2444" w:rsidRPr="00395738">
        <w:rPr>
          <w:rFonts w:cs="Times New Roman"/>
          <w:color w:val="000000"/>
          <w:sz w:val="24"/>
          <w:szCs w:val="24"/>
        </w:rPr>
        <w:t xml:space="preserve"> and is based only partially on the data obtained from CRs, CBs and/or CCRCs </w:t>
      </w:r>
      <w:r w:rsidR="008E2FE8" w:rsidRPr="00395738">
        <w:rPr>
          <w:rFonts w:cs="Times New Roman"/>
          <w:color w:val="000000"/>
          <w:sz w:val="24"/>
          <w:szCs w:val="24"/>
        </w:rPr>
        <w:t xml:space="preserve">as </w:t>
      </w:r>
      <w:r w:rsidR="002D2444" w:rsidRPr="00395738">
        <w:rPr>
          <w:rFonts w:cs="Times New Roman"/>
          <w:color w:val="000000"/>
          <w:sz w:val="24"/>
          <w:szCs w:val="24"/>
        </w:rPr>
        <w:t xml:space="preserve">normally it also involves a detailed review of </w:t>
      </w:r>
      <w:r w:rsidR="00B80B68" w:rsidRPr="00395738">
        <w:rPr>
          <w:rFonts w:cs="Times New Roman"/>
          <w:color w:val="000000"/>
          <w:sz w:val="24"/>
          <w:szCs w:val="24"/>
        </w:rPr>
        <w:t xml:space="preserve">the </w:t>
      </w:r>
      <w:r w:rsidR="002D2444" w:rsidRPr="00395738">
        <w:rPr>
          <w:rFonts w:cs="Times New Roman"/>
          <w:color w:val="000000"/>
          <w:sz w:val="24"/>
          <w:szCs w:val="24"/>
        </w:rPr>
        <w:t xml:space="preserve">documentation in the borrower’s file with the </w:t>
      </w:r>
      <w:r w:rsidR="00B80B68" w:rsidRPr="00395738">
        <w:rPr>
          <w:rFonts w:cs="Times New Roman"/>
          <w:color w:val="000000"/>
          <w:sz w:val="24"/>
          <w:szCs w:val="24"/>
        </w:rPr>
        <w:t>lender</w:t>
      </w:r>
      <w:r w:rsidR="002D2444" w:rsidRPr="00395738">
        <w:rPr>
          <w:rFonts w:cs="Times New Roman"/>
          <w:color w:val="000000"/>
          <w:sz w:val="24"/>
          <w:szCs w:val="24"/>
        </w:rPr>
        <w:t xml:space="preserve"> and of a variety of internal reports of the lender</w:t>
      </w:r>
      <w:r w:rsidRPr="00395738">
        <w:rPr>
          <w:rFonts w:cs="Times New Roman"/>
          <w:color w:val="000000"/>
          <w:sz w:val="24"/>
          <w:szCs w:val="24"/>
        </w:rPr>
        <w:t xml:space="preserve">. </w:t>
      </w:r>
    </w:p>
    <w:p w14:paraId="7E682B90" w14:textId="1ACE598C" w:rsidR="00773A99" w:rsidRPr="00395738" w:rsidRDefault="003055EA" w:rsidP="00DB7570">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Other </w:t>
      </w:r>
      <w:r w:rsidR="00333A34" w:rsidRPr="00395738">
        <w:rPr>
          <w:rFonts w:cs="Times New Roman"/>
          <w:color w:val="000000"/>
          <w:sz w:val="24"/>
          <w:szCs w:val="24"/>
        </w:rPr>
        <w:t>analys</w:t>
      </w:r>
      <w:r w:rsidR="002D2444" w:rsidRPr="00395738">
        <w:rPr>
          <w:rFonts w:cs="Times New Roman"/>
          <w:color w:val="000000"/>
          <w:sz w:val="24"/>
          <w:szCs w:val="24"/>
        </w:rPr>
        <w:t>e</w:t>
      </w:r>
      <w:r w:rsidR="00333A34" w:rsidRPr="00395738">
        <w:rPr>
          <w:rFonts w:cs="Times New Roman"/>
          <w:color w:val="000000"/>
          <w:sz w:val="24"/>
          <w:szCs w:val="24"/>
        </w:rPr>
        <w:t xml:space="preserve">s such as </w:t>
      </w:r>
      <w:r w:rsidR="00773A99" w:rsidRPr="00395738">
        <w:rPr>
          <w:rFonts w:cs="Times New Roman"/>
          <w:color w:val="000000"/>
          <w:sz w:val="24"/>
          <w:szCs w:val="24"/>
        </w:rPr>
        <w:t xml:space="preserve">peer group reviews </w:t>
      </w:r>
      <w:r w:rsidR="00333A34" w:rsidRPr="00395738">
        <w:rPr>
          <w:rFonts w:cs="Times New Roman"/>
          <w:color w:val="000000"/>
          <w:sz w:val="24"/>
          <w:szCs w:val="24"/>
        </w:rPr>
        <w:t xml:space="preserve">are </w:t>
      </w:r>
      <w:r w:rsidRPr="00395738">
        <w:rPr>
          <w:rFonts w:cs="Times New Roman"/>
          <w:color w:val="000000"/>
          <w:sz w:val="24"/>
          <w:szCs w:val="24"/>
        </w:rPr>
        <w:t xml:space="preserve">also </w:t>
      </w:r>
      <w:r w:rsidR="00333A34" w:rsidRPr="00395738">
        <w:rPr>
          <w:rFonts w:cs="Times New Roman"/>
          <w:color w:val="000000"/>
          <w:sz w:val="24"/>
          <w:szCs w:val="24"/>
        </w:rPr>
        <w:t xml:space="preserve">used by </w:t>
      </w:r>
      <w:r w:rsidR="002D2444" w:rsidRPr="00395738">
        <w:rPr>
          <w:rFonts w:cs="Times New Roman"/>
          <w:color w:val="000000"/>
          <w:sz w:val="24"/>
          <w:szCs w:val="24"/>
        </w:rPr>
        <w:t>many</w:t>
      </w:r>
      <w:r w:rsidR="00333A34" w:rsidRPr="00395738">
        <w:rPr>
          <w:rFonts w:cs="Times New Roman"/>
          <w:color w:val="000000"/>
          <w:sz w:val="24"/>
          <w:szCs w:val="24"/>
        </w:rPr>
        <w:t xml:space="preserve"> micro-prudential supervisors </w:t>
      </w:r>
      <w:r w:rsidR="00773A99" w:rsidRPr="00395738">
        <w:rPr>
          <w:rFonts w:cs="Times New Roman"/>
          <w:color w:val="000000"/>
          <w:sz w:val="24"/>
          <w:szCs w:val="24"/>
        </w:rPr>
        <w:t xml:space="preserve">to </w:t>
      </w:r>
      <w:r w:rsidR="00333A34" w:rsidRPr="00395738">
        <w:rPr>
          <w:rFonts w:cs="Times New Roman"/>
          <w:color w:val="000000"/>
          <w:sz w:val="24"/>
          <w:szCs w:val="24"/>
        </w:rPr>
        <w:t xml:space="preserve">better </w:t>
      </w:r>
      <w:r w:rsidR="00773A99" w:rsidRPr="00395738">
        <w:rPr>
          <w:rFonts w:cs="Times New Roman"/>
          <w:color w:val="000000"/>
          <w:sz w:val="24"/>
          <w:szCs w:val="24"/>
        </w:rPr>
        <w:t xml:space="preserve">contextualize what </w:t>
      </w:r>
      <w:r w:rsidR="006D1E1A" w:rsidRPr="00395738">
        <w:rPr>
          <w:rFonts w:cs="Times New Roman"/>
          <w:color w:val="000000"/>
          <w:sz w:val="24"/>
          <w:szCs w:val="24"/>
        </w:rPr>
        <w:t xml:space="preserve">is </w:t>
      </w:r>
      <w:r w:rsidR="00773A99" w:rsidRPr="00395738">
        <w:rPr>
          <w:rFonts w:cs="Times New Roman"/>
          <w:color w:val="000000"/>
          <w:sz w:val="24"/>
          <w:szCs w:val="24"/>
        </w:rPr>
        <w:t xml:space="preserve">observed at the entity-level. </w:t>
      </w:r>
      <w:r w:rsidR="00333A34" w:rsidRPr="00395738">
        <w:rPr>
          <w:rFonts w:cs="Times New Roman"/>
          <w:color w:val="000000"/>
          <w:sz w:val="24"/>
          <w:szCs w:val="24"/>
        </w:rPr>
        <w:t>These analyses are performed on a regular basis and often involve defining benchmarks for a set of loan portfolio attributes</w:t>
      </w:r>
      <w:r w:rsidR="00A02F10" w:rsidRPr="00395738">
        <w:rPr>
          <w:rFonts w:cs="Times New Roman"/>
          <w:color w:val="000000"/>
          <w:sz w:val="24"/>
          <w:szCs w:val="24"/>
        </w:rPr>
        <w:t xml:space="preserve"> that can be consistently compared across peers</w:t>
      </w:r>
      <w:r w:rsidR="00333A34" w:rsidRPr="00395738">
        <w:rPr>
          <w:rFonts w:cs="Times New Roman"/>
          <w:color w:val="000000"/>
          <w:sz w:val="24"/>
          <w:szCs w:val="24"/>
        </w:rPr>
        <w:t>,</w:t>
      </w:r>
      <w:r w:rsidR="00A02F10" w:rsidRPr="00395738">
        <w:rPr>
          <w:rStyle w:val="FootnoteReference"/>
          <w:rFonts w:cs="Times New Roman"/>
          <w:color w:val="000000"/>
          <w:sz w:val="24"/>
          <w:szCs w:val="24"/>
        </w:rPr>
        <w:footnoteReference w:id="33"/>
      </w:r>
      <w:r w:rsidR="00333A34" w:rsidRPr="00395738">
        <w:rPr>
          <w:rFonts w:cs="Times New Roman"/>
          <w:color w:val="000000"/>
          <w:sz w:val="24"/>
          <w:szCs w:val="24"/>
        </w:rPr>
        <w:t xml:space="preserve"> and also defining acceptable levels of deviation from such benchmarks.</w:t>
      </w:r>
    </w:p>
    <w:p w14:paraId="7D5C420C" w14:textId="1FD67075" w:rsidR="004773D9" w:rsidRPr="00395738" w:rsidRDefault="00773A99" w:rsidP="00DB7570">
      <w:pPr>
        <w:pStyle w:val="ListParagraph"/>
        <w:numPr>
          <w:ilvl w:val="0"/>
          <w:numId w:val="1"/>
        </w:numPr>
        <w:autoSpaceDE w:val="0"/>
        <w:autoSpaceDN w:val="0"/>
        <w:adjustRightInd w:val="0"/>
        <w:spacing w:after="240" w:line="360" w:lineRule="auto"/>
        <w:contextualSpacing w:val="0"/>
        <w:jc w:val="both"/>
      </w:pPr>
      <w:r w:rsidRPr="00395738">
        <w:rPr>
          <w:rFonts w:cs="Times New Roman"/>
          <w:color w:val="000000"/>
          <w:sz w:val="24"/>
          <w:szCs w:val="24"/>
        </w:rPr>
        <w:t>Micro-prudential supervisors also perform</w:t>
      </w:r>
      <w:r w:rsidR="001843D7" w:rsidRPr="00395738">
        <w:rPr>
          <w:rFonts w:cs="Times New Roman"/>
          <w:color w:val="000000"/>
          <w:sz w:val="24"/>
          <w:szCs w:val="24"/>
        </w:rPr>
        <w:t xml:space="preserve"> a series of analyses for certain specific and/or discretionary purposes</w:t>
      </w:r>
      <w:r w:rsidR="008B5372" w:rsidRPr="00395738">
        <w:rPr>
          <w:rFonts w:cs="Times New Roman"/>
          <w:color w:val="000000"/>
          <w:sz w:val="24"/>
          <w:szCs w:val="24"/>
        </w:rPr>
        <w:t>,</w:t>
      </w:r>
      <w:r w:rsidR="00563617" w:rsidRPr="00395738">
        <w:rPr>
          <w:rFonts w:cs="Times New Roman"/>
          <w:color w:val="000000"/>
          <w:sz w:val="24"/>
          <w:szCs w:val="24"/>
        </w:rPr>
        <w:t xml:space="preserve"> performed at irregular intervals or </w:t>
      </w:r>
      <w:r w:rsidR="006D1E1A" w:rsidRPr="00395738">
        <w:rPr>
          <w:rFonts w:cs="Times New Roman"/>
          <w:color w:val="000000"/>
          <w:sz w:val="24"/>
          <w:szCs w:val="24"/>
        </w:rPr>
        <w:t>o</w:t>
      </w:r>
      <w:r w:rsidR="00563617" w:rsidRPr="00395738">
        <w:rPr>
          <w:rFonts w:cs="Times New Roman"/>
          <w:color w:val="000000"/>
          <w:sz w:val="24"/>
          <w:szCs w:val="24"/>
        </w:rPr>
        <w:t xml:space="preserve">n an </w:t>
      </w:r>
      <w:r w:rsidR="00563617" w:rsidRPr="00395738">
        <w:rPr>
          <w:rFonts w:cs="Times New Roman"/>
          <w:i/>
          <w:color w:val="000000"/>
          <w:sz w:val="24"/>
          <w:szCs w:val="24"/>
        </w:rPr>
        <w:t>ad-hoc</w:t>
      </w:r>
      <w:r w:rsidR="00563617" w:rsidRPr="00395738">
        <w:rPr>
          <w:rFonts w:cs="Times New Roman"/>
          <w:color w:val="000000"/>
          <w:sz w:val="24"/>
          <w:szCs w:val="24"/>
        </w:rPr>
        <w:t xml:space="preserve"> basis. Stress tests and other “early warning” exercises are among the most notable analyses </w:t>
      </w:r>
      <w:r w:rsidR="00870253" w:rsidRPr="00395738">
        <w:rPr>
          <w:rFonts w:cs="Times New Roman"/>
          <w:color w:val="000000"/>
          <w:sz w:val="24"/>
          <w:szCs w:val="24"/>
        </w:rPr>
        <w:t>of this kind.</w:t>
      </w:r>
      <w:r w:rsidR="00870253" w:rsidRPr="00395738">
        <w:rPr>
          <w:rStyle w:val="FootnoteReference"/>
          <w:rFonts w:cs="Times New Roman"/>
          <w:color w:val="000000"/>
          <w:sz w:val="24"/>
          <w:szCs w:val="24"/>
        </w:rPr>
        <w:footnoteReference w:id="34"/>
      </w:r>
      <w:r w:rsidR="004773D9" w:rsidRPr="00395738">
        <w:rPr>
          <w:rFonts w:cs="Times New Roman"/>
          <w:color w:val="000000"/>
          <w:sz w:val="24"/>
          <w:szCs w:val="24"/>
        </w:rPr>
        <w:t xml:space="preserve"> </w:t>
      </w:r>
    </w:p>
    <w:p w14:paraId="1B4A6925" w14:textId="5021B5F5" w:rsidR="00A31890" w:rsidRPr="00395738" w:rsidRDefault="00C972DB" w:rsidP="00DB7570">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Considering the nature and objective of t</w:t>
      </w:r>
      <w:r w:rsidR="002D2444" w:rsidRPr="00395738">
        <w:rPr>
          <w:rFonts w:cs="Times New Roman"/>
          <w:color w:val="000000"/>
          <w:sz w:val="24"/>
          <w:szCs w:val="24"/>
        </w:rPr>
        <w:t>his report</w:t>
      </w:r>
      <w:r w:rsidR="00C77B8D" w:rsidRPr="00395738">
        <w:rPr>
          <w:rFonts w:cs="Times New Roman"/>
          <w:color w:val="000000"/>
          <w:sz w:val="24"/>
          <w:szCs w:val="24"/>
        </w:rPr>
        <w:t>,</w:t>
      </w:r>
      <w:r w:rsidR="002D2444" w:rsidRPr="00395738">
        <w:rPr>
          <w:rFonts w:cs="Times New Roman"/>
          <w:color w:val="000000"/>
          <w:sz w:val="24"/>
          <w:szCs w:val="24"/>
        </w:rPr>
        <w:t xml:space="preserve"> the </w:t>
      </w:r>
      <w:r w:rsidR="00DB4551" w:rsidRPr="00395738">
        <w:rPr>
          <w:rFonts w:cs="Times New Roman"/>
          <w:color w:val="000000"/>
          <w:sz w:val="24"/>
          <w:szCs w:val="24"/>
        </w:rPr>
        <w:t xml:space="preserve">above </w:t>
      </w:r>
      <w:r w:rsidR="002D2444" w:rsidRPr="00395738">
        <w:rPr>
          <w:rFonts w:cs="Times New Roman"/>
          <w:color w:val="000000"/>
          <w:sz w:val="24"/>
          <w:szCs w:val="24"/>
        </w:rPr>
        <w:t>d</w:t>
      </w:r>
      <w:r w:rsidR="00DB4551" w:rsidRPr="00395738">
        <w:rPr>
          <w:rFonts w:cs="Times New Roman"/>
          <w:color w:val="000000"/>
          <w:sz w:val="24"/>
          <w:szCs w:val="24"/>
        </w:rPr>
        <w:t xml:space="preserve">iscussion on </w:t>
      </w:r>
      <w:r w:rsidR="002D2444" w:rsidRPr="00395738">
        <w:rPr>
          <w:rFonts w:cs="Times New Roman"/>
          <w:color w:val="000000"/>
          <w:sz w:val="24"/>
          <w:szCs w:val="24"/>
        </w:rPr>
        <w:t xml:space="preserve">the analytical tasks performed by micro-prudential supervisors has focused on loan portfolio analyses that can be performed using credit data obtained from CRs, CBs or CRCCs. </w:t>
      </w:r>
      <w:r w:rsidR="00B80B68" w:rsidRPr="00395738">
        <w:rPr>
          <w:rFonts w:cs="Times New Roman"/>
          <w:color w:val="000000"/>
          <w:sz w:val="24"/>
          <w:szCs w:val="24"/>
        </w:rPr>
        <w:t xml:space="preserve">It </w:t>
      </w:r>
      <w:r w:rsidR="003055EA" w:rsidRPr="00395738">
        <w:rPr>
          <w:rFonts w:cs="Times New Roman"/>
          <w:color w:val="000000"/>
          <w:sz w:val="24"/>
          <w:szCs w:val="24"/>
        </w:rPr>
        <w:t xml:space="preserve">needs to be emphasized </w:t>
      </w:r>
      <w:r w:rsidR="00B80B68" w:rsidRPr="00395738">
        <w:rPr>
          <w:rFonts w:cs="Times New Roman"/>
          <w:color w:val="000000"/>
          <w:sz w:val="24"/>
          <w:szCs w:val="24"/>
        </w:rPr>
        <w:t>that m</w:t>
      </w:r>
      <w:r w:rsidR="00BF286D" w:rsidRPr="00395738">
        <w:rPr>
          <w:rFonts w:cs="Times New Roman"/>
          <w:color w:val="000000"/>
          <w:sz w:val="24"/>
          <w:szCs w:val="24"/>
        </w:rPr>
        <w:t xml:space="preserve">icro-prudential supervisors </w:t>
      </w:r>
      <w:r w:rsidR="00B80B68" w:rsidRPr="00395738">
        <w:rPr>
          <w:rFonts w:cs="Times New Roman"/>
          <w:color w:val="000000"/>
          <w:sz w:val="24"/>
          <w:szCs w:val="24"/>
        </w:rPr>
        <w:t xml:space="preserve">actually </w:t>
      </w:r>
      <w:r w:rsidR="00BF286D" w:rsidRPr="00395738">
        <w:rPr>
          <w:rFonts w:cs="Times New Roman"/>
          <w:color w:val="000000"/>
          <w:sz w:val="24"/>
          <w:szCs w:val="24"/>
        </w:rPr>
        <w:t xml:space="preserve">perform </w:t>
      </w:r>
      <w:r w:rsidR="00B80B68" w:rsidRPr="00395738">
        <w:rPr>
          <w:rFonts w:cs="Times New Roman"/>
          <w:color w:val="000000"/>
          <w:sz w:val="24"/>
          <w:szCs w:val="24"/>
        </w:rPr>
        <w:t xml:space="preserve">several </w:t>
      </w:r>
      <w:r w:rsidR="00BF286D" w:rsidRPr="00395738">
        <w:rPr>
          <w:rFonts w:cs="Times New Roman"/>
          <w:color w:val="000000"/>
          <w:sz w:val="24"/>
          <w:szCs w:val="24"/>
        </w:rPr>
        <w:t xml:space="preserve">other analyses both in connection with lending risks (e.g. </w:t>
      </w:r>
      <w:r w:rsidR="00DB4551" w:rsidRPr="00395738">
        <w:rPr>
          <w:rFonts w:cs="Times New Roman"/>
          <w:color w:val="000000"/>
          <w:sz w:val="24"/>
          <w:szCs w:val="24"/>
        </w:rPr>
        <w:t xml:space="preserve">review of </w:t>
      </w:r>
      <w:r w:rsidR="00436810" w:rsidRPr="00395738">
        <w:rPr>
          <w:rFonts w:cs="Times New Roman"/>
          <w:color w:val="000000"/>
          <w:sz w:val="24"/>
          <w:szCs w:val="24"/>
        </w:rPr>
        <w:t xml:space="preserve">corporate governance in general and of </w:t>
      </w:r>
      <w:r w:rsidR="00BF286D" w:rsidRPr="00395738">
        <w:rPr>
          <w:rFonts w:cs="Times New Roman"/>
          <w:color w:val="000000"/>
          <w:sz w:val="24"/>
          <w:szCs w:val="24"/>
        </w:rPr>
        <w:t>underwriting standards and other credit policies</w:t>
      </w:r>
      <w:r w:rsidR="00436810" w:rsidRPr="00395738">
        <w:rPr>
          <w:rFonts w:cs="Times New Roman"/>
          <w:color w:val="000000"/>
          <w:sz w:val="24"/>
          <w:szCs w:val="24"/>
        </w:rPr>
        <w:t xml:space="preserve"> and proce</w:t>
      </w:r>
      <w:r w:rsidR="00DB4551" w:rsidRPr="00395738">
        <w:rPr>
          <w:rFonts w:cs="Times New Roman"/>
          <w:color w:val="000000"/>
          <w:sz w:val="24"/>
          <w:szCs w:val="24"/>
        </w:rPr>
        <w:t>dures</w:t>
      </w:r>
      <w:r w:rsidR="00436810" w:rsidRPr="00395738">
        <w:rPr>
          <w:rFonts w:cs="Times New Roman"/>
          <w:color w:val="000000"/>
          <w:sz w:val="24"/>
          <w:szCs w:val="24"/>
        </w:rPr>
        <w:t xml:space="preserve"> in particular</w:t>
      </w:r>
      <w:r w:rsidR="00BF286D" w:rsidRPr="00395738">
        <w:rPr>
          <w:rFonts w:cs="Times New Roman"/>
          <w:color w:val="000000"/>
          <w:sz w:val="24"/>
          <w:szCs w:val="24"/>
        </w:rPr>
        <w:t xml:space="preserve">) as well as with other risks and activities of </w:t>
      </w:r>
      <w:r w:rsidR="003055EA" w:rsidRPr="00395738">
        <w:rPr>
          <w:rFonts w:cs="Times New Roman"/>
          <w:color w:val="000000"/>
          <w:sz w:val="24"/>
          <w:szCs w:val="24"/>
        </w:rPr>
        <w:t xml:space="preserve">the </w:t>
      </w:r>
      <w:r w:rsidR="00DB7570" w:rsidRPr="00395738">
        <w:rPr>
          <w:rFonts w:cs="Times New Roman"/>
          <w:color w:val="000000"/>
          <w:sz w:val="24"/>
          <w:szCs w:val="24"/>
        </w:rPr>
        <w:t xml:space="preserve">banks and other </w:t>
      </w:r>
      <w:r w:rsidR="00DB4551" w:rsidRPr="00395738">
        <w:rPr>
          <w:rFonts w:cs="Times New Roman"/>
          <w:color w:val="000000"/>
          <w:sz w:val="24"/>
          <w:szCs w:val="24"/>
        </w:rPr>
        <w:t>regulated financial</w:t>
      </w:r>
      <w:r w:rsidR="003055EA" w:rsidRPr="00395738">
        <w:rPr>
          <w:rFonts w:cs="Times New Roman"/>
          <w:color w:val="000000"/>
          <w:sz w:val="24"/>
          <w:szCs w:val="24"/>
        </w:rPr>
        <w:t xml:space="preserve"> institutions</w:t>
      </w:r>
      <w:r w:rsidR="00BF286D" w:rsidRPr="00395738">
        <w:rPr>
          <w:rFonts w:cs="Times New Roman"/>
          <w:color w:val="000000"/>
          <w:sz w:val="24"/>
          <w:szCs w:val="24"/>
        </w:rPr>
        <w:t xml:space="preserve">. </w:t>
      </w:r>
    </w:p>
    <w:p w14:paraId="0617ABA7" w14:textId="794FF486" w:rsidR="00C972DB" w:rsidRPr="00395738" w:rsidRDefault="00C972DB" w:rsidP="00DB7570">
      <w:pPr>
        <w:spacing w:after="240"/>
        <w:rPr>
          <w:rFonts w:cs="Times New Roman"/>
          <w:color w:val="000000"/>
          <w:sz w:val="24"/>
          <w:szCs w:val="24"/>
        </w:rPr>
      </w:pPr>
      <w:r w:rsidRPr="00395738">
        <w:rPr>
          <w:rFonts w:cs="Times New Roman"/>
          <w:color w:val="000000"/>
          <w:sz w:val="24"/>
          <w:szCs w:val="24"/>
        </w:rPr>
        <w:br w:type="page"/>
      </w:r>
    </w:p>
    <w:p w14:paraId="10B071A2" w14:textId="77777777" w:rsidR="00601726" w:rsidRPr="00395738" w:rsidRDefault="007D3916" w:rsidP="007D3916">
      <w:pPr>
        <w:pStyle w:val="Subtitle"/>
        <w:spacing w:before="480" w:after="240"/>
        <w:rPr>
          <w:rFonts w:asciiTheme="minorHAnsi" w:hAnsiTheme="minorHAnsi"/>
        </w:rPr>
      </w:pPr>
      <w:r w:rsidRPr="00395738">
        <w:rPr>
          <w:rFonts w:asciiTheme="minorHAnsi" w:hAnsiTheme="minorHAnsi"/>
        </w:rPr>
        <w:lastRenderedPageBreak/>
        <w:t>III.3 Typ</w:t>
      </w:r>
      <w:r w:rsidR="00267338" w:rsidRPr="00395738">
        <w:rPr>
          <w:rFonts w:asciiTheme="minorHAnsi" w:hAnsiTheme="minorHAnsi"/>
        </w:rPr>
        <w:t xml:space="preserve">ical </w:t>
      </w:r>
      <w:r w:rsidRPr="00395738">
        <w:rPr>
          <w:rFonts w:asciiTheme="minorHAnsi" w:hAnsiTheme="minorHAnsi"/>
        </w:rPr>
        <w:t>problems</w:t>
      </w:r>
      <w:r w:rsidR="00972859" w:rsidRPr="00395738">
        <w:rPr>
          <w:rFonts w:asciiTheme="minorHAnsi" w:hAnsiTheme="minorHAnsi"/>
        </w:rPr>
        <w:t xml:space="preserve"> </w:t>
      </w:r>
      <w:r w:rsidRPr="00395738">
        <w:rPr>
          <w:rFonts w:asciiTheme="minorHAnsi" w:hAnsiTheme="minorHAnsi"/>
        </w:rPr>
        <w:t xml:space="preserve">that </w:t>
      </w:r>
      <w:r w:rsidR="00972859" w:rsidRPr="00395738">
        <w:rPr>
          <w:rFonts w:asciiTheme="minorHAnsi" w:hAnsiTheme="minorHAnsi"/>
        </w:rPr>
        <w:t xml:space="preserve">CRSPs face for </w:t>
      </w:r>
      <w:r w:rsidR="00B82305" w:rsidRPr="00395738">
        <w:rPr>
          <w:rFonts w:asciiTheme="minorHAnsi" w:hAnsiTheme="minorHAnsi"/>
        </w:rPr>
        <w:t xml:space="preserve">making available </w:t>
      </w:r>
      <w:r w:rsidR="00972859" w:rsidRPr="00395738">
        <w:rPr>
          <w:rFonts w:asciiTheme="minorHAnsi" w:hAnsiTheme="minorHAnsi"/>
        </w:rPr>
        <w:t xml:space="preserve">the credit data that </w:t>
      </w:r>
      <w:r w:rsidRPr="00395738">
        <w:rPr>
          <w:rFonts w:asciiTheme="minorHAnsi" w:hAnsiTheme="minorHAnsi"/>
        </w:rPr>
        <w:t>micro-prudential supervisors</w:t>
      </w:r>
      <w:r w:rsidR="00972859" w:rsidRPr="00395738">
        <w:rPr>
          <w:rFonts w:asciiTheme="minorHAnsi" w:hAnsiTheme="minorHAnsi"/>
        </w:rPr>
        <w:t xml:space="preserve"> require for their analyses</w:t>
      </w:r>
    </w:p>
    <w:p w14:paraId="5C040860" w14:textId="3355BD33" w:rsidR="00F717A7" w:rsidRPr="00395738" w:rsidRDefault="00F717A7" w:rsidP="00F717A7">
      <w:pPr>
        <w:pStyle w:val="ListParagraph"/>
        <w:numPr>
          <w:ilvl w:val="0"/>
          <w:numId w:val="1"/>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As stated in the G</w:t>
      </w:r>
      <w:r w:rsidR="00C972DB" w:rsidRPr="00395738">
        <w:rPr>
          <w:rFonts w:cs="Times New Roman"/>
          <w:color w:val="000000"/>
          <w:sz w:val="24"/>
          <w:szCs w:val="24"/>
        </w:rPr>
        <w:t>PCR report</w:t>
      </w:r>
      <w:r w:rsidRPr="00395738">
        <w:rPr>
          <w:rFonts w:cs="Times New Roman"/>
          <w:color w:val="000000"/>
          <w:sz w:val="24"/>
          <w:szCs w:val="24"/>
        </w:rPr>
        <w:t>, “</w:t>
      </w:r>
      <w:r w:rsidRPr="00395738">
        <w:rPr>
          <w:rFonts w:cs="Times New Roman"/>
          <w:i/>
          <w:color w:val="000000"/>
          <w:sz w:val="24"/>
          <w:szCs w:val="24"/>
        </w:rPr>
        <w:t>Information quality is the basic building block of an effective credit reporting environment. Accuracy of data implies that such data is free of error, truthful, complete and up to date…</w:t>
      </w:r>
      <w:r w:rsidRPr="00395738">
        <w:rPr>
          <w:rFonts w:cs="Times New Roman"/>
          <w:color w:val="000000"/>
          <w:sz w:val="24"/>
          <w:szCs w:val="24"/>
        </w:rPr>
        <w:t>”</w:t>
      </w:r>
      <w:r w:rsidR="00C77B8D" w:rsidRPr="00395738">
        <w:rPr>
          <w:rFonts w:cs="Times New Roman"/>
          <w:color w:val="000000"/>
          <w:sz w:val="24"/>
          <w:szCs w:val="24"/>
        </w:rPr>
        <w:t>.</w:t>
      </w:r>
      <w:r w:rsidR="00C972DB" w:rsidRPr="00395738">
        <w:rPr>
          <w:rStyle w:val="FootnoteReference"/>
          <w:rFonts w:cs="Times New Roman"/>
          <w:color w:val="000000"/>
          <w:sz w:val="24"/>
          <w:szCs w:val="24"/>
        </w:rPr>
        <w:footnoteReference w:id="35"/>
      </w:r>
      <w:r w:rsidRPr="00395738">
        <w:rPr>
          <w:rFonts w:cs="Times New Roman"/>
          <w:color w:val="000000"/>
          <w:sz w:val="24"/>
          <w:szCs w:val="24"/>
        </w:rPr>
        <w:t xml:space="preserve"> This means that data quality is one of the key challenges that micro-prudential supervisors face </w:t>
      </w:r>
      <w:r w:rsidR="00B80B68" w:rsidRPr="00395738">
        <w:rPr>
          <w:rFonts w:cs="Times New Roman"/>
          <w:color w:val="000000"/>
          <w:sz w:val="24"/>
          <w:szCs w:val="24"/>
        </w:rPr>
        <w:t xml:space="preserve">in order </w:t>
      </w:r>
      <w:r w:rsidRPr="00395738">
        <w:rPr>
          <w:rFonts w:cs="Times New Roman"/>
          <w:color w:val="000000"/>
          <w:sz w:val="24"/>
          <w:szCs w:val="24"/>
        </w:rPr>
        <w:t>to</w:t>
      </w:r>
      <w:r w:rsidR="00B377C2" w:rsidRPr="00395738">
        <w:rPr>
          <w:rFonts w:cs="Times New Roman"/>
          <w:color w:val="000000"/>
          <w:sz w:val="24"/>
          <w:szCs w:val="24"/>
        </w:rPr>
        <w:t xml:space="preserve"> </w:t>
      </w:r>
      <w:r w:rsidR="00B80B68" w:rsidRPr="00395738">
        <w:rPr>
          <w:rFonts w:cs="Times New Roman"/>
          <w:color w:val="000000"/>
          <w:sz w:val="24"/>
          <w:szCs w:val="24"/>
        </w:rPr>
        <w:t xml:space="preserve">be able to </w:t>
      </w:r>
      <w:r w:rsidRPr="00395738">
        <w:rPr>
          <w:rFonts w:cs="Times New Roman"/>
          <w:color w:val="000000"/>
          <w:sz w:val="24"/>
          <w:szCs w:val="24"/>
        </w:rPr>
        <w:t>produce meaningful and consistent results</w:t>
      </w:r>
      <w:r w:rsidR="00B377C2" w:rsidRPr="00395738">
        <w:rPr>
          <w:rFonts w:cs="Times New Roman"/>
          <w:color w:val="000000"/>
          <w:sz w:val="24"/>
          <w:szCs w:val="24"/>
        </w:rPr>
        <w:t xml:space="preserve"> from their various analy</w:t>
      </w:r>
      <w:r w:rsidR="00B80B68" w:rsidRPr="00395738">
        <w:rPr>
          <w:rFonts w:cs="Times New Roman"/>
          <w:color w:val="000000"/>
          <w:sz w:val="24"/>
          <w:szCs w:val="24"/>
        </w:rPr>
        <w:t>tical tasks</w:t>
      </w:r>
      <w:r w:rsidRPr="00395738">
        <w:rPr>
          <w:rFonts w:cs="Times New Roman"/>
          <w:color w:val="000000"/>
          <w:sz w:val="24"/>
          <w:szCs w:val="24"/>
        </w:rPr>
        <w:t xml:space="preserve">. </w:t>
      </w:r>
    </w:p>
    <w:p w14:paraId="21C23161" w14:textId="58F51F4F" w:rsidR="00B52EB5" w:rsidRPr="00395738" w:rsidRDefault="00F717A7" w:rsidP="00F717A7">
      <w:pPr>
        <w:pStyle w:val="ListParagraph"/>
        <w:numPr>
          <w:ilvl w:val="0"/>
          <w:numId w:val="1"/>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The quality of dat</w:t>
      </w:r>
      <w:r w:rsidR="00791A4D" w:rsidRPr="00395738">
        <w:rPr>
          <w:rFonts w:cs="Times New Roman"/>
          <w:color w:val="000000"/>
          <w:sz w:val="24"/>
          <w:szCs w:val="24"/>
        </w:rPr>
        <w:t>a might be hampered by multiple</w:t>
      </w:r>
      <w:r w:rsidRPr="00395738">
        <w:rPr>
          <w:rFonts w:cs="Times New Roman"/>
          <w:color w:val="000000"/>
          <w:sz w:val="24"/>
          <w:szCs w:val="24"/>
        </w:rPr>
        <w:t xml:space="preserve"> factors</w:t>
      </w:r>
      <w:r w:rsidR="00B377C2" w:rsidRPr="00395738">
        <w:rPr>
          <w:rFonts w:cs="Times New Roman"/>
          <w:color w:val="000000"/>
          <w:sz w:val="24"/>
          <w:szCs w:val="24"/>
        </w:rPr>
        <w:t>. One of the most relevant ones is the lack of clear definition</w:t>
      </w:r>
      <w:r w:rsidR="006618F4" w:rsidRPr="00395738">
        <w:rPr>
          <w:rFonts w:cs="Times New Roman"/>
          <w:color w:val="000000"/>
          <w:sz w:val="24"/>
          <w:szCs w:val="24"/>
        </w:rPr>
        <w:t xml:space="preserve"> and/or </w:t>
      </w:r>
      <w:r w:rsidR="00A729F4" w:rsidRPr="00395738">
        <w:rPr>
          <w:rFonts w:cs="Times New Roman"/>
          <w:color w:val="000000"/>
          <w:sz w:val="24"/>
          <w:szCs w:val="24"/>
        </w:rPr>
        <w:t xml:space="preserve">a </w:t>
      </w:r>
      <w:r w:rsidR="006618F4" w:rsidRPr="00395738">
        <w:rPr>
          <w:rFonts w:cs="Times New Roman"/>
          <w:color w:val="000000"/>
          <w:sz w:val="24"/>
          <w:szCs w:val="24"/>
        </w:rPr>
        <w:t>lax interpretation</w:t>
      </w:r>
      <w:r w:rsidR="00B377C2" w:rsidRPr="00395738">
        <w:rPr>
          <w:rFonts w:cs="Times New Roman"/>
          <w:color w:val="000000"/>
          <w:sz w:val="24"/>
          <w:szCs w:val="24"/>
        </w:rPr>
        <w:t xml:space="preserve"> of </w:t>
      </w:r>
      <w:r w:rsidR="006618F4" w:rsidRPr="00395738">
        <w:rPr>
          <w:rFonts w:cs="Times New Roman"/>
          <w:color w:val="000000"/>
          <w:sz w:val="24"/>
          <w:szCs w:val="24"/>
        </w:rPr>
        <w:t xml:space="preserve">the relevant </w:t>
      </w:r>
      <w:r w:rsidR="00B377C2" w:rsidRPr="00395738">
        <w:rPr>
          <w:rFonts w:cs="Times New Roman"/>
          <w:color w:val="000000"/>
          <w:sz w:val="24"/>
          <w:szCs w:val="24"/>
        </w:rPr>
        <w:t>variable</w:t>
      </w:r>
      <w:r w:rsidR="006618F4" w:rsidRPr="00395738">
        <w:rPr>
          <w:rFonts w:cs="Times New Roman"/>
          <w:color w:val="000000"/>
          <w:sz w:val="24"/>
          <w:szCs w:val="24"/>
        </w:rPr>
        <w:t xml:space="preserve"> </w:t>
      </w:r>
      <w:r w:rsidR="00B377C2" w:rsidRPr="00395738">
        <w:rPr>
          <w:rFonts w:cs="Times New Roman"/>
          <w:color w:val="000000"/>
          <w:sz w:val="24"/>
          <w:szCs w:val="24"/>
        </w:rPr>
        <w:t xml:space="preserve">or of its various attributes. </w:t>
      </w:r>
      <w:r w:rsidR="00791A4D" w:rsidRPr="00395738">
        <w:rPr>
          <w:rFonts w:cs="Times New Roman"/>
          <w:color w:val="000000"/>
          <w:sz w:val="24"/>
          <w:szCs w:val="24"/>
        </w:rPr>
        <w:t>For example, s</w:t>
      </w:r>
      <w:r w:rsidR="006618F4" w:rsidRPr="00395738">
        <w:rPr>
          <w:rFonts w:cs="Times New Roman"/>
          <w:color w:val="000000"/>
          <w:sz w:val="24"/>
          <w:szCs w:val="24"/>
        </w:rPr>
        <w:t xml:space="preserve">ome of the variables or concepts that </w:t>
      </w:r>
      <w:r w:rsidR="00B52EB5" w:rsidRPr="00395738">
        <w:rPr>
          <w:rFonts w:cs="Times New Roman"/>
          <w:color w:val="000000"/>
          <w:sz w:val="24"/>
          <w:szCs w:val="24"/>
        </w:rPr>
        <w:t xml:space="preserve">supervisors </w:t>
      </w:r>
      <w:r w:rsidR="006618F4" w:rsidRPr="00395738">
        <w:rPr>
          <w:rFonts w:cs="Times New Roman"/>
          <w:color w:val="000000"/>
          <w:sz w:val="24"/>
          <w:szCs w:val="24"/>
        </w:rPr>
        <w:t xml:space="preserve">often </w:t>
      </w:r>
      <w:r w:rsidR="00B52EB5" w:rsidRPr="00395738">
        <w:rPr>
          <w:rFonts w:cs="Times New Roman"/>
          <w:color w:val="000000"/>
          <w:sz w:val="24"/>
          <w:szCs w:val="24"/>
        </w:rPr>
        <w:t xml:space="preserve">find having </w:t>
      </w:r>
      <w:r w:rsidR="006618F4" w:rsidRPr="00395738">
        <w:rPr>
          <w:rFonts w:cs="Times New Roman"/>
          <w:color w:val="000000"/>
          <w:sz w:val="24"/>
          <w:szCs w:val="24"/>
        </w:rPr>
        <w:t>inconsistencies</w:t>
      </w:r>
      <w:r w:rsidR="00B52EB5" w:rsidRPr="00395738">
        <w:rPr>
          <w:rFonts w:cs="Times New Roman"/>
          <w:color w:val="000000"/>
          <w:sz w:val="24"/>
          <w:szCs w:val="24"/>
        </w:rPr>
        <w:t xml:space="preserve"> and</w:t>
      </w:r>
      <w:r w:rsidR="006618F4" w:rsidRPr="00395738">
        <w:rPr>
          <w:rFonts w:cs="Times New Roman"/>
          <w:color w:val="000000"/>
          <w:sz w:val="24"/>
          <w:szCs w:val="24"/>
        </w:rPr>
        <w:t xml:space="preserve"> insufficiencies</w:t>
      </w:r>
      <w:r w:rsidR="00B52EB5" w:rsidRPr="00395738">
        <w:rPr>
          <w:rFonts w:cs="Times New Roman"/>
          <w:color w:val="000000"/>
          <w:sz w:val="24"/>
          <w:szCs w:val="24"/>
        </w:rPr>
        <w:t xml:space="preserve"> </w:t>
      </w:r>
      <w:r w:rsidR="006618F4" w:rsidRPr="00395738">
        <w:rPr>
          <w:rFonts w:cs="Times New Roman"/>
          <w:color w:val="000000"/>
          <w:sz w:val="24"/>
          <w:szCs w:val="24"/>
        </w:rPr>
        <w:t>are those related to connected lending, non-performing loans</w:t>
      </w:r>
      <w:r w:rsidR="00C04114" w:rsidRPr="00395738">
        <w:rPr>
          <w:rFonts w:cs="Times New Roman"/>
          <w:color w:val="000000"/>
          <w:sz w:val="24"/>
          <w:szCs w:val="24"/>
        </w:rPr>
        <w:t>,</w:t>
      </w:r>
      <w:r w:rsidR="0092125A" w:rsidRPr="00395738">
        <w:rPr>
          <w:rFonts w:cs="Times New Roman"/>
          <w:color w:val="000000"/>
          <w:sz w:val="24"/>
          <w:szCs w:val="24"/>
        </w:rPr>
        <w:t xml:space="preserve"> loan loss provisioning</w:t>
      </w:r>
      <w:r w:rsidR="00A729F4" w:rsidRPr="00395738">
        <w:rPr>
          <w:rFonts w:cs="Times New Roman"/>
          <w:color w:val="000000"/>
          <w:sz w:val="24"/>
          <w:szCs w:val="24"/>
        </w:rPr>
        <w:t xml:space="preserve">, </w:t>
      </w:r>
      <w:r w:rsidR="006618F4" w:rsidRPr="00395738">
        <w:rPr>
          <w:rFonts w:cs="Times New Roman"/>
          <w:color w:val="000000"/>
          <w:sz w:val="24"/>
          <w:szCs w:val="24"/>
        </w:rPr>
        <w:t xml:space="preserve">loan </w:t>
      </w:r>
      <w:r w:rsidR="00A729F4" w:rsidRPr="00395738">
        <w:rPr>
          <w:rFonts w:cs="Times New Roman"/>
          <w:color w:val="000000"/>
          <w:sz w:val="24"/>
          <w:szCs w:val="24"/>
        </w:rPr>
        <w:t xml:space="preserve">renewals and loan </w:t>
      </w:r>
      <w:r w:rsidR="006618F4" w:rsidRPr="00395738">
        <w:rPr>
          <w:rFonts w:cs="Times New Roman"/>
          <w:color w:val="000000"/>
          <w:sz w:val="24"/>
          <w:szCs w:val="24"/>
        </w:rPr>
        <w:t xml:space="preserve">restructuring. </w:t>
      </w:r>
      <w:r w:rsidR="00791A4D" w:rsidRPr="00395738">
        <w:rPr>
          <w:rFonts w:cs="Times New Roman"/>
          <w:color w:val="000000"/>
          <w:sz w:val="24"/>
          <w:szCs w:val="24"/>
        </w:rPr>
        <w:t xml:space="preserve">This </w:t>
      </w:r>
      <w:r w:rsidR="00B52EB5" w:rsidRPr="00395738">
        <w:rPr>
          <w:rFonts w:cs="Times New Roman"/>
          <w:color w:val="000000"/>
          <w:sz w:val="24"/>
          <w:szCs w:val="24"/>
        </w:rPr>
        <w:t>would</w:t>
      </w:r>
      <w:r w:rsidR="00791A4D" w:rsidRPr="00395738">
        <w:rPr>
          <w:rFonts w:cs="Times New Roman"/>
          <w:color w:val="000000"/>
          <w:sz w:val="24"/>
          <w:szCs w:val="24"/>
        </w:rPr>
        <w:t xml:space="preserve"> </w:t>
      </w:r>
      <w:r w:rsidR="00B52EB5" w:rsidRPr="00395738">
        <w:rPr>
          <w:rFonts w:cs="Times New Roman"/>
          <w:color w:val="000000"/>
          <w:sz w:val="24"/>
          <w:szCs w:val="24"/>
        </w:rPr>
        <w:t xml:space="preserve">prevent </w:t>
      </w:r>
      <w:r w:rsidRPr="00395738">
        <w:rPr>
          <w:rFonts w:cs="Times New Roman"/>
          <w:color w:val="000000"/>
          <w:sz w:val="24"/>
          <w:szCs w:val="24"/>
        </w:rPr>
        <w:t>supervisors from capturing the full scope of inter-linkages among a group of connected people</w:t>
      </w:r>
      <w:r w:rsidR="00B52EB5" w:rsidRPr="00395738">
        <w:rPr>
          <w:rFonts w:cs="Times New Roman"/>
          <w:color w:val="000000"/>
          <w:sz w:val="24"/>
          <w:szCs w:val="24"/>
        </w:rPr>
        <w:t xml:space="preserve">, or from rightly determining the overall performance of the loan portfolio if there is a significant </w:t>
      </w:r>
      <w:r w:rsidRPr="00395738">
        <w:rPr>
          <w:rFonts w:cs="Times New Roman"/>
          <w:color w:val="000000"/>
          <w:sz w:val="24"/>
          <w:szCs w:val="24"/>
        </w:rPr>
        <w:t>misclassification</w:t>
      </w:r>
      <w:r w:rsidR="00B52EB5" w:rsidRPr="00395738">
        <w:rPr>
          <w:rFonts w:cs="Times New Roman"/>
          <w:color w:val="000000"/>
          <w:sz w:val="24"/>
          <w:szCs w:val="24"/>
        </w:rPr>
        <w:t xml:space="preserve"> of assets by the lender</w:t>
      </w:r>
      <w:r w:rsidR="003E3507" w:rsidRPr="00395738">
        <w:rPr>
          <w:rFonts w:cs="Times New Roman"/>
          <w:color w:val="000000"/>
          <w:sz w:val="24"/>
          <w:szCs w:val="24"/>
        </w:rPr>
        <w:t>(</w:t>
      </w:r>
      <w:r w:rsidR="00B52EB5" w:rsidRPr="00395738">
        <w:rPr>
          <w:rFonts w:cs="Times New Roman"/>
          <w:color w:val="000000"/>
          <w:sz w:val="24"/>
          <w:szCs w:val="24"/>
        </w:rPr>
        <w:t>s</w:t>
      </w:r>
      <w:r w:rsidR="003E3507" w:rsidRPr="00395738">
        <w:rPr>
          <w:rFonts w:cs="Times New Roman"/>
          <w:color w:val="000000"/>
          <w:sz w:val="24"/>
          <w:szCs w:val="24"/>
        </w:rPr>
        <w:t>)</w:t>
      </w:r>
      <w:r w:rsidR="00B52EB5" w:rsidRPr="00395738">
        <w:rPr>
          <w:rFonts w:cs="Times New Roman"/>
          <w:color w:val="000000"/>
          <w:sz w:val="24"/>
          <w:szCs w:val="24"/>
        </w:rPr>
        <w:t xml:space="preserve">. </w:t>
      </w:r>
    </w:p>
    <w:p w14:paraId="31ED1C4C" w14:textId="7E2BB202" w:rsidR="00F97970" w:rsidRPr="00395738" w:rsidRDefault="00860A31" w:rsidP="00F717A7">
      <w:pPr>
        <w:pStyle w:val="ListParagraph"/>
        <w:numPr>
          <w:ilvl w:val="0"/>
          <w:numId w:val="1"/>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Incorrect interpretations leading to low-quality data can occur for multiple reasons and at multiple levels. T</w:t>
      </w:r>
      <w:r w:rsidR="003E3507" w:rsidRPr="00395738">
        <w:rPr>
          <w:rFonts w:cs="Times New Roman"/>
          <w:color w:val="000000"/>
          <w:sz w:val="24"/>
          <w:szCs w:val="24"/>
        </w:rPr>
        <w:t xml:space="preserve">he </w:t>
      </w:r>
      <w:r w:rsidR="001943A5" w:rsidRPr="00395738">
        <w:rPr>
          <w:rFonts w:cs="Times New Roman"/>
          <w:color w:val="000000"/>
          <w:sz w:val="24"/>
          <w:szCs w:val="24"/>
        </w:rPr>
        <w:t xml:space="preserve">source </w:t>
      </w:r>
      <w:r w:rsidR="003E3507" w:rsidRPr="00395738">
        <w:rPr>
          <w:rFonts w:cs="Times New Roman"/>
          <w:color w:val="000000"/>
          <w:sz w:val="24"/>
          <w:szCs w:val="24"/>
        </w:rPr>
        <w:t xml:space="preserve">of the low-quality data </w:t>
      </w:r>
      <w:r w:rsidRPr="00395738">
        <w:rPr>
          <w:rFonts w:cs="Times New Roman"/>
          <w:color w:val="000000"/>
          <w:sz w:val="24"/>
          <w:szCs w:val="24"/>
        </w:rPr>
        <w:t xml:space="preserve">would most likely be traced back to </w:t>
      </w:r>
      <w:r w:rsidR="001943A5" w:rsidRPr="00395738">
        <w:rPr>
          <w:rFonts w:cs="Times New Roman"/>
          <w:color w:val="000000"/>
          <w:sz w:val="24"/>
          <w:szCs w:val="24"/>
        </w:rPr>
        <w:t>t</w:t>
      </w:r>
      <w:r w:rsidR="003E3507" w:rsidRPr="00395738">
        <w:rPr>
          <w:rFonts w:cs="Times New Roman"/>
          <w:color w:val="000000"/>
          <w:sz w:val="24"/>
          <w:szCs w:val="24"/>
        </w:rPr>
        <w:t>he data provider (i.e. the bank or other lender reporting to CRSPs)</w:t>
      </w:r>
      <w:r w:rsidR="00791A4D" w:rsidRPr="00395738">
        <w:rPr>
          <w:rFonts w:cs="Times New Roman"/>
          <w:color w:val="000000"/>
          <w:sz w:val="24"/>
          <w:szCs w:val="24"/>
        </w:rPr>
        <w:t xml:space="preserve">. This data provider </w:t>
      </w:r>
      <w:r w:rsidRPr="00395738">
        <w:rPr>
          <w:rFonts w:cs="Times New Roman"/>
          <w:color w:val="000000"/>
          <w:sz w:val="24"/>
          <w:szCs w:val="24"/>
        </w:rPr>
        <w:t xml:space="preserve">may have opted for reporting </w:t>
      </w:r>
      <w:r w:rsidR="003F1241" w:rsidRPr="00395738">
        <w:rPr>
          <w:rFonts w:cs="Times New Roman"/>
          <w:color w:val="000000"/>
          <w:sz w:val="24"/>
          <w:szCs w:val="24"/>
        </w:rPr>
        <w:t xml:space="preserve">the data using an </w:t>
      </w:r>
      <w:r w:rsidRPr="00395738">
        <w:rPr>
          <w:rFonts w:cs="Times New Roman"/>
          <w:color w:val="000000"/>
          <w:sz w:val="24"/>
          <w:szCs w:val="24"/>
        </w:rPr>
        <w:t xml:space="preserve">interpretation </w:t>
      </w:r>
      <w:r w:rsidR="003F1241" w:rsidRPr="00395738">
        <w:rPr>
          <w:rFonts w:cs="Times New Roman"/>
          <w:color w:val="000000"/>
          <w:sz w:val="24"/>
          <w:szCs w:val="24"/>
        </w:rPr>
        <w:t>it finds beneficial for its own interests</w:t>
      </w:r>
      <w:r w:rsidR="00791A4D" w:rsidRPr="00395738">
        <w:rPr>
          <w:rFonts w:cs="Times New Roman"/>
          <w:color w:val="000000"/>
          <w:sz w:val="24"/>
          <w:szCs w:val="24"/>
        </w:rPr>
        <w:t xml:space="preserve">. Or, among other possibilities, this data provider </w:t>
      </w:r>
      <w:r w:rsidR="003F1241" w:rsidRPr="00395738">
        <w:rPr>
          <w:rFonts w:cs="Times New Roman"/>
          <w:color w:val="000000"/>
          <w:sz w:val="24"/>
          <w:szCs w:val="24"/>
        </w:rPr>
        <w:t xml:space="preserve">may simply have had problems in correctly transposing </w:t>
      </w:r>
      <w:r w:rsidR="00791A4D" w:rsidRPr="00395738">
        <w:rPr>
          <w:rFonts w:cs="Times New Roman"/>
          <w:color w:val="000000"/>
          <w:sz w:val="24"/>
          <w:szCs w:val="24"/>
        </w:rPr>
        <w:t xml:space="preserve">the </w:t>
      </w:r>
      <w:r w:rsidR="003F1241" w:rsidRPr="00395738">
        <w:rPr>
          <w:rFonts w:cs="Times New Roman"/>
          <w:color w:val="000000"/>
          <w:sz w:val="24"/>
          <w:szCs w:val="24"/>
        </w:rPr>
        <w:t xml:space="preserve">legal or regulatory </w:t>
      </w:r>
      <w:r w:rsidR="00791A4D" w:rsidRPr="00395738">
        <w:rPr>
          <w:rFonts w:cs="Times New Roman"/>
          <w:color w:val="000000"/>
          <w:sz w:val="24"/>
          <w:szCs w:val="24"/>
        </w:rPr>
        <w:t xml:space="preserve">definition of a certain variable or </w:t>
      </w:r>
      <w:r w:rsidR="003F1241" w:rsidRPr="00395738">
        <w:rPr>
          <w:rFonts w:cs="Times New Roman"/>
          <w:color w:val="000000"/>
          <w:sz w:val="24"/>
          <w:szCs w:val="24"/>
        </w:rPr>
        <w:t xml:space="preserve">concept into a technical </w:t>
      </w:r>
      <w:r w:rsidR="00791A4D" w:rsidRPr="00395738">
        <w:rPr>
          <w:rFonts w:cs="Times New Roman"/>
          <w:color w:val="000000"/>
          <w:sz w:val="24"/>
          <w:szCs w:val="24"/>
        </w:rPr>
        <w:t xml:space="preserve">definition (i.e. </w:t>
      </w:r>
      <w:r w:rsidR="002B7925" w:rsidRPr="00395738">
        <w:rPr>
          <w:rFonts w:cs="Times New Roman"/>
          <w:color w:val="000000"/>
          <w:sz w:val="24"/>
          <w:szCs w:val="24"/>
        </w:rPr>
        <w:t xml:space="preserve">the way </w:t>
      </w:r>
      <w:r w:rsidR="00B80B68" w:rsidRPr="00395738">
        <w:rPr>
          <w:rFonts w:cs="Times New Roman"/>
          <w:color w:val="000000"/>
          <w:sz w:val="24"/>
          <w:szCs w:val="24"/>
        </w:rPr>
        <w:t xml:space="preserve">in which </w:t>
      </w:r>
      <w:r w:rsidR="002B7925" w:rsidRPr="00395738">
        <w:rPr>
          <w:rFonts w:cs="Times New Roman"/>
          <w:color w:val="000000"/>
          <w:sz w:val="24"/>
          <w:szCs w:val="24"/>
        </w:rPr>
        <w:t xml:space="preserve">that variable or concept is </w:t>
      </w:r>
      <w:r w:rsidR="00791A4D" w:rsidRPr="00395738">
        <w:rPr>
          <w:rFonts w:cs="Times New Roman"/>
          <w:color w:val="000000"/>
          <w:sz w:val="24"/>
          <w:szCs w:val="24"/>
        </w:rPr>
        <w:t xml:space="preserve">defined </w:t>
      </w:r>
      <w:r w:rsidR="00B80B68" w:rsidRPr="00395738">
        <w:rPr>
          <w:rFonts w:cs="Times New Roman"/>
          <w:color w:val="000000"/>
          <w:sz w:val="24"/>
          <w:szCs w:val="24"/>
        </w:rPr>
        <w:t xml:space="preserve">in </w:t>
      </w:r>
      <w:r w:rsidR="002B7925" w:rsidRPr="00395738">
        <w:rPr>
          <w:rFonts w:cs="Times New Roman"/>
          <w:color w:val="000000"/>
          <w:sz w:val="24"/>
          <w:szCs w:val="24"/>
        </w:rPr>
        <w:t xml:space="preserve">its internal systems and </w:t>
      </w:r>
      <w:r w:rsidR="003F1241" w:rsidRPr="00395738">
        <w:rPr>
          <w:rFonts w:cs="Times New Roman"/>
          <w:color w:val="000000"/>
          <w:sz w:val="24"/>
          <w:szCs w:val="24"/>
        </w:rPr>
        <w:t>database</w:t>
      </w:r>
      <w:r w:rsidR="00791A4D" w:rsidRPr="00395738">
        <w:rPr>
          <w:rFonts w:cs="Times New Roman"/>
          <w:color w:val="000000"/>
          <w:sz w:val="24"/>
          <w:szCs w:val="24"/>
        </w:rPr>
        <w:t>(s)</w:t>
      </w:r>
      <w:r w:rsidR="002B7925" w:rsidRPr="00395738">
        <w:rPr>
          <w:rFonts w:cs="Times New Roman"/>
          <w:color w:val="000000"/>
          <w:sz w:val="24"/>
          <w:szCs w:val="24"/>
        </w:rPr>
        <w:t xml:space="preserve"> to make it operational)</w:t>
      </w:r>
      <w:r w:rsidR="003F1241" w:rsidRPr="00395738">
        <w:rPr>
          <w:rFonts w:cs="Times New Roman"/>
          <w:color w:val="000000"/>
          <w:sz w:val="24"/>
          <w:szCs w:val="24"/>
        </w:rPr>
        <w:t>.</w:t>
      </w:r>
      <w:r w:rsidR="00192F92" w:rsidRPr="00395738">
        <w:rPr>
          <w:rStyle w:val="FootnoteReference"/>
          <w:rFonts w:cs="Times New Roman"/>
          <w:color w:val="000000"/>
          <w:sz w:val="24"/>
          <w:szCs w:val="24"/>
        </w:rPr>
        <w:footnoteReference w:id="36"/>
      </w:r>
    </w:p>
    <w:p w14:paraId="512F162B" w14:textId="12346D5A" w:rsidR="008A4710" w:rsidRPr="00395738" w:rsidRDefault="0097214A" w:rsidP="0097214A">
      <w:pPr>
        <w:pStyle w:val="ListParagraph"/>
        <w:numPr>
          <w:ilvl w:val="0"/>
          <w:numId w:val="1"/>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 xml:space="preserve">Low quality of data is often also a result of </w:t>
      </w:r>
      <w:r w:rsidR="00C04114" w:rsidRPr="00395738">
        <w:rPr>
          <w:rFonts w:cs="Times New Roman"/>
          <w:color w:val="000000"/>
          <w:sz w:val="24"/>
          <w:szCs w:val="24"/>
        </w:rPr>
        <w:t xml:space="preserve">some </w:t>
      </w:r>
      <w:r w:rsidRPr="00395738">
        <w:rPr>
          <w:rFonts w:cs="Times New Roman"/>
          <w:color w:val="000000"/>
          <w:sz w:val="24"/>
          <w:szCs w:val="24"/>
        </w:rPr>
        <w:t xml:space="preserve">data providers lacking </w:t>
      </w:r>
      <w:r w:rsidR="008A4710" w:rsidRPr="00395738">
        <w:rPr>
          <w:rFonts w:cs="Times New Roman"/>
          <w:color w:val="000000"/>
          <w:sz w:val="24"/>
          <w:szCs w:val="24"/>
        </w:rPr>
        <w:t>integrated systems</w:t>
      </w:r>
      <w:r w:rsidRPr="00395738">
        <w:rPr>
          <w:rFonts w:cs="Times New Roman"/>
          <w:color w:val="000000"/>
          <w:sz w:val="24"/>
          <w:szCs w:val="24"/>
        </w:rPr>
        <w:t xml:space="preserve">/mechanisms for reporting to CRSPs (and </w:t>
      </w:r>
      <w:r w:rsidR="00A406EB" w:rsidRPr="00395738">
        <w:rPr>
          <w:rFonts w:cs="Times New Roman"/>
          <w:color w:val="000000"/>
          <w:sz w:val="24"/>
          <w:szCs w:val="24"/>
        </w:rPr>
        <w:t xml:space="preserve">to </w:t>
      </w:r>
      <w:r w:rsidRPr="00395738">
        <w:rPr>
          <w:rFonts w:cs="Times New Roman"/>
          <w:color w:val="000000"/>
          <w:sz w:val="24"/>
          <w:szCs w:val="24"/>
        </w:rPr>
        <w:t>other parties)</w:t>
      </w:r>
      <w:r w:rsidR="008A4710" w:rsidRPr="00395738">
        <w:rPr>
          <w:rFonts w:cs="Times New Roman"/>
          <w:color w:val="000000"/>
          <w:sz w:val="24"/>
          <w:szCs w:val="24"/>
        </w:rPr>
        <w:t xml:space="preserve">. </w:t>
      </w:r>
      <w:r w:rsidRPr="00395738">
        <w:rPr>
          <w:rFonts w:cs="Times New Roman"/>
          <w:color w:val="000000"/>
          <w:sz w:val="24"/>
          <w:szCs w:val="24"/>
        </w:rPr>
        <w:t>At present</w:t>
      </w:r>
      <w:r w:rsidR="00A406EB" w:rsidRPr="00395738">
        <w:rPr>
          <w:rFonts w:cs="Times New Roman"/>
          <w:color w:val="000000"/>
          <w:sz w:val="24"/>
          <w:szCs w:val="24"/>
        </w:rPr>
        <w:t>,</w:t>
      </w:r>
      <w:r w:rsidRPr="00395738">
        <w:rPr>
          <w:rFonts w:cs="Times New Roman"/>
          <w:color w:val="000000"/>
          <w:sz w:val="24"/>
          <w:szCs w:val="24"/>
        </w:rPr>
        <w:t xml:space="preserve"> it is </w:t>
      </w:r>
      <w:r w:rsidR="00A406EB" w:rsidRPr="00395738">
        <w:rPr>
          <w:rFonts w:cs="Times New Roman"/>
          <w:color w:val="000000"/>
          <w:sz w:val="24"/>
          <w:szCs w:val="24"/>
        </w:rPr>
        <w:t xml:space="preserve">not </w:t>
      </w:r>
      <w:r w:rsidR="00A406EB" w:rsidRPr="00395738">
        <w:rPr>
          <w:rFonts w:cs="Times New Roman"/>
          <w:color w:val="000000"/>
          <w:sz w:val="24"/>
          <w:szCs w:val="24"/>
        </w:rPr>
        <w:lastRenderedPageBreak/>
        <w:t>un</w:t>
      </w:r>
      <w:r w:rsidRPr="00395738">
        <w:rPr>
          <w:rFonts w:cs="Times New Roman"/>
          <w:color w:val="000000"/>
          <w:sz w:val="24"/>
          <w:szCs w:val="24"/>
        </w:rPr>
        <w:t xml:space="preserve">common that </w:t>
      </w:r>
      <w:r w:rsidR="00A406EB" w:rsidRPr="00395738">
        <w:rPr>
          <w:rFonts w:cs="Times New Roman"/>
          <w:color w:val="000000"/>
          <w:sz w:val="24"/>
          <w:szCs w:val="24"/>
        </w:rPr>
        <w:t>certain c</w:t>
      </w:r>
      <w:r w:rsidRPr="00395738">
        <w:rPr>
          <w:rFonts w:cs="Times New Roman"/>
          <w:color w:val="000000"/>
          <w:sz w:val="24"/>
          <w:szCs w:val="24"/>
        </w:rPr>
        <w:t xml:space="preserve">redit data </w:t>
      </w:r>
      <w:r w:rsidR="00A406EB" w:rsidRPr="00395738">
        <w:rPr>
          <w:rFonts w:cs="Times New Roman"/>
          <w:color w:val="000000"/>
          <w:sz w:val="24"/>
          <w:szCs w:val="24"/>
        </w:rPr>
        <w:t>t</w:t>
      </w:r>
      <w:r w:rsidR="00C04114" w:rsidRPr="00395738">
        <w:rPr>
          <w:rFonts w:cs="Times New Roman"/>
          <w:color w:val="000000"/>
          <w:sz w:val="24"/>
          <w:szCs w:val="24"/>
        </w:rPr>
        <w:t xml:space="preserve">hat a data provider is required to </w:t>
      </w:r>
      <w:r w:rsidR="00A406EB" w:rsidRPr="00395738">
        <w:rPr>
          <w:rFonts w:cs="Times New Roman"/>
          <w:color w:val="000000"/>
          <w:sz w:val="24"/>
          <w:szCs w:val="24"/>
        </w:rPr>
        <w:t>report needs to be</w:t>
      </w:r>
      <w:r w:rsidRPr="00395738">
        <w:rPr>
          <w:rFonts w:cs="Times New Roman"/>
          <w:color w:val="000000"/>
          <w:sz w:val="24"/>
          <w:szCs w:val="24"/>
        </w:rPr>
        <w:t xml:space="preserve"> </w:t>
      </w:r>
      <w:r w:rsidR="00A406EB" w:rsidRPr="00395738">
        <w:rPr>
          <w:rFonts w:cs="Times New Roman"/>
          <w:color w:val="000000"/>
          <w:sz w:val="24"/>
          <w:szCs w:val="24"/>
        </w:rPr>
        <w:t xml:space="preserve">gathered </w:t>
      </w:r>
      <w:r w:rsidRPr="00395738">
        <w:rPr>
          <w:rFonts w:cs="Times New Roman"/>
          <w:color w:val="000000"/>
          <w:sz w:val="24"/>
          <w:szCs w:val="24"/>
        </w:rPr>
        <w:t xml:space="preserve">from a specific area or department within </w:t>
      </w:r>
      <w:r w:rsidR="00C04114" w:rsidRPr="00395738">
        <w:rPr>
          <w:rFonts w:cs="Times New Roman"/>
          <w:color w:val="000000"/>
          <w:sz w:val="24"/>
          <w:szCs w:val="24"/>
        </w:rPr>
        <w:t xml:space="preserve">its </w:t>
      </w:r>
      <w:r w:rsidR="00A406EB" w:rsidRPr="00395738">
        <w:rPr>
          <w:rFonts w:cs="Times New Roman"/>
          <w:color w:val="000000"/>
          <w:sz w:val="24"/>
          <w:szCs w:val="24"/>
        </w:rPr>
        <w:t>organization</w:t>
      </w:r>
      <w:r w:rsidRPr="00395738">
        <w:rPr>
          <w:rFonts w:cs="Times New Roman"/>
          <w:color w:val="000000"/>
          <w:sz w:val="24"/>
          <w:szCs w:val="24"/>
        </w:rPr>
        <w:t xml:space="preserve">, </w:t>
      </w:r>
      <w:r w:rsidR="00A406EB" w:rsidRPr="00395738">
        <w:rPr>
          <w:rFonts w:cs="Times New Roman"/>
          <w:color w:val="000000"/>
          <w:sz w:val="24"/>
          <w:szCs w:val="24"/>
        </w:rPr>
        <w:t xml:space="preserve">often through sub-optimal procedures (e.g., involving some degree of discretion and/or manual intervention). This </w:t>
      </w:r>
      <w:r w:rsidRPr="00395738">
        <w:rPr>
          <w:rFonts w:cs="Times New Roman"/>
          <w:color w:val="000000"/>
          <w:sz w:val="24"/>
          <w:szCs w:val="24"/>
        </w:rPr>
        <w:t>has a</w:t>
      </w:r>
      <w:r w:rsidR="00A406EB" w:rsidRPr="00395738">
        <w:rPr>
          <w:rFonts w:cs="Times New Roman"/>
          <w:color w:val="000000"/>
          <w:sz w:val="24"/>
          <w:szCs w:val="24"/>
        </w:rPr>
        <w:t xml:space="preserve"> </w:t>
      </w:r>
      <w:r w:rsidRPr="00395738">
        <w:rPr>
          <w:rFonts w:cs="Times New Roman"/>
          <w:color w:val="000000"/>
          <w:sz w:val="24"/>
          <w:szCs w:val="24"/>
        </w:rPr>
        <w:t>n</w:t>
      </w:r>
      <w:r w:rsidR="00A406EB" w:rsidRPr="00395738">
        <w:rPr>
          <w:rFonts w:cs="Times New Roman"/>
          <w:color w:val="000000"/>
          <w:sz w:val="24"/>
          <w:szCs w:val="24"/>
        </w:rPr>
        <w:t>egative</w:t>
      </w:r>
      <w:r w:rsidRPr="00395738">
        <w:rPr>
          <w:rFonts w:cs="Times New Roman"/>
          <w:color w:val="000000"/>
          <w:sz w:val="24"/>
          <w:szCs w:val="24"/>
        </w:rPr>
        <w:t xml:space="preserve"> effect in quality. </w:t>
      </w:r>
      <w:r w:rsidR="008A4710" w:rsidRPr="00395738">
        <w:rPr>
          <w:rFonts w:cs="Times New Roman"/>
          <w:color w:val="000000"/>
          <w:sz w:val="24"/>
          <w:szCs w:val="24"/>
        </w:rPr>
        <w:t xml:space="preserve">The </w:t>
      </w:r>
      <w:r w:rsidRPr="00395738">
        <w:rPr>
          <w:rFonts w:cs="Times New Roman"/>
          <w:color w:val="000000"/>
          <w:sz w:val="24"/>
          <w:szCs w:val="24"/>
        </w:rPr>
        <w:t xml:space="preserve">growing </w:t>
      </w:r>
      <w:r w:rsidR="008A4710" w:rsidRPr="00395738">
        <w:rPr>
          <w:rFonts w:cs="Times New Roman"/>
          <w:color w:val="000000"/>
          <w:sz w:val="24"/>
          <w:szCs w:val="24"/>
        </w:rPr>
        <w:t xml:space="preserve">requirement of granular credit and credit risk data </w:t>
      </w:r>
      <w:r w:rsidR="00A406EB" w:rsidRPr="00395738">
        <w:rPr>
          <w:rFonts w:cs="Times New Roman"/>
          <w:color w:val="000000"/>
          <w:sz w:val="24"/>
          <w:szCs w:val="24"/>
        </w:rPr>
        <w:t>is nevertheless b</w:t>
      </w:r>
      <w:r w:rsidRPr="00395738">
        <w:rPr>
          <w:rFonts w:cs="Times New Roman"/>
          <w:color w:val="000000"/>
          <w:sz w:val="24"/>
          <w:szCs w:val="24"/>
        </w:rPr>
        <w:t xml:space="preserve">ecoming </w:t>
      </w:r>
      <w:r w:rsidR="008A4710" w:rsidRPr="00395738">
        <w:rPr>
          <w:rFonts w:cs="Times New Roman"/>
          <w:color w:val="000000"/>
          <w:sz w:val="24"/>
          <w:szCs w:val="24"/>
        </w:rPr>
        <w:t>a strong</w:t>
      </w:r>
      <w:r w:rsidR="00A406EB" w:rsidRPr="00395738">
        <w:rPr>
          <w:rFonts w:cs="Times New Roman"/>
          <w:color w:val="000000"/>
          <w:sz w:val="24"/>
          <w:szCs w:val="24"/>
        </w:rPr>
        <w:t>er</w:t>
      </w:r>
      <w:r w:rsidR="008A4710" w:rsidRPr="00395738">
        <w:rPr>
          <w:rFonts w:cs="Times New Roman"/>
          <w:color w:val="000000"/>
          <w:sz w:val="24"/>
          <w:szCs w:val="24"/>
        </w:rPr>
        <w:t xml:space="preserve"> incentive for </w:t>
      </w:r>
      <w:r w:rsidRPr="00395738">
        <w:rPr>
          <w:rFonts w:cs="Times New Roman"/>
          <w:color w:val="000000"/>
          <w:sz w:val="24"/>
          <w:szCs w:val="24"/>
        </w:rPr>
        <w:t xml:space="preserve">data providers </w:t>
      </w:r>
      <w:r w:rsidR="008A4710" w:rsidRPr="00395738">
        <w:rPr>
          <w:rFonts w:cs="Times New Roman"/>
          <w:color w:val="000000"/>
          <w:sz w:val="24"/>
          <w:szCs w:val="24"/>
        </w:rPr>
        <w:t>to set up internally</w:t>
      </w:r>
      <w:r w:rsidRPr="00395738">
        <w:rPr>
          <w:rFonts w:cs="Times New Roman"/>
          <w:color w:val="000000"/>
          <w:sz w:val="24"/>
          <w:szCs w:val="24"/>
        </w:rPr>
        <w:t>-</w:t>
      </w:r>
      <w:r w:rsidR="008A4710" w:rsidRPr="00395738">
        <w:rPr>
          <w:rFonts w:cs="Times New Roman"/>
          <w:color w:val="000000"/>
          <w:sz w:val="24"/>
          <w:szCs w:val="24"/>
        </w:rPr>
        <w:t>integrated systems</w:t>
      </w:r>
      <w:r w:rsidRPr="00395738">
        <w:rPr>
          <w:rFonts w:cs="Times New Roman"/>
          <w:color w:val="000000"/>
          <w:sz w:val="24"/>
          <w:szCs w:val="24"/>
        </w:rPr>
        <w:t xml:space="preserve"> in order to avoid </w:t>
      </w:r>
      <w:r w:rsidR="00A406EB" w:rsidRPr="00395738">
        <w:rPr>
          <w:rFonts w:cs="Times New Roman"/>
          <w:color w:val="000000"/>
          <w:sz w:val="24"/>
          <w:szCs w:val="24"/>
        </w:rPr>
        <w:t xml:space="preserve">this kind of </w:t>
      </w:r>
      <w:r w:rsidRPr="00395738">
        <w:rPr>
          <w:rFonts w:cs="Times New Roman"/>
          <w:color w:val="000000"/>
          <w:sz w:val="24"/>
          <w:szCs w:val="24"/>
        </w:rPr>
        <w:t>problems.</w:t>
      </w:r>
    </w:p>
    <w:p w14:paraId="70636314" w14:textId="1C7AFA8E" w:rsidR="00F717A7" w:rsidRPr="00395738" w:rsidRDefault="003F1241" w:rsidP="00F97970">
      <w:pPr>
        <w:pStyle w:val="ListParagraph"/>
        <w:numPr>
          <w:ilvl w:val="0"/>
          <w:numId w:val="1"/>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 xml:space="preserve"> </w:t>
      </w:r>
      <w:r w:rsidR="008604C2" w:rsidRPr="00395738">
        <w:rPr>
          <w:rFonts w:cs="Times New Roman"/>
          <w:color w:val="000000"/>
          <w:sz w:val="24"/>
          <w:szCs w:val="24"/>
        </w:rPr>
        <w:t>Even if banks and other lenders interpret the various variables and concepts correctly and consistently</w:t>
      </w:r>
      <w:r w:rsidR="00C04114" w:rsidRPr="00395738">
        <w:rPr>
          <w:rFonts w:cs="Times New Roman"/>
          <w:color w:val="000000"/>
          <w:sz w:val="24"/>
          <w:szCs w:val="24"/>
        </w:rPr>
        <w:t xml:space="preserve"> and source the data under high quality standards and procedures</w:t>
      </w:r>
      <w:r w:rsidR="008604C2" w:rsidRPr="00395738">
        <w:rPr>
          <w:rFonts w:cs="Times New Roman"/>
          <w:color w:val="000000"/>
          <w:sz w:val="24"/>
          <w:szCs w:val="24"/>
        </w:rPr>
        <w:t xml:space="preserve">, </w:t>
      </w:r>
      <w:r w:rsidR="00304E11" w:rsidRPr="00395738">
        <w:rPr>
          <w:rFonts w:cs="Times New Roman"/>
          <w:color w:val="000000"/>
          <w:sz w:val="24"/>
          <w:szCs w:val="24"/>
        </w:rPr>
        <w:t xml:space="preserve">micro-prudential </w:t>
      </w:r>
      <w:r w:rsidR="008604C2" w:rsidRPr="00395738">
        <w:rPr>
          <w:rFonts w:cs="Times New Roman"/>
          <w:color w:val="000000"/>
          <w:sz w:val="24"/>
          <w:szCs w:val="24"/>
        </w:rPr>
        <w:t xml:space="preserve">supervisors may still face challenges to obtain </w:t>
      </w:r>
      <w:r w:rsidR="00C04114" w:rsidRPr="00395738">
        <w:rPr>
          <w:rFonts w:cs="Times New Roman"/>
          <w:color w:val="000000"/>
          <w:sz w:val="24"/>
          <w:szCs w:val="24"/>
        </w:rPr>
        <w:t xml:space="preserve">some of </w:t>
      </w:r>
      <w:r w:rsidR="008604C2" w:rsidRPr="00395738">
        <w:rPr>
          <w:rFonts w:cs="Times New Roman"/>
          <w:color w:val="000000"/>
          <w:sz w:val="24"/>
          <w:szCs w:val="24"/>
        </w:rPr>
        <w:t>the data they need d</w:t>
      </w:r>
      <w:r w:rsidR="006D1E1A" w:rsidRPr="00395738">
        <w:rPr>
          <w:rFonts w:cs="Times New Roman"/>
          <w:color w:val="000000"/>
          <w:sz w:val="24"/>
          <w:szCs w:val="24"/>
        </w:rPr>
        <w:t>ue</w:t>
      </w:r>
      <w:r w:rsidR="008604C2" w:rsidRPr="00395738">
        <w:rPr>
          <w:rFonts w:cs="Times New Roman"/>
          <w:color w:val="000000"/>
          <w:sz w:val="24"/>
          <w:szCs w:val="24"/>
        </w:rPr>
        <w:t xml:space="preserve"> to the </w:t>
      </w:r>
      <w:r w:rsidR="002545EA" w:rsidRPr="00395738">
        <w:rPr>
          <w:rFonts w:cs="Times New Roman"/>
          <w:color w:val="000000"/>
          <w:sz w:val="24"/>
          <w:szCs w:val="24"/>
        </w:rPr>
        <w:t xml:space="preserve">CRSPs’ </w:t>
      </w:r>
      <w:r w:rsidR="008604C2" w:rsidRPr="00395738">
        <w:rPr>
          <w:rFonts w:cs="Times New Roman"/>
          <w:color w:val="000000"/>
          <w:sz w:val="24"/>
          <w:szCs w:val="24"/>
        </w:rPr>
        <w:t>own limitations</w:t>
      </w:r>
      <w:r w:rsidR="00304E11" w:rsidRPr="00395738">
        <w:rPr>
          <w:rFonts w:cs="Times New Roman"/>
          <w:color w:val="000000"/>
          <w:sz w:val="24"/>
          <w:szCs w:val="24"/>
        </w:rPr>
        <w:t xml:space="preserve">, including first and foremost </w:t>
      </w:r>
      <w:r w:rsidR="00F717A7" w:rsidRPr="00395738">
        <w:rPr>
          <w:rFonts w:cs="Times New Roman"/>
          <w:color w:val="000000"/>
          <w:sz w:val="24"/>
          <w:szCs w:val="24"/>
        </w:rPr>
        <w:t xml:space="preserve">gaps in the data </w:t>
      </w:r>
      <w:r w:rsidR="002545EA" w:rsidRPr="00395738">
        <w:rPr>
          <w:rFonts w:cs="Times New Roman"/>
          <w:color w:val="000000"/>
          <w:sz w:val="24"/>
          <w:szCs w:val="24"/>
        </w:rPr>
        <w:t>th</w:t>
      </w:r>
      <w:r w:rsidR="00D642BC" w:rsidRPr="00395738">
        <w:rPr>
          <w:rFonts w:cs="Times New Roman"/>
          <w:color w:val="000000"/>
          <w:sz w:val="24"/>
          <w:szCs w:val="24"/>
        </w:rPr>
        <w:t xml:space="preserve">at CRSPs are </w:t>
      </w:r>
      <w:r w:rsidR="00304E11" w:rsidRPr="00395738">
        <w:rPr>
          <w:rFonts w:cs="Times New Roman"/>
          <w:color w:val="000000"/>
          <w:sz w:val="24"/>
          <w:szCs w:val="24"/>
        </w:rPr>
        <w:t xml:space="preserve">actually </w:t>
      </w:r>
      <w:r w:rsidR="00D642BC" w:rsidRPr="00395738">
        <w:rPr>
          <w:rFonts w:cs="Times New Roman"/>
          <w:color w:val="000000"/>
          <w:sz w:val="24"/>
          <w:szCs w:val="24"/>
        </w:rPr>
        <w:t xml:space="preserve">able to </w:t>
      </w:r>
      <w:r w:rsidR="00F717A7" w:rsidRPr="00395738">
        <w:rPr>
          <w:rFonts w:cs="Times New Roman"/>
          <w:color w:val="000000"/>
          <w:sz w:val="24"/>
          <w:szCs w:val="24"/>
        </w:rPr>
        <w:t>collect</w:t>
      </w:r>
      <w:r w:rsidR="00304E11" w:rsidRPr="00395738">
        <w:rPr>
          <w:rFonts w:cs="Times New Roman"/>
          <w:color w:val="000000"/>
          <w:sz w:val="24"/>
          <w:szCs w:val="24"/>
        </w:rPr>
        <w:t>.</w:t>
      </w:r>
      <w:r w:rsidR="00436810" w:rsidRPr="00395738">
        <w:rPr>
          <w:rFonts w:cs="Times New Roman"/>
          <w:color w:val="000000"/>
          <w:sz w:val="24"/>
          <w:szCs w:val="24"/>
        </w:rPr>
        <w:t xml:space="preserve"> </w:t>
      </w:r>
    </w:p>
    <w:p w14:paraId="2FDCDD71" w14:textId="7D362465" w:rsidR="006B7737" w:rsidRPr="00395738" w:rsidRDefault="006B7737" w:rsidP="006B7737">
      <w:pPr>
        <w:pStyle w:val="ListParagraph"/>
        <w:numPr>
          <w:ilvl w:val="0"/>
          <w:numId w:val="1"/>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 xml:space="preserve">In this regard, </w:t>
      </w:r>
      <w:r w:rsidR="002F6866" w:rsidRPr="00395738">
        <w:rPr>
          <w:rFonts w:cs="Times New Roman"/>
          <w:color w:val="000000"/>
          <w:sz w:val="24"/>
          <w:szCs w:val="24"/>
        </w:rPr>
        <w:t xml:space="preserve">many </w:t>
      </w:r>
      <w:r w:rsidR="00304E11" w:rsidRPr="00395738">
        <w:rPr>
          <w:rFonts w:cs="Times New Roman"/>
          <w:color w:val="000000"/>
          <w:sz w:val="24"/>
          <w:szCs w:val="24"/>
        </w:rPr>
        <w:t xml:space="preserve">CRs were originally designed to gather information on larger lending portfolio exposures, and </w:t>
      </w:r>
      <w:r w:rsidR="00A729F4" w:rsidRPr="00395738">
        <w:rPr>
          <w:rFonts w:cs="Times New Roman"/>
          <w:color w:val="000000"/>
          <w:sz w:val="24"/>
          <w:szCs w:val="24"/>
        </w:rPr>
        <w:t xml:space="preserve">as result </w:t>
      </w:r>
      <w:r w:rsidR="00304E11" w:rsidRPr="00395738">
        <w:rPr>
          <w:rFonts w:cs="Times New Roman"/>
          <w:color w:val="000000"/>
          <w:sz w:val="24"/>
          <w:szCs w:val="24"/>
        </w:rPr>
        <w:t>some of them have data</w:t>
      </w:r>
      <w:r w:rsidR="00395809" w:rsidRPr="00395738">
        <w:rPr>
          <w:rFonts w:cs="Times New Roman"/>
          <w:color w:val="000000"/>
          <w:sz w:val="24"/>
          <w:szCs w:val="24"/>
        </w:rPr>
        <w:t xml:space="preserve"> </w:t>
      </w:r>
      <w:r w:rsidR="00B31184" w:rsidRPr="00395738">
        <w:rPr>
          <w:rFonts w:cs="Times New Roman"/>
          <w:color w:val="000000"/>
          <w:sz w:val="24"/>
          <w:szCs w:val="24"/>
        </w:rPr>
        <w:t xml:space="preserve">architectures </w:t>
      </w:r>
      <w:r w:rsidR="00304E11" w:rsidRPr="00395738">
        <w:rPr>
          <w:rFonts w:cs="Times New Roman"/>
          <w:color w:val="000000"/>
          <w:sz w:val="24"/>
          <w:szCs w:val="24"/>
        </w:rPr>
        <w:t xml:space="preserve">that </w:t>
      </w:r>
      <w:r w:rsidR="002545EA" w:rsidRPr="00395738">
        <w:rPr>
          <w:rFonts w:cs="Times New Roman"/>
          <w:color w:val="000000"/>
          <w:sz w:val="24"/>
          <w:szCs w:val="24"/>
        </w:rPr>
        <w:t xml:space="preserve">limit </w:t>
      </w:r>
      <w:r w:rsidR="00304E11" w:rsidRPr="00395738">
        <w:rPr>
          <w:rFonts w:cs="Times New Roman"/>
          <w:color w:val="000000"/>
          <w:sz w:val="24"/>
          <w:szCs w:val="24"/>
        </w:rPr>
        <w:t xml:space="preserve">the </w:t>
      </w:r>
      <w:r w:rsidRPr="00395738">
        <w:rPr>
          <w:rFonts w:cs="Times New Roman"/>
          <w:color w:val="000000"/>
          <w:sz w:val="24"/>
          <w:szCs w:val="24"/>
        </w:rPr>
        <w:t xml:space="preserve">provision of the needed credit data for certain supervisory </w:t>
      </w:r>
      <w:r w:rsidR="00304E11" w:rsidRPr="00395738">
        <w:rPr>
          <w:rFonts w:cs="Times New Roman"/>
          <w:color w:val="000000"/>
          <w:sz w:val="24"/>
          <w:szCs w:val="24"/>
        </w:rPr>
        <w:t>analyses</w:t>
      </w:r>
      <w:r w:rsidRPr="00395738">
        <w:rPr>
          <w:rFonts w:cs="Times New Roman"/>
          <w:color w:val="000000"/>
          <w:sz w:val="24"/>
          <w:szCs w:val="24"/>
        </w:rPr>
        <w:t>.</w:t>
      </w:r>
      <w:r w:rsidR="00D85D4E" w:rsidRPr="00395738">
        <w:rPr>
          <w:rStyle w:val="FootnoteReference"/>
          <w:rFonts w:cs="Times New Roman"/>
          <w:color w:val="000000"/>
          <w:sz w:val="24"/>
          <w:szCs w:val="24"/>
        </w:rPr>
        <w:footnoteReference w:id="37"/>
      </w:r>
      <w:r w:rsidRPr="00395738">
        <w:rPr>
          <w:rFonts w:cs="Times New Roman"/>
          <w:color w:val="000000"/>
          <w:sz w:val="24"/>
          <w:szCs w:val="24"/>
        </w:rPr>
        <w:t xml:space="preserve"> Example</w:t>
      </w:r>
      <w:r w:rsidR="00B31184" w:rsidRPr="00395738">
        <w:rPr>
          <w:rFonts w:cs="Times New Roman"/>
          <w:color w:val="000000"/>
          <w:sz w:val="24"/>
          <w:szCs w:val="24"/>
        </w:rPr>
        <w:t>s</w:t>
      </w:r>
      <w:r w:rsidRPr="00395738">
        <w:rPr>
          <w:rFonts w:cs="Times New Roman"/>
          <w:color w:val="000000"/>
          <w:sz w:val="24"/>
          <w:szCs w:val="24"/>
        </w:rPr>
        <w:t xml:space="preserve"> include: </w:t>
      </w:r>
    </w:p>
    <w:p w14:paraId="47281689" w14:textId="77777777" w:rsidR="00B31184" w:rsidRPr="00395738" w:rsidRDefault="00B31184" w:rsidP="006B7737">
      <w:pPr>
        <w:pStyle w:val="ListParagraph"/>
        <w:numPr>
          <w:ilvl w:val="0"/>
          <w:numId w:val="9"/>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Limited coverage of retail loans (</w:t>
      </w:r>
      <w:r w:rsidR="00B917F8" w:rsidRPr="00395738">
        <w:rPr>
          <w:rFonts w:cs="Times New Roman"/>
          <w:color w:val="000000"/>
          <w:sz w:val="24"/>
          <w:szCs w:val="24"/>
        </w:rPr>
        <w:t xml:space="preserve">i.e. to households and some small and medium enterprises (SMEs), like </w:t>
      </w:r>
      <w:r w:rsidRPr="00395738">
        <w:rPr>
          <w:rFonts w:cs="Times New Roman"/>
          <w:color w:val="000000"/>
          <w:sz w:val="24"/>
          <w:szCs w:val="24"/>
        </w:rPr>
        <w:t xml:space="preserve">credit cards, personal loans, </w:t>
      </w:r>
      <w:r w:rsidR="00B917F8" w:rsidRPr="00395738">
        <w:rPr>
          <w:rFonts w:cs="Times New Roman"/>
          <w:color w:val="000000"/>
          <w:sz w:val="24"/>
          <w:szCs w:val="24"/>
        </w:rPr>
        <w:t xml:space="preserve">residential </w:t>
      </w:r>
      <w:r w:rsidRPr="00395738">
        <w:rPr>
          <w:rFonts w:cs="Times New Roman"/>
          <w:color w:val="000000"/>
          <w:sz w:val="24"/>
          <w:szCs w:val="24"/>
        </w:rPr>
        <w:t>mortgage</w:t>
      </w:r>
      <w:r w:rsidR="00B917F8" w:rsidRPr="00395738">
        <w:rPr>
          <w:rFonts w:cs="Times New Roman"/>
          <w:color w:val="000000"/>
          <w:sz w:val="24"/>
          <w:szCs w:val="24"/>
        </w:rPr>
        <w:t>s</w:t>
      </w:r>
      <w:r w:rsidRPr="00395738">
        <w:rPr>
          <w:rFonts w:cs="Times New Roman"/>
          <w:color w:val="000000"/>
          <w:sz w:val="24"/>
          <w:szCs w:val="24"/>
        </w:rPr>
        <w:t>, etc.)</w:t>
      </w:r>
    </w:p>
    <w:p w14:paraId="4BA9921C" w14:textId="3F53559D" w:rsidR="00395809" w:rsidRPr="00395738" w:rsidRDefault="006B7737" w:rsidP="006B7737">
      <w:pPr>
        <w:pStyle w:val="ListParagraph"/>
        <w:numPr>
          <w:ilvl w:val="0"/>
          <w:numId w:val="9"/>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Collection of quantitative data only</w:t>
      </w:r>
      <w:r w:rsidR="00E73A07" w:rsidRPr="00395738">
        <w:rPr>
          <w:rFonts w:cs="Times New Roman"/>
          <w:color w:val="000000"/>
          <w:sz w:val="24"/>
          <w:szCs w:val="24"/>
        </w:rPr>
        <w:t>,</w:t>
      </w:r>
      <w:r w:rsidRPr="00395738">
        <w:rPr>
          <w:rFonts w:cs="Times New Roman"/>
          <w:color w:val="000000"/>
          <w:sz w:val="24"/>
          <w:szCs w:val="24"/>
        </w:rPr>
        <w:t xml:space="preserve"> and no or very little qualitative information</w:t>
      </w:r>
    </w:p>
    <w:p w14:paraId="435721A0" w14:textId="5C8FD36D" w:rsidR="00395809" w:rsidRPr="00395738" w:rsidRDefault="006B7737" w:rsidP="00FD4D18">
      <w:pPr>
        <w:pStyle w:val="ListParagraph"/>
        <w:numPr>
          <w:ilvl w:val="0"/>
          <w:numId w:val="9"/>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D</w:t>
      </w:r>
      <w:r w:rsidR="00395809" w:rsidRPr="00395738">
        <w:rPr>
          <w:rFonts w:cs="Times New Roman"/>
          <w:color w:val="000000"/>
          <w:sz w:val="24"/>
          <w:szCs w:val="24"/>
        </w:rPr>
        <w:t>ata</w:t>
      </w:r>
      <w:r w:rsidRPr="00395738">
        <w:rPr>
          <w:rFonts w:cs="Times New Roman"/>
          <w:color w:val="000000"/>
          <w:sz w:val="24"/>
          <w:szCs w:val="24"/>
        </w:rPr>
        <w:t xml:space="preserve"> structures </w:t>
      </w:r>
      <w:r w:rsidR="00A729F4" w:rsidRPr="00395738">
        <w:rPr>
          <w:rFonts w:cs="Times New Roman"/>
          <w:color w:val="000000"/>
          <w:sz w:val="24"/>
          <w:szCs w:val="24"/>
        </w:rPr>
        <w:t xml:space="preserve">that </w:t>
      </w:r>
      <w:r w:rsidRPr="00395738">
        <w:rPr>
          <w:rFonts w:cs="Times New Roman"/>
          <w:color w:val="000000"/>
          <w:sz w:val="24"/>
          <w:szCs w:val="24"/>
        </w:rPr>
        <w:t>do not</w:t>
      </w:r>
      <w:r w:rsidR="00395809" w:rsidRPr="00395738">
        <w:rPr>
          <w:rFonts w:cs="Times New Roman"/>
          <w:color w:val="000000"/>
          <w:sz w:val="24"/>
          <w:szCs w:val="24"/>
        </w:rPr>
        <w:t xml:space="preserve"> allow</w:t>
      </w:r>
      <w:r w:rsidRPr="00395738">
        <w:rPr>
          <w:rFonts w:cs="Times New Roman"/>
          <w:color w:val="000000"/>
          <w:sz w:val="24"/>
          <w:szCs w:val="24"/>
        </w:rPr>
        <w:t xml:space="preserve"> to link/associate different borrowers that have financial, family, management or other ties amongst themselves</w:t>
      </w:r>
    </w:p>
    <w:p w14:paraId="00B1CEB8" w14:textId="77777777" w:rsidR="00395809" w:rsidRPr="00395738" w:rsidRDefault="006B7737" w:rsidP="006B7737">
      <w:pPr>
        <w:pStyle w:val="ListParagraph"/>
        <w:numPr>
          <w:ilvl w:val="0"/>
          <w:numId w:val="9"/>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Data structures </w:t>
      </w:r>
      <w:r w:rsidR="00A729F4" w:rsidRPr="00395738">
        <w:rPr>
          <w:rFonts w:cs="Times New Roman"/>
          <w:color w:val="000000"/>
          <w:sz w:val="24"/>
          <w:szCs w:val="24"/>
        </w:rPr>
        <w:t xml:space="preserve">that </w:t>
      </w:r>
      <w:r w:rsidRPr="00395738">
        <w:rPr>
          <w:rFonts w:cs="Times New Roman"/>
          <w:color w:val="000000"/>
          <w:sz w:val="24"/>
          <w:szCs w:val="24"/>
        </w:rPr>
        <w:t>do not allow analyzing the bank or other lender o</w:t>
      </w:r>
      <w:r w:rsidR="00395809" w:rsidRPr="00395738">
        <w:rPr>
          <w:rFonts w:cs="Times New Roman"/>
          <w:color w:val="000000"/>
          <w:sz w:val="24"/>
          <w:szCs w:val="24"/>
        </w:rPr>
        <w:t xml:space="preserve">n a consolidated basis with all other relevant </w:t>
      </w:r>
      <w:r w:rsidR="006C6347" w:rsidRPr="00395738">
        <w:rPr>
          <w:rFonts w:cs="Times New Roman"/>
          <w:color w:val="000000"/>
          <w:sz w:val="24"/>
          <w:szCs w:val="24"/>
        </w:rPr>
        <w:t xml:space="preserve">financial (and/or non-financial) </w:t>
      </w:r>
      <w:r w:rsidR="00395809" w:rsidRPr="00395738">
        <w:rPr>
          <w:rFonts w:cs="Times New Roman"/>
          <w:color w:val="000000"/>
          <w:sz w:val="24"/>
          <w:szCs w:val="24"/>
        </w:rPr>
        <w:t>subsidiaries</w:t>
      </w:r>
      <w:r w:rsidRPr="00395738">
        <w:rPr>
          <w:rFonts w:cs="Times New Roman"/>
          <w:color w:val="000000"/>
          <w:sz w:val="24"/>
          <w:szCs w:val="24"/>
        </w:rPr>
        <w:t>, branches, holding company structures, etc.</w:t>
      </w:r>
    </w:p>
    <w:p w14:paraId="40542948" w14:textId="4C353F2B" w:rsidR="00304E11" w:rsidRPr="00395738" w:rsidRDefault="00624A59" w:rsidP="00402946">
      <w:pPr>
        <w:pStyle w:val="ListParagraph"/>
        <w:numPr>
          <w:ilvl w:val="0"/>
          <w:numId w:val="1"/>
        </w:numPr>
        <w:autoSpaceDE w:val="0"/>
        <w:autoSpaceDN w:val="0"/>
        <w:adjustRightInd w:val="0"/>
        <w:spacing w:after="240" w:line="360" w:lineRule="auto"/>
        <w:contextualSpacing w:val="0"/>
        <w:jc w:val="both"/>
        <w:rPr>
          <w:rFonts w:cs="Times New Roman"/>
          <w:bCs/>
          <w:color w:val="000000"/>
          <w:sz w:val="24"/>
          <w:szCs w:val="24"/>
        </w:rPr>
      </w:pPr>
      <w:r w:rsidRPr="00395738">
        <w:rPr>
          <w:rFonts w:cs="Times New Roman"/>
          <w:color w:val="000000"/>
          <w:sz w:val="24"/>
          <w:szCs w:val="24"/>
        </w:rPr>
        <w:t>As earlier discussed</w:t>
      </w:r>
      <w:r w:rsidR="00B31184" w:rsidRPr="00395738">
        <w:rPr>
          <w:rFonts w:cs="Times New Roman"/>
          <w:color w:val="000000"/>
          <w:sz w:val="24"/>
          <w:szCs w:val="24"/>
        </w:rPr>
        <w:t xml:space="preserve">, </w:t>
      </w:r>
      <w:r w:rsidR="00BD2E92" w:rsidRPr="00395738">
        <w:rPr>
          <w:rFonts w:cs="Times New Roman"/>
          <w:color w:val="000000"/>
          <w:sz w:val="24"/>
          <w:szCs w:val="24"/>
        </w:rPr>
        <w:t xml:space="preserve">credit data in </w:t>
      </w:r>
      <w:r w:rsidR="00B31184" w:rsidRPr="00395738">
        <w:rPr>
          <w:rFonts w:cs="Times New Roman"/>
          <w:color w:val="000000"/>
          <w:sz w:val="24"/>
          <w:szCs w:val="24"/>
        </w:rPr>
        <w:t>C</w:t>
      </w:r>
      <w:r w:rsidR="00304E11" w:rsidRPr="00395738">
        <w:rPr>
          <w:rFonts w:cs="Times New Roman"/>
          <w:color w:val="000000"/>
          <w:sz w:val="24"/>
          <w:szCs w:val="24"/>
        </w:rPr>
        <w:t>B</w:t>
      </w:r>
      <w:r w:rsidR="00A729F4" w:rsidRPr="00395738">
        <w:rPr>
          <w:rFonts w:cs="Times New Roman"/>
          <w:color w:val="000000"/>
          <w:sz w:val="24"/>
          <w:szCs w:val="24"/>
        </w:rPr>
        <w:t>s</w:t>
      </w:r>
      <w:r w:rsidR="00304E11" w:rsidRPr="00395738">
        <w:rPr>
          <w:rFonts w:cs="Times New Roman"/>
          <w:color w:val="000000"/>
          <w:sz w:val="24"/>
          <w:szCs w:val="24"/>
        </w:rPr>
        <w:t xml:space="preserve"> and CCRC</w:t>
      </w:r>
      <w:r w:rsidR="00A729F4" w:rsidRPr="00395738">
        <w:rPr>
          <w:rFonts w:cs="Times New Roman"/>
          <w:color w:val="000000"/>
          <w:sz w:val="24"/>
          <w:szCs w:val="24"/>
        </w:rPr>
        <w:t>s</w:t>
      </w:r>
      <w:r w:rsidR="00B31184" w:rsidRPr="00395738">
        <w:rPr>
          <w:rFonts w:cs="Times New Roman"/>
          <w:color w:val="000000"/>
          <w:sz w:val="24"/>
          <w:szCs w:val="24"/>
        </w:rPr>
        <w:t xml:space="preserve"> </w:t>
      </w:r>
      <w:r w:rsidR="00304E11" w:rsidRPr="00395738">
        <w:rPr>
          <w:rFonts w:cs="Times New Roman"/>
          <w:color w:val="000000"/>
          <w:sz w:val="24"/>
          <w:szCs w:val="24"/>
        </w:rPr>
        <w:t>can be used as a complement</w:t>
      </w:r>
      <w:r w:rsidR="00B31184" w:rsidRPr="00395738">
        <w:rPr>
          <w:rFonts w:cs="Times New Roman"/>
          <w:color w:val="000000"/>
          <w:sz w:val="24"/>
          <w:szCs w:val="24"/>
        </w:rPr>
        <w:t xml:space="preserve"> to CRs or other credit databases operated by central bank/supervisors. </w:t>
      </w:r>
      <w:r w:rsidR="00D642BC" w:rsidRPr="00395738">
        <w:rPr>
          <w:rFonts w:cs="Times New Roman"/>
          <w:color w:val="000000"/>
          <w:sz w:val="24"/>
          <w:szCs w:val="24"/>
        </w:rPr>
        <w:t>As is the case</w:t>
      </w:r>
      <w:r w:rsidR="00BD2E92" w:rsidRPr="00395738">
        <w:rPr>
          <w:rFonts w:cs="Times New Roman"/>
          <w:color w:val="000000"/>
          <w:sz w:val="24"/>
          <w:szCs w:val="24"/>
        </w:rPr>
        <w:t xml:space="preserve"> with CRs, however, </w:t>
      </w:r>
      <w:r w:rsidR="007A1DAB" w:rsidRPr="00395738">
        <w:rPr>
          <w:rFonts w:cs="Times New Roman"/>
          <w:color w:val="000000"/>
          <w:sz w:val="24"/>
          <w:szCs w:val="24"/>
        </w:rPr>
        <w:t xml:space="preserve">the </w:t>
      </w:r>
      <w:r w:rsidR="00BD2E92" w:rsidRPr="00395738">
        <w:rPr>
          <w:rFonts w:cs="Times New Roman"/>
          <w:color w:val="000000"/>
          <w:sz w:val="24"/>
          <w:szCs w:val="24"/>
        </w:rPr>
        <w:t xml:space="preserve">usefulness of </w:t>
      </w:r>
      <w:r w:rsidR="007A1DAB" w:rsidRPr="00395738">
        <w:rPr>
          <w:rFonts w:cs="Times New Roman"/>
          <w:color w:val="000000"/>
          <w:sz w:val="24"/>
          <w:szCs w:val="24"/>
        </w:rPr>
        <w:t>d</w:t>
      </w:r>
      <w:r w:rsidR="00BD2E92" w:rsidRPr="00395738">
        <w:rPr>
          <w:rFonts w:cs="Times New Roman"/>
          <w:color w:val="000000"/>
          <w:sz w:val="24"/>
          <w:szCs w:val="24"/>
        </w:rPr>
        <w:t xml:space="preserve">ata </w:t>
      </w:r>
      <w:r w:rsidR="007A1DAB" w:rsidRPr="00395738">
        <w:rPr>
          <w:rFonts w:cs="Times New Roman"/>
          <w:color w:val="000000"/>
          <w:sz w:val="24"/>
          <w:szCs w:val="24"/>
        </w:rPr>
        <w:t xml:space="preserve">in CBs and CCRCs </w:t>
      </w:r>
      <w:r w:rsidR="004E7AB4" w:rsidRPr="00395738">
        <w:rPr>
          <w:rFonts w:cs="Times New Roman"/>
          <w:color w:val="000000"/>
          <w:sz w:val="24"/>
          <w:szCs w:val="24"/>
        </w:rPr>
        <w:t xml:space="preserve">for supervisory and regulatory purposes </w:t>
      </w:r>
      <w:r w:rsidR="00BD2E92" w:rsidRPr="00395738">
        <w:rPr>
          <w:rFonts w:cs="Times New Roman"/>
          <w:color w:val="000000"/>
          <w:sz w:val="24"/>
          <w:szCs w:val="24"/>
        </w:rPr>
        <w:lastRenderedPageBreak/>
        <w:t>may be limited due to data quality</w:t>
      </w:r>
      <w:r w:rsidR="00C132A6" w:rsidRPr="00395738">
        <w:rPr>
          <w:rFonts w:cs="Times New Roman"/>
          <w:color w:val="000000"/>
          <w:sz w:val="24"/>
          <w:szCs w:val="24"/>
        </w:rPr>
        <w:t xml:space="preserve"> (e.g., see paragraph 21)</w:t>
      </w:r>
      <w:r w:rsidR="007838FA" w:rsidRPr="00395738">
        <w:rPr>
          <w:rFonts w:cs="Times New Roman"/>
          <w:color w:val="000000"/>
          <w:sz w:val="24"/>
          <w:szCs w:val="24"/>
        </w:rPr>
        <w:t>,</w:t>
      </w:r>
      <w:r w:rsidR="008B5372" w:rsidRPr="00395738">
        <w:rPr>
          <w:rFonts w:cs="Times New Roman"/>
          <w:color w:val="000000"/>
          <w:sz w:val="24"/>
          <w:szCs w:val="24"/>
        </w:rPr>
        <w:t xml:space="preserve"> </w:t>
      </w:r>
      <w:r w:rsidR="00D642BC" w:rsidRPr="00395738">
        <w:rPr>
          <w:rFonts w:cs="Times New Roman"/>
          <w:color w:val="000000"/>
          <w:sz w:val="24"/>
          <w:szCs w:val="24"/>
        </w:rPr>
        <w:t xml:space="preserve">due to </w:t>
      </w:r>
      <w:r w:rsidR="007838FA" w:rsidRPr="00395738">
        <w:rPr>
          <w:rFonts w:cs="Times New Roman"/>
          <w:color w:val="000000"/>
          <w:sz w:val="24"/>
          <w:szCs w:val="24"/>
        </w:rPr>
        <w:t xml:space="preserve">a data structure </w:t>
      </w:r>
      <w:r w:rsidR="00D642BC" w:rsidRPr="00395738">
        <w:rPr>
          <w:rFonts w:cs="Times New Roman"/>
          <w:color w:val="000000"/>
          <w:sz w:val="24"/>
          <w:szCs w:val="24"/>
        </w:rPr>
        <w:t xml:space="preserve">that is more applicable to private </w:t>
      </w:r>
      <w:r w:rsidR="007838FA" w:rsidRPr="00395738">
        <w:rPr>
          <w:rFonts w:cs="Times New Roman"/>
          <w:color w:val="000000"/>
          <w:sz w:val="24"/>
          <w:szCs w:val="24"/>
        </w:rPr>
        <w:t>sector user needs</w:t>
      </w:r>
      <w:r w:rsidR="00C04114" w:rsidRPr="00395738">
        <w:rPr>
          <w:rFonts w:cs="Times New Roman"/>
          <w:color w:val="000000"/>
          <w:sz w:val="24"/>
          <w:szCs w:val="24"/>
        </w:rPr>
        <w:t>, or other issues</w:t>
      </w:r>
      <w:r w:rsidR="00BD2E92" w:rsidRPr="00395738">
        <w:rPr>
          <w:rFonts w:cs="Times New Roman"/>
          <w:color w:val="000000"/>
          <w:sz w:val="24"/>
          <w:szCs w:val="24"/>
        </w:rPr>
        <w:t xml:space="preserve">. </w:t>
      </w:r>
      <w:r w:rsidR="004E7AB4" w:rsidRPr="00395738">
        <w:rPr>
          <w:rFonts w:cs="Times New Roman"/>
          <w:color w:val="000000"/>
          <w:sz w:val="24"/>
          <w:szCs w:val="24"/>
        </w:rPr>
        <w:t xml:space="preserve">In this regard, </w:t>
      </w:r>
      <w:r w:rsidR="00BD2E92" w:rsidRPr="00395738">
        <w:rPr>
          <w:rFonts w:cs="Times New Roman"/>
          <w:color w:val="000000"/>
          <w:sz w:val="24"/>
          <w:szCs w:val="24"/>
        </w:rPr>
        <w:t xml:space="preserve">one of the most relevant limitations arises when </w:t>
      </w:r>
      <w:r w:rsidR="00304E11" w:rsidRPr="00395738">
        <w:rPr>
          <w:rFonts w:cs="Times New Roman"/>
          <w:color w:val="000000"/>
          <w:sz w:val="24"/>
          <w:szCs w:val="24"/>
        </w:rPr>
        <w:t>C</w:t>
      </w:r>
      <w:r w:rsidR="00972859" w:rsidRPr="00395738">
        <w:rPr>
          <w:rFonts w:cs="Times New Roman"/>
          <w:color w:val="000000"/>
          <w:sz w:val="24"/>
          <w:szCs w:val="24"/>
        </w:rPr>
        <w:t>B</w:t>
      </w:r>
      <w:r w:rsidR="00304E11" w:rsidRPr="00395738">
        <w:rPr>
          <w:rFonts w:cs="Times New Roman"/>
          <w:color w:val="000000"/>
          <w:sz w:val="24"/>
          <w:szCs w:val="24"/>
        </w:rPr>
        <w:t xml:space="preserve">s and/or CCRCs in </w:t>
      </w:r>
      <w:r w:rsidR="00BD2E92" w:rsidRPr="00395738">
        <w:rPr>
          <w:rFonts w:cs="Times New Roman"/>
          <w:color w:val="000000"/>
          <w:sz w:val="24"/>
          <w:szCs w:val="24"/>
        </w:rPr>
        <w:t xml:space="preserve">a given jurisdiction do not </w:t>
      </w:r>
      <w:r w:rsidR="00304E11" w:rsidRPr="00395738">
        <w:rPr>
          <w:rFonts w:cs="Times New Roman"/>
          <w:color w:val="000000"/>
          <w:sz w:val="24"/>
          <w:szCs w:val="24"/>
        </w:rPr>
        <w:t xml:space="preserve">collect </w:t>
      </w:r>
      <w:r w:rsidR="00BD2E92" w:rsidRPr="00395738">
        <w:rPr>
          <w:rFonts w:cs="Times New Roman"/>
          <w:color w:val="000000"/>
          <w:sz w:val="24"/>
          <w:szCs w:val="24"/>
        </w:rPr>
        <w:t xml:space="preserve">any </w:t>
      </w:r>
      <w:r w:rsidR="00304E11" w:rsidRPr="00395738">
        <w:rPr>
          <w:rFonts w:cs="Times New Roman"/>
          <w:color w:val="000000"/>
          <w:sz w:val="24"/>
          <w:szCs w:val="24"/>
        </w:rPr>
        <w:t>positive credit data</w:t>
      </w:r>
      <w:r w:rsidR="00BD2E92" w:rsidRPr="00395738">
        <w:rPr>
          <w:rFonts w:cs="Times New Roman"/>
          <w:color w:val="000000"/>
          <w:sz w:val="24"/>
          <w:szCs w:val="24"/>
        </w:rPr>
        <w:t>, or when these CRSPs only collect a limited number of variables or a limited set of attributes of the relevant variables</w:t>
      </w:r>
      <w:r w:rsidR="00436810" w:rsidRPr="00395738">
        <w:rPr>
          <w:rFonts w:cs="Times New Roman"/>
          <w:bCs/>
          <w:color w:val="000000"/>
          <w:sz w:val="24"/>
          <w:szCs w:val="24"/>
        </w:rPr>
        <w:t>.</w:t>
      </w:r>
      <w:r w:rsidR="001D1645" w:rsidRPr="00395738">
        <w:rPr>
          <w:rStyle w:val="FootnoteReference"/>
          <w:rFonts w:cs="Times New Roman"/>
          <w:bCs/>
          <w:color w:val="000000"/>
          <w:sz w:val="24"/>
          <w:szCs w:val="24"/>
        </w:rPr>
        <w:footnoteReference w:id="38"/>
      </w:r>
      <w:r w:rsidR="00F97970" w:rsidRPr="00395738">
        <w:rPr>
          <w:rFonts w:cs="Times New Roman"/>
          <w:bCs/>
          <w:color w:val="000000"/>
          <w:sz w:val="24"/>
          <w:szCs w:val="24"/>
        </w:rPr>
        <w:t xml:space="preserve"> Moreover, in some countries credit data may be fragmented across several CBs or CCRCs, which </w:t>
      </w:r>
      <w:r w:rsidR="00C04114" w:rsidRPr="00395738">
        <w:rPr>
          <w:rFonts w:cs="Times New Roman"/>
          <w:bCs/>
          <w:color w:val="000000"/>
          <w:sz w:val="24"/>
          <w:szCs w:val="24"/>
        </w:rPr>
        <w:t xml:space="preserve">in addition </w:t>
      </w:r>
      <w:r w:rsidR="00F97970" w:rsidRPr="00395738">
        <w:rPr>
          <w:rFonts w:cs="Times New Roman"/>
          <w:bCs/>
          <w:color w:val="000000"/>
          <w:sz w:val="24"/>
          <w:szCs w:val="24"/>
        </w:rPr>
        <w:t xml:space="preserve">may have quite different quality standards. </w:t>
      </w:r>
    </w:p>
    <w:p w14:paraId="455F38A7" w14:textId="30ED9107" w:rsidR="00C155DF" w:rsidRPr="00395738" w:rsidRDefault="004E7AB4" w:rsidP="00C94698">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bCs/>
          <w:color w:val="000000"/>
          <w:sz w:val="24"/>
          <w:szCs w:val="24"/>
        </w:rPr>
        <w:t xml:space="preserve">Even if a large amount and variety of credit data is collected, </w:t>
      </w:r>
      <w:r w:rsidR="00D642BC" w:rsidRPr="00395738">
        <w:rPr>
          <w:rFonts w:cs="Times New Roman"/>
          <w:bCs/>
          <w:color w:val="000000"/>
          <w:sz w:val="24"/>
          <w:szCs w:val="24"/>
        </w:rPr>
        <w:t xml:space="preserve">in some cases </w:t>
      </w:r>
      <w:r w:rsidRPr="00395738">
        <w:rPr>
          <w:rFonts w:cs="Times New Roman"/>
          <w:bCs/>
          <w:color w:val="000000"/>
          <w:sz w:val="24"/>
          <w:szCs w:val="24"/>
        </w:rPr>
        <w:t xml:space="preserve">such data could be unreliable and therefore of little use for supervisors. </w:t>
      </w:r>
      <w:r w:rsidR="00C155DF" w:rsidRPr="00395738">
        <w:rPr>
          <w:rFonts w:cs="Times New Roman"/>
          <w:bCs/>
          <w:color w:val="000000"/>
          <w:sz w:val="24"/>
          <w:szCs w:val="24"/>
        </w:rPr>
        <w:t xml:space="preserve">This may happen </w:t>
      </w:r>
      <w:r w:rsidRPr="00395738">
        <w:rPr>
          <w:rFonts w:cs="Times New Roman"/>
          <w:bCs/>
          <w:color w:val="000000"/>
          <w:sz w:val="24"/>
          <w:szCs w:val="24"/>
        </w:rPr>
        <w:t xml:space="preserve">when there are no mechanisms in place to incentivize or otherwise make sure that data providers are </w:t>
      </w:r>
      <w:r w:rsidR="00C155DF" w:rsidRPr="00395738">
        <w:rPr>
          <w:rFonts w:cs="Times New Roman"/>
          <w:bCs/>
          <w:color w:val="000000"/>
          <w:sz w:val="24"/>
          <w:szCs w:val="24"/>
        </w:rPr>
        <w:t xml:space="preserve">putting </w:t>
      </w:r>
      <w:r w:rsidRPr="00395738">
        <w:rPr>
          <w:rFonts w:cs="Times New Roman"/>
          <w:bCs/>
          <w:color w:val="000000"/>
          <w:sz w:val="24"/>
          <w:szCs w:val="24"/>
        </w:rPr>
        <w:t xml:space="preserve">the necessary care </w:t>
      </w:r>
      <w:r w:rsidR="00C155DF" w:rsidRPr="00395738">
        <w:rPr>
          <w:rFonts w:cs="Times New Roman"/>
          <w:bCs/>
          <w:color w:val="000000"/>
          <w:sz w:val="24"/>
          <w:szCs w:val="24"/>
        </w:rPr>
        <w:t xml:space="preserve">and resources </w:t>
      </w:r>
      <w:r w:rsidRPr="00395738">
        <w:rPr>
          <w:rFonts w:cs="Times New Roman"/>
          <w:bCs/>
          <w:color w:val="000000"/>
          <w:sz w:val="24"/>
          <w:szCs w:val="24"/>
        </w:rPr>
        <w:t>in preparing the data to be reported to C</w:t>
      </w:r>
      <w:r w:rsidR="009030E8" w:rsidRPr="00395738">
        <w:rPr>
          <w:rFonts w:cs="Times New Roman"/>
          <w:bCs/>
          <w:color w:val="000000"/>
          <w:sz w:val="24"/>
          <w:szCs w:val="24"/>
        </w:rPr>
        <w:t>Rs, C</w:t>
      </w:r>
      <w:r w:rsidR="00105778" w:rsidRPr="00395738">
        <w:rPr>
          <w:rFonts w:cs="Times New Roman"/>
          <w:bCs/>
          <w:color w:val="000000"/>
          <w:sz w:val="24"/>
          <w:szCs w:val="24"/>
        </w:rPr>
        <w:t>Bs and CCRCs.</w:t>
      </w:r>
      <w:r w:rsidR="00105778" w:rsidRPr="00395738">
        <w:rPr>
          <w:rStyle w:val="FootnoteReference"/>
          <w:rFonts w:cs="Times New Roman"/>
          <w:bCs/>
          <w:color w:val="000000"/>
          <w:sz w:val="24"/>
          <w:szCs w:val="24"/>
        </w:rPr>
        <w:footnoteReference w:id="39"/>
      </w:r>
    </w:p>
    <w:p w14:paraId="516F6F8C" w14:textId="2FE16E41" w:rsidR="00615803" w:rsidRPr="00395738" w:rsidRDefault="00C155DF" w:rsidP="007474FD">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bCs/>
          <w:color w:val="000000"/>
          <w:sz w:val="24"/>
          <w:szCs w:val="24"/>
        </w:rPr>
        <w:t xml:space="preserve">One </w:t>
      </w:r>
      <w:r w:rsidR="00A849B1" w:rsidRPr="00395738">
        <w:rPr>
          <w:rFonts w:cs="Times New Roman"/>
          <w:bCs/>
          <w:color w:val="000000"/>
          <w:sz w:val="24"/>
          <w:szCs w:val="24"/>
        </w:rPr>
        <w:t xml:space="preserve">relevant </w:t>
      </w:r>
      <w:r w:rsidRPr="00395738">
        <w:rPr>
          <w:rFonts w:cs="Times New Roman"/>
          <w:bCs/>
          <w:color w:val="000000"/>
          <w:sz w:val="24"/>
          <w:szCs w:val="24"/>
        </w:rPr>
        <w:t xml:space="preserve">example </w:t>
      </w:r>
      <w:r w:rsidR="00A849B1" w:rsidRPr="00395738">
        <w:rPr>
          <w:rFonts w:cs="Times New Roman"/>
          <w:bCs/>
          <w:color w:val="000000"/>
          <w:sz w:val="24"/>
          <w:szCs w:val="24"/>
        </w:rPr>
        <w:t xml:space="preserve">of the potential unreliability of reported credit data </w:t>
      </w:r>
      <w:r w:rsidRPr="00395738">
        <w:rPr>
          <w:rFonts w:cs="Times New Roman"/>
          <w:bCs/>
          <w:color w:val="000000"/>
          <w:sz w:val="24"/>
          <w:szCs w:val="24"/>
        </w:rPr>
        <w:t xml:space="preserve">is when </w:t>
      </w:r>
      <w:r w:rsidR="00A849B1" w:rsidRPr="00395738">
        <w:rPr>
          <w:rFonts w:cs="Times New Roman"/>
          <w:bCs/>
          <w:color w:val="000000"/>
          <w:sz w:val="24"/>
          <w:szCs w:val="24"/>
        </w:rPr>
        <w:t xml:space="preserve">such </w:t>
      </w:r>
      <w:r w:rsidRPr="00395738">
        <w:rPr>
          <w:rFonts w:cs="Times New Roman"/>
          <w:bCs/>
          <w:color w:val="000000"/>
          <w:sz w:val="24"/>
          <w:szCs w:val="24"/>
        </w:rPr>
        <w:t>data is not updated frequently</w:t>
      </w:r>
      <w:r w:rsidR="00A849B1" w:rsidRPr="00395738">
        <w:rPr>
          <w:rFonts w:cs="Times New Roman"/>
          <w:bCs/>
          <w:color w:val="000000"/>
          <w:sz w:val="24"/>
          <w:szCs w:val="24"/>
        </w:rPr>
        <w:t xml:space="preserve">. Several of the modern </w:t>
      </w:r>
      <w:r w:rsidRPr="00395738">
        <w:rPr>
          <w:rFonts w:cs="Times New Roman"/>
          <w:bCs/>
          <w:color w:val="000000"/>
          <w:sz w:val="24"/>
          <w:szCs w:val="24"/>
        </w:rPr>
        <w:t xml:space="preserve">analytical techniques </w:t>
      </w:r>
      <w:r w:rsidR="00A849B1" w:rsidRPr="00395738">
        <w:rPr>
          <w:rFonts w:cs="Times New Roman"/>
          <w:bCs/>
          <w:color w:val="000000"/>
          <w:sz w:val="24"/>
          <w:szCs w:val="24"/>
        </w:rPr>
        <w:t xml:space="preserve">and other practices used by supervisors and other financial authorities </w:t>
      </w:r>
      <w:r w:rsidRPr="00395738">
        <w:rPr>
          <w:rFonts w:cs="Times New Roman"/>
          <w:bCs/>
          <w:color w:val="000000"/>
          <w:sz w:val="24"/>
          <w:szCs w:val="24"/>
        </w:rPr>
        <w:t>require very frequent</w:t>
      </w:r>
      <w:r w:rsidR="00A849B1" w:rsidRPr="00395738">
        <w:rPr>
          <w:rFonts w:cs="Times New Roman"/>
          <w:bCs/>
          <w:color w:val="000000"/>
          <w:sz w:val="24"/>
          <w:szCs w:val="24"/>
        </w:rPr>
        <w:t xml:space="preserve"> updates of data. </w:t>
      </w:r>
      <w:r w:rsidR="00615803" w:rsidRPr="00395738">
        <w:rPr>
          <w:rFonts w:cs="Times New Roman"/>
          <w:bCs/>
          <w:color w:val="000000"/>
          <w:sz w:val="24"/>
          <w:szCs w:val="24"/>
        </w:rPr>
        <w:t>Apart from the possibility that data updates by data providers may not be provided as frequently as needed by the authorities, it may also be that CRSPs do not have the capability to process in a timely enough manner all the data, including the updates that they receive.</w:t>
      </w:r>
    </w:p>
    <w:p w14:paraId="2986006B" w14:textId="6F78D4B2" w:rsidR="00D642BC" w:rsidRPr="00395738" w:rsidRDefault="00D642BC" w:rsidP="00D642BC">
      <w:pPr>
        <w:pStyle w:val="ListParagraph"/>
        <w:numPr>
          <w:ilvl w:val="0"/>
          <w:numId w:val="1"/>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 xml:space="preserve">Up to this point, the discussion of supervisory data needs has been centered on the loan portfolio, whereas banks and other financial institutions are also exposed to credit risks through their securities portfolio as well as through credit derivatives, foreign exchange activity, cash management services and several other products, activities and services. Data on these other portfolios, products and activities has not been traditionally collected </w:t>
      </w:r>
      <w:r w:rsidRPr="00395738">
        <w:rPr>
          <w:rFonts w:cs="Times New Roman"/>
          <w:color w:val="000000"/>
          <w:sz w:val="24"/>
          <w:szCs w:val="24"/>
        </w:rPr>
        <w:lastRenderedPageBreak/>
        <w:t>by CRs,</w:t>
      </w:r>
      <w:r w:rsidRPr="00395738">
        <w:rPr>
          <w:rStyle w:val="FootnoteReference"/>
          <w:rFonts w:cs="Times New Roman"/>
          <w:color w:val="000000"/>
          <w:sz w:val="24"/>
          <w:szCs w:val="24"/>
        </w:rPr>
        <w:footnoteReference w:id="40"/>
      </w:r>
      <w:r w:rsidRPr="00395738">
        <w:rPr>
          <w:rFonts w:cs="Times New Roman"/>
          <w:color w:val="000000"/>
          <w:sz w:val="24"/>
          <w:szCs w:val="24"/>
        </w:rPr>
        <w:t xml:space="preserve"> CBs or CCRCs, although some CRs are currently undergoing a modernization effort with this specific purpose in mind.</w:t>
      </w:r>
      <w:r w:rsidRPr="00395738">
        <w:rPr>
          <w:rStyle w:val="FootnoteReference"/>
          <w:rFonts w:cs="Times New Roman"/>
          <w:color w:val="000000"/>
          <w:sz w:val="24"/>
          <w:szCs w:val="24"/>
        </w:rPr>
        <w:footnoteReference w:id="41"/>
      </w:r>
      <w:r w:rsidRPr="00395738">
        <w:rPr>
          <w:rFonts w:cs="Times New Roman"/>
          <w:color w:val="000000"/>
          <w:sz w:val="24"/>
          <w:szCs w:val="24"/>
        </w:rPr>
        <w:t xml:space="preserve"> </w:t>
      </w:r>
    </w:p>
    <w:p w14:paraId="39D1D892" w14:textId="77777777" w:rsidR="007B68F4" w:rsidRPr="00395738" w:rsidRDefault="00267338" w:rsidP="00267338">
      <w:pPr>
        <w:pStyle w:val="Subtitle"/>
        <w:spacing w:before="480" w:after="240"/>
        <w:rPr>
          <w:rFonts w:asciiTheme="minorHAnsi" w:hAnsiTheme="minorHAnsi"/>
        </w:rPr>
      </w:pPr>
      <w:r w:rsidRPr="00395738">
        <w:rPr>
          <w:rFonts w:asciiTheme="minorHAnsi" w:hAnsiTheme="minorHAnsi"/>
        </w:rPr>
        <w:t>III.4 Typical problems that micro-prudential supervisors face with regard to being able to effectively use credit data in CR</w:t>
      </w:r>
      <w:r w:rsidR="00217808" w:rsidRPr="00395738">
        <w:rPr>
          <w:rFonts w:asciiTheme="minorHAnsi" w:hAnsiTheme="minorHAnsi"/>
        </w:rPr>
        <w:t>SP</w:t>
      </w:r>
      <w:r w:rsidRPr="00395738">
        <w:rPr>
          <w:rFonts w:asciiTheme="minorHAnsi" w:hAnsiTheme="minorHAnsi"/>
        </w:rPr>
        <w:t>s</w:t>
      </w:r>
    </w:p>
    <w:p w14:paraId="426E1F9F" w14:textId="271171A3" w:rsidR="00B3612F" w:rsidRPr="00395738" w:rsidRDefault="00B82305" w:rsidP="0087025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Even if all the credit data that supervisors require for their analyses of the loan portfolio were </w:t>
      </w:r>
      <w:r w:rsidR="00060686" w:rsidRPr="00395738">
        <w:rPr>
          <w:rFonts w:cs="Times New Roman"/>
          <w:color w:val="000000"/>
          <w:sz w:val="24"/>
          <w:szCs w:val="24"/>
        </w:rPr>
        <w:t xml:space="preserve">readily </w:t>
      </w:r>
      <w:r w:rsidRPr="00395738">
        <w:rPr>
          <w:rFonts w:cs="Times New Roman"/>
          <w:color w:val="000000"/>
          <w:sz w:val="24"/>
          <w:szCs w:val="24"/>
        </w:rPr>
        <w:t xml:space="preserve">available at CRs, CBs and/or CCRCs, supervisors may still face </w:t>
      </w:r>
      <w:r w:rsidR="000D40B0" w:rsidRPr="00395738">
        <w:rPr>
          <w:rFonts w:cs="Times New Roman"/>
          <w:color w:val="000000"/>
          <w:sz w:val="24"/>
          <w:szCs w:val="24"/>
        </w:rPr>
        <w:t xml:space="preserve">issues and </w:t>
      </w:r>
      <w:r w:rsidRPr="00395738">
        <w:rPr>
          <w:rFonts w:cs="Times New Roman"/>
          <w:color w:val="000000"/>
          <w:sz w:val="24"/>
          <w:szCs w:val="24"/>
        </w:rPr>
        <w:t xml:space="preserve">challenges in </w:t>
      </w:r>
      <w:r w:rsidRPr="00395738">
        <w:rPr>
          <w:rFonts w:cs="Times New Roman"/>
          <w:i/>
          <w:color w:val="000000"/>
          <w:sz w:val="24"/>
          <w:szCs w:val="24"/>
        </w:rPr>
        <w:t>using such data effectively</w:t>
      </w:r>
      <w:r w:rsidRPr="00395738">
        <w:rPr>
          <w:rFonts w:cs="Times New Roman"/>
          <w:color w:val="000000"/>
          <w:sz w:val="24"/>
          <w:szCs w:val="24"/>
        </w:rPr>
        <w:t xml:space="preserve">. </w:t>
      </w:r>
    </w:p>
    <w:p w14:paraId="774BAC43" w14:textId="77777777" w:rsidR="00D73C52" w:rsidRPr="00395738" w:rsidRDefault="000D40B0" w:rsidP="008C6C26">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A common obstacle for </w:t>
      </w:r>
      <w:r w:rsidR="006A4F18" w:rsidRPr="00395738">
        <w:rPr>
          <w:rFonts w:cs="Times New Roman"/>
          <w:color w:val="000000"/>
          <w:sz w:val="24"/>
          <w:szCs w:val="24"/>
        </w:rPr>
        <w:t xml:space="preserve">the </w:t>
      </w:r>
      <w:r w:rsidRPr="00395738">
        <w:rPr>
          <w:rFonts w:cs="Times New Roman"/>
          <w:color w:val="000000"/>
          <w:sz w:val="24"/>
          <w:szCs w:val="24"/>
        </w:rPr>
        <w:t>usage of the available data is the existence of l</w:t>
      </w:r>
      <w:r w:rsidR="00B82305" w:rsidRPr="00395738">
        <w:rPr>
          <w:rFonts w:cs="Times New Roman"/>
          <w:color w:val="000000"/>
          <w:sz w:val="24"/>
          <w:szCs w:val="24"/>
        </w:rPr>
        <w:t xml:space="preserve">egal impediments </w:t>
      </w:r>
      <w:r w:rsidRPr="00395738">
        <w:rPr>
          <w:rFonts w:cs="Times New Roman"/>
          <w:color w:val="000000"/>
          <w:sz w:val="24"/>
          <w:szCs w:val="24"/>
        </w:rPr>
        <w:t xml:space="preserve">for </w:t>
      </w:r>
      <w:r w:rsidR="00B82305" w:rsidRPr="00395738">
        <w:rPr>
          <w:rFonts w:cs="Times New Roman"/>
          <w:color w:val="000000"/>
          <w:sz w:val="24"/>
          <w:szCs w:val="24"/>
        </w:rPr>
        <w:t xml:space="preserve">supervisors to </w:t>
      </w:r>
      <w:r w:rsidR="008C30C5" w:rsidRPr="00395738">
        <w:rPr>
          <w:rFonts w:cs="Times New Roman"/>
          <w:color w:val="000000"/>
          <w:sz w:val="24"/>
          <w:szCs w:val="24"/>
        </w:rPr>
        <w:t xml:space="preserve">be able to </w:t>
      </w:r>
      <w:r w:rsidR="00B82305" w:rsidRPr="00395738">
        <w:rPr>
          <w:rFonts w:cs="Times New Roman"/>
          <w:color w:val="000000"/>
          <w:sz w:val="24"/>
          <w:szCs w:val="24"/>
        </w:rPr>
        <w:t xml:space="preserve">obtain </w:t>
      </w:r>
      <w:r w:rsidRPr="00395738">
        <w:rPr>
          <w:rFonts w:cs="Times New Roman"/>
          <w:color w:val="000000"/>
          <w:sz w:val="24"/>
          <w:szCs w:val="24"/>
        </w:rPr>
        <w:t xml:space="preserve">all the </w:t>
      </w:r>
      <w:r w:rsidR="00B82305" w:rsidRPr="00395738">
        <w:rPr>
          <w:rFonts w:cs="Times New Roman"/>
          <w:color w:val="000000"/>
          <w:sz w:val="24"/>
          <w:szCs w:val="24"/>
        </w:rPr>
        <w:t xml:space="preserve">data </w:t>
      </w:r>
      <w:r w:rsidRPr="00395738">
        <w:rPr>
          <w:rFonts w:cs="Times New Roman"/>
          <w:color w:val="000000"/>
          <w:sz w:val="24"/>
          <w:szCs w:val="24"/>
        </w:rPr>
        <w:t xml:space="preserve">they need </w:t>
      </w:r>
      <w:r w:rsidR="00B82305" w:rsidRPr="00395738">
        <w:rPr>
          <w:rFonts w:cs="Times New Roman"/>
          <w:color w:val="000000"/>
          <w:sz w:val="24"/>
          <w:szCs w:val="24"/>
        </w:rPr>
        <w:t>from C</w:t>
      </w:r>
      <w:r w:rsidR="00060686" w:rsidRPr="00395738">
        <w:rPr>
          <w:rFonts w:cs="Times New Roman"/>
          <w:color w:val="000000"/>
          <w:sz w:val="24"/>
          <w:szCs w:val="24"/>
        </w:rPr>
        <w:t xml:space="preserve">RSPs. </w:t>
      </w:r>
      <w:r w:rsidR="008C30C5" w:rsidRPr="00395738">
        <w:rPr>
          <w:rFonts w:cs="Times New Roman"/>
          <w:color w:val="000000"/>
          <w:sz w:val="24"/>
          <w:szCs w:val="24"/>
        </w:rPr>
        <w:t>T</w:t>
      </w:r>
      <w:r w:rsidR="00060686" w:rsidRPr="00395738">
        <w:rPr>
          <w:rFonts w:cs="Times New Roman"/>
          <w:color w:val="000000"/>
          <w:sz w:val="24"/>
          <w:szCs w:val="24"/>
        </w:rPr>
        <w:t>his situation is more likely to happen in relation to C</w:t>
      </w:r>
      <w:r w:rsidRPr="00395738">
        <w:rPr>
          <w:rFonts w:cs="Times New Roman"/>
          <w:color w:val="000000"/>
          <w:sz w:val="24"/>
          <w:szCs w:val="24"/>
        </w:rPr>
        <w:t>B</w:t>
      </w:r>
      <w:r w:rsidR="00B82305" w:rsidRPr="00395738">
        <w:rPr>
          <w:rFonts w:cs="Times New Roman"/>
          <w:color w:val="000000"/>
          <w:sz w:val="24"/>
          <w:szCs w:val="24"/>
        </w:rPr>
        <w:t>s and CCRCs</w:t>
      </w:r>
      <w:r w:rsidR="008C30C5" w:rsidRPr="00395738">
        <w:rPr>
          <w:rFonts w:cs="Times New Roman"/>
          <w:color w:val="000000"/>
          <w:sz w:val="24"/>
          <w:szCs w:val="24"/>
        </w:rPr>
        <w:t xml:space="preserve"> as these are not </w:t>
      </w:r>
      <w:r w:rsidR="000A46F3" w:rsidRPr="00395738">
        <w:rPr>
          <w:rFonts w:cs="Times New Roman"/>
          <w:color w:val="000000"/>
          <w:sz w:val="24"/>
          <w:szCs w:val="24"/>
        </w:rPr>
        <w:t xml:space="preserve">commonly </w:t>
      </w:r>
      <w:r w:rsidR="008C30C5" w:rsidRPr="00395738">
        <w:rPr>
          <w:rFonts w:cs="Times New Roman"/>
          <w:color w:val="000000"/>
          <w:sz w:val="24"/>
          <w:szCs w:val="24"/>
        </w:rPr>
        <w:t>controlled by central banks or other financial supervisors</w:t>
      </w:r>
      <w:r w:rsidRPr="00395738">
        <w:rPr>
          <w:rFonts w:cs="Times New Roman"/>
          <w:color w:val="000000"/>
          <w:sz w:val="24"/>
          <w:szCs w:val="24"/>
        </w:rPr>
        <w:t xml:space="preserve">. For example, supervisors may wish to obtain </w:t>
      </w:r>
      <w:r w:rsidR="00B82305" w:rsidRPr="00395738">
        <w:rPr>
          <w:rFonts w:cs="Times New Roman"/>
          <w:color w:val="000000"/>
          <w:sz w:val="24"/>
          <w:szCs w:val="24"/>
        </w:rPr>
        <w:t xml:space="preserve">the whole database </w:t>
      </w:r>
      <w:r w:rsidRPr="00395738">
        <w:rPr>
          <w:rFonts w:cs="Times New Roman"/>
          <w:color w:val="000000"/>
          <w:sz w:val="24"/>
          <w:szCs w:val="24"/>
        </w:rPr>
        <w:t>reported by one or more banks or other regulated financial institutions</w:t>
      </w:r>
      <w:r w:rsidR="008C30C5" w:rsidRPr="00395738">
        <w:rPr>
          <w:rFonts w:cs="Times New Roman"/>
          <w:color w:val="000000"/>
          <w:sz w:val="24"/>
          <w:szCs w:val="24"/>
        </w:rPr>
        <w:t xml:space="preserve"> to a CB or CCRC</w:t>
      </w:r>
      <w:r w:rsidRPr="00395738">
        <w:rPr>
          <w:rFonts w:cs="Times New Roman"/>
          <w:color w:val="000000"/>
          <w:sz w:val="24"/>
          <w:szCs w:val="24"/>
        </w:rPr>
        <w:t xml:space="preserve">, </w:t>
      </w:r>
      <w:r w:rsidR="00B82305" w:rsidRPr="00395738">
        <w:rPr>
          <w:rFonts w:cs="Times New Roman"/>
          <w:color w:val="000000"/>
          <w:sz w:val="24"/>
          <w:szCs w:val="24"/>
        </w:rPr>
        <w:t xml:space="preserve">but </w:t>
      </w:r>
      <w:r w:rsidRPr="00395738">
        <w:rPr>
          <w:rFonts w:cs="Times New Roman"/>
          <w:color w:val="000000"/>
          <w:sz w:val="24"/>
          <w:szCs w:val="24"/>
        </w:rPr>
        <w:t xml:space="preserve">due to legal restrictions could end up </w:t>
      </w:r>
      <w:r w:rsidR="00615803" w:rsidRPr="00395738">
        <w:rPr>
          <w:rFonts w:cs="Times New Roman"/>
          <w:color w:val="000000"/>
          <w:sz w:val="24"/>
          <w:szCs w:val="24"/>
        </w:rPr>
        <w:t xml:space="preserve">only </w:t>
      </w:r>
      <w:r w:rsidRPr="00395738">
        <w:rPr>
          <w:rFonts w:cs="Times New Roman"/>
          <w:color w:val="000000"/>
          <w:sz w:val="24"/>
          <w:szCs w:val="24"/>
        </w:rPr>
        <w:t xml:space="preserve">having access </w:t>
      </w:r>
      <w:r w:rsidR="00615803" w:rsidRPr="00395738">
        <w:rPr>
          <w:rFonts w:cs="Times New Roman"/>
          <w:color w:val="000000"/>
          <w:sz w:val="24"/>
          <w:szCs w:val="24"/>
        </w:rPr>
        <w:t>t</w:t>
      </w:r>
      <w:r w:rsidR="006A4F18" w:rsidRPr="00395738">
        <w:rPr>
          <w:rFonts w:cs="Times New Roman"/>
          <w:color w:val="000000"/>
          <w:sz w:val="24"/>
          <w:szCs w:val="24"/>
        </w:rPr>
        <w:t xml:space="preserve">o </w:t>
      </w:r>
      <w:r w:rsidR="00E875E1" w:rsidRPr="00395738">
        <w:rPr>
          <w:rFonts w:cs="Times New Roman"/>
          <w:color w:val="000000"/>
          <w:sz w:val="24"/>
          <w:szCs w:val="24"/>
        </w:rPr>
        <w:t xml:space="preserve">some </w:t>
      </w:r>
      <w:r w:rsidR="00B82305" w:rsidRPr="00395738">
        <w:rPr>
          <w:rFonts w:cs="Times New Roman"/>
          <w:color w:val="000000"/>
          <w:sz w:val="24"/>
          <w:szCs w:val="24"/>
        </w:rPr>
        <w:t>data attributes</w:t>
      </w:r>
      <w:r w:rsidR="008C30C5" w:rsidRPr="00395738">
        <w:rPr>
          <w:rFonts w:cs="Times New Roman"/>
          <w:color w:val="000000"/>
          <w:sz w:val="24"/>
          <w:szCs w:val="24"/>
        </w:rPr>
        <w:t xml:space="preserve">, </w:t>
      </w:r>
      <w:r w:rsidR="00E875E1" w:rsidRPr="00395738">
        <w:rPr>
          <w:rFonts w:cs="Times New Roman"/>
          <w:color w:val="000000"/>
          <w:sz w:val="24"/>
          <w:szCs w:val="24"/>
        </w:rPr>
        <w:t>certain specific reports</w:t>
      </w:r>
      <w:r w:rsidR="008C30C5" w:rsidRPr="00395738">
        <w:rPr>
          <w:rFonts w:cs="Times New Roman"/>
          <w:color w:val="000000"/>
          <w:sz w:val="24"/>
          <w:szCs w:val="24"/>
        </w:rPr>
        <w:t xml:space="preserve"> or highly aggregate data</w:t>
      </w:r>
      <w:r w:rsidR="00B82305" w:rsidRPr="00395738">
        <w:rPr>
          <w:rFonts w:cs="Times New Roman"/>
          <w:color w:val="000000"/>
          <w:sz w:val="24"/>
          <w:szCs w:val="24"/>
        </w:rPr>
        <w:t>.</w:t>
      </w:r>
      <w:r w:rsidR="000B412F" w:rsidRPr="00395738">
        <w:rPr>
          <w:rFonts w:cs="Times New Roman"/>
          <w:color w:val="000000"/>
          <w:sz w:val="24"/>
          <w:szCs w:val="24"/>
        </w:rPr>
        <w:t xml:space="preserve"> </w:t>
      </w:r>
    </w:p>
    <w:p w14:paraId="5A0AB9AF" w14:textId="5A106BDA" w:rsidR="00DC287B" w:rsidRPr="00395738" w:rsidRDefault="000B412F" w:rsidP="00BE6970">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Among other possibilities, </w:t>
      </w:r>
      <w:r w:rsidR="00D73C52" w:rsidRPr="00395738">
        <w:rPr>
          <w:rFonts w:cs="Times New Roman"/>
          <w:color w:val="000000"/>
          <w:sz w:val="24"/>
          <w:szCs w:val="24"/>
        </w:rPr>
        <w:t>l</w:t>
      </w:r>
      <w:r w:rsidRPr="00395738">
        <w:rPr>
          <w:rFonts w:cs="Times New Roman"/>
          <w:color w:val="000000"/>
          <w:sz w:val="24"/>
          <w:szCs w:val="24"/>
        </w:rPr>
        <w:t xml:space="preserve">egal restrictions may be originated from data protection/privacy provisions </w:t>
      </w:r>
      <w:r w:rsidR="00615803" w:rsidRPr="00395738">
        <w:rPr>
          <w:rFonts w:cs="Times New Roman"/>
          <w:color w:val="000000"/>
          <w:sz w:val="24"/>
          <w:szCs w:val="24"/>
        </w:rPr>
        <w:t>as they apply to CRSPs</w:t>
      </w:r>
      <w:r w:rsidR="00D73C52" w:rsidRPr="00395738">
        <w:rPr>
          <w:rFonts w:cs="Times New Roman"/>
          <w:color w:val="000000"/>
          <w:sz w:val="24"/>
          <w:szCs w:val="24"/>
        </w:rPr>
        <w:t>.</w:t>
      </w:r>
      <w:r w:rsidR="00E722D5" w:rsidRPr="00395738">
        <w:rPr>
          <w:rStyle w:val="FootnoteReference"/>
          <w:rFonts w:cs="Times New Roman"/>
          <w:color w:val="000000"/>
          <w:sz w:val="24"/>
          <w:szCs w:val="24"/>
        </w:rPr>
        <w:footnoteReference w:id="42"/>
      </w:r>
      <w:r w:rsidR="00D73C52" w:rsidRPr="00395738">
        <w:rPr>
          <w:rFonts w:cs="Times New Roman"/>
          <w:color w:val="000000"/>
          <w:sz w:val="24"/>
          <w:szCs w:val="24"/>
        </w:rPr>
        <w:t xml:space="preserve"> </w:t>
      </w:r>
      <w:r w:rsidR="001233C4" w:rsidRPr="00395738">
        <w:rPr>
          <w:rFonts w:cs="Times New Roman"/>
          <w:color w:val="000000"/>
          <w:sz w:val="24"/>
          <w:szCs w:val="24"/>
        </w:rPr>
        <w:t>In</w:t>
      </w:r>
      <w:r w:rsidR="0013021B" w:rsidRPr="00395738">
        <w:rPr>
          <w:rFonts w:cs="Times New Roman"/>
          <w:color w:val="000000"/>
          <w:sz w:val="24"/>
          <w:szCs w:val="24"/>
        </w:rPr>
        <w:t>deed</w:t>
      </w:r>
      <w:r w:rsidR="001233C4" w:rsidRPr="00395738">
        <w:rPr>
          <w:rFonts w:cs="Times New Roman"/>
          <w:color w:val="000000"/>
          <w:sz w:val="24"/>
          <w:szCs w:val="24"/>
        </w:rPr>
        <w:t>, t</w:t>
      </w:r>
      <w:r w:rsidR="00305228" w:rsidRPr="00395738">
        <w:rPr>
          <w:rFonts w:cs="Times New Roman"/>
          <w:color w:val="000000"/>
          <w:sz w:val="24"/>
          <w:szCs w:val="24"/>
        </w:rPr>
        <w:t>he legal and regulatory framework surrounding credit reporting typically sets out specific conditions for data collection and for data disclosure.</w:t>
      </w:r>
      <w:r w:rsidR="00D73C52" w:rsidRPr="00395738">
        <w:rPr>
          <w:rFonts w:cs="Times New Roman"/>
          <w:color w:val="000000"/>
          <w:sz w:val="24"/>
          <w:szCs w:val="24"/>
        </w:rPr>
        <w:t xml:space="preserve"> On the latter, a finite set of permissible purposes for which credit data may be used is </w:t>
      </w:r>
      <w:r w:rsidR="0013021B" w:rsidRPr="00395738">
        <w:rPr>
          <w:rFonts w:cs="Times New Roman"/>
          <w:color w:val="000000"/>
          <w:sz w:val="24"/>
          <w:szCs w:val="24"/>
        </w:rPr>
        <w:t>often</w:t>
      </w:r>
      <w:r w:rsidR="001233C4" w:rsidRPr="00395738">
        <w:rPr>
          <w:rFonts w:cs="Times New Roman"/>
          <w:color w:val="000000"/>
          <w:sz w:val="24"/>
          <w:szCs w:val="24"/>
        </w:rPr>
        <w:t xml:space="preserve"> </w:t>
      </w:r>
      <w:r w:rsidR="00D73C52" w:rsidRPr="00395738">
        <w:rPr>
          <w:rFonts w:cs="Times New Roman"/>
          <w:color w:val="000000"/>
          <w:sz w:val="24"/>
          <w:szCs w:val="24"/>
        </w:rPr>
        <w:t xml:space="preserve">established, especially when such data </w:t>
      </w:r>
      <w:r w:rsidR="001233C4" w:rsidRPr="00395738">
        <w:rPr>
          <w:rFonts w:cs="Times New Roman"/>
          <w:color w:val="000000"/>
          <w:sz w:val="24"/>
          <w:szCs w:val="24"/>
        </w:rPr>
        <w:t xml:space="preserve">is associated or </w:t>
      </w:r>
      <w:r w:rsidR="00D73C52" w:rsidRPr="00395738">
        <w:rPr>
          <w:rFonts w:cs="Times New Roman"/>
          <w:color w:val="000000"/>
          <w:sz w:val="24"/>
          <w:szCs w:val="24"/>
        </w:rPr>
        <w:t xml:space="preserve">can be </w:t>
      </w:r>
      <w:r w:rsidR="001233C4" w:rsidRPr="00395738">
        <w:rPr>
          <w:rFonts w:cs="Times New Roman"/>
          <w:color w:val="000000"/>
          <w:sz w:val="24"/>
          <w:szCs w:val="24"/>
        </w:rPr>
        <w:t xml:space="preserve">associated </w:t>
      </w:r>
      <w:r w:rsidR="00BE6970" w:rsidRPr="00395738">
        <w:rPr>
          <w:rFonts w:cs="Times New Roman"/>
          <w:color w:val="000000"/>
          <w:sz w:val="24"/>
          <w:szCs w:val="24"/>
        </w:rPr>
        <w:t xml:space="preserve">to </w:t>
      </w:r>
      <w:r w:rsidR="00D73C52" w:rsidRPr="00395738">
        <w:rPr>
          <w:rFonts w:cs="Times New Roman"/>
          <w:color w:val="000000"/>
          <w:sz w:val="24"/>
          <w:szCs w:val="24"/>
        </w:rPr>
        <w:t>a specific individual or household.</w:t>
      </w:r>
      <w:r w:rsidR="00BE6970" w:rsidRPr="00395738">
        <w:rPr>
          <w:rStyle w:val="FootnoteReference"/>
          <w:rFonts w:cs="Times New Roman"/>
          <w:color w:val="000000"/>
          <w:sz w:val="24"/>
          <w:szCs w:val="24"/>
        </w:rPr>
        <w:footnoteReference w:id="43"/>
      </w:r>
      <w:r w:rsidR="00D73C52" w:rsidRPr="00395738">
        <w:rPr>
          <w:rFonts w:cs="Times New Roman"/>
          <w:color w:val="000000"/>
          <w:sz w:val="24"/>
          <w:szCs w:val="24"/>
        </w:rPr>
        <w:t xml:space="preserve"> </w:t>
      </w:r>
      <w:r w:rsidR="00305228" w:rsidRPr="00395738">
        <w:rPr>
          <w:rFonts w:cs="Times New Roman"/>
          <w:color w:val="000000"/>
          <w:sz w:val="24"/>
          <w:szCs w:val="24"/>
        </w:rPr>
        <w:t xml:space="preserve">Permissible or legitimate purposes are usually </w:t>
      </w:r>
      <w:r w:rsidR="001233C4" w:rsidRPr="00395738">
        <w:rPr>
          <w:rFonts w:cs="Times New Roman"/>
          <w:color w:val="000000"/>
          <w:sz w:val="24"/>
          <w:szCs w:val="24"/>
        </w:rPr>
        <w:t>those aspects</w:t>
      </w:r>
      <w:r w:rsidR="00305228" w:rsidRPr="00395738">
        <w:rPr>
          <w:rFonts w:cs="Times New Roman"/>
          <w:color w:val="000000"/>
          <w:sz w:val="24"/>
          <w:szCs w:val="24"/>
        </w:rPr>
        <w:t xml:space="preserve"> that are of general interest to a society, </w:t>
      </w:r>
      <w:r w:rsidR="00BE6970" w:rsidRPr="00395738">
        <w:rPr>
          <w:rFonts w:cs="Times New Roman"/>
          <w:color w:val="000000"/>
          <w:sz w:val="24"/>
          <w:szCs w:val="24"/>
        </w:rPr>
        <w:lastRenderedPageBreak/>
        <w:t>such as, among others, preserving the stability of the financial system</w:t>
      </w:r>
      <w:r w:rsidR="00305228" w:rsidRPr="00395738">
        <w:rPr>
          <w:rFonts w:cs="Times New Roman"/>
          <w:color w:val="000000"/>
          <w:sz w:val="24"/>
          <w:szCs w:val="24"/>
        </w:rPr>
        <w:t xml:space="preserve">. </w:t>
      </w:r>
      <w:r w:rsidR="0013021B" w:rsidRPr="00395738">
        <w:rPr>
          <w:rFonts w:cs="Times New Roman"/>
          <w:color w:val="000000"/>
          <w:sz w:val="24"/>
          <w:szCs w:val="24"/>
        </w:rPr>
        <w:t xml:space="preserve">In this context, some jurisdictions have not been able to implement a mechanism that, in an efficient manner, enables financial sector authorities to fulfill their duties but that does not interfere with the </w:t>
      </w:r>
      <w:r w:rsidR="00E722D5" w:rsidRPr="00395738">
        <w:rPr>
          <w:rFonts w:cs="Times New Roman"/>
          <w:color w:val="000000"/>
          <w:sz w:val="24"/>
          <w:szCs w:val="24"/>
        </w:rPr>
        <w:t xml:space="preserve">basic aspects of consumer data </w:t>
      </w:r>
      <w:r w:rsidR="0013021B" w:rsidRPr="00395738">
        <w:rPr>
          <w:rFonts w:cs="Times New Roman"/>
          <w:color w:val="000000"/>
          <w:sz w:val="24"/>
          <w:szCs w:val="24"/>
        </w:rPr>
        <w:t xml:space="preserve">protection and </w:t>
      </w:r>
      <w:r w:rsidR="00E722D5" w:rsidRPr="00395738">
        <w:rPr>
          <w:rFonts w:cs="Times New Roman"/>
          <w:color w:val="000000"/>
          <w:sz w:val="24"/>
          <w:szCs w:val="24"/>
        </w:rPr>
        <w:t>privacy</w:t>
      </w:r>
      <w:r w:rsidR="00DC287B" w:rsidRPr="00395738">
        <w:rPr>
          <w:rFonts w:cs="Times New Roman"/>
          <w:color w:val="000000"/>
          <w:sz w:val="24"/>
          <w:szCs w:val="24"/>
        </w:rPr>
        <w:t xml:space="preserve">. </w:t>
      </w:r>
    </w:p>
    <w:p w14:paraId="6059B364" w14:textId="411F020D" w:rsidR="000B412F" w:rsidRPr="00395738" w:rsidRDefault="000B412F" w:rsidP="000B412F">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Similarly, </w:t>
      </w:r>
      <w:r w:rsidR="004434F7" w:rsidRPr="00395738">
        <w:rPr>
          <w:rFonts w:cs="Times New Roman"/>
          <w:color w:val="000000"/>
          <w:sz w:val="24"/>
          <w:szCs w:val="24"/>
        </w:rPr>
        <w:t xml:space="preserve">in some jurisdictions </w:t>
      </w:r>
      <w:r w:rsidRPr="00395738">
        <w:rPr>
          <w:rFonts w:cs="Times New Roman"/>
          <w:color w:val="000000"/>
          <w:sz w:val="24"/>
          <w:szCs w:val="24"/>
        </w:rPr>
        <w:t>there may be constraints on the us</w:t>
      </w:r>
      <w:r w:rsidR="004434F7" w:rsidRPr="00395738">
        <w:rPr>
          <w:rFonts w:cs="Times New Roman"/>
          <w:color w:val="000000"/>
          <w:sz w:val="24"/>
          <w:szCs w:val="24"/>
        </w:rPr>
        <w:t>ag</w:t>
      </w:r>
      <w:r w:rsidRPr="00395738">
        <w:rPr>
          <w:rFonts w:cs="Times New Roman"/>
          <w:color w:val="000000"/>
          <w:sz w:val="24"/>
          <w:szCs w:val="24"/>
        </w:rPr>
        <w:t xml:space="preserve">e </w:t>
      </w:r>
      <w:r w:rsidR="004434F7" w:rsidRPr="00395738">
        <w:rPr>
          <w:rFonts w:cs="Times New Roman"/>
          <w:color w:val="000000"/>
          <w:sz w:val="24"/>
          <w:szCs w:val="24"/>
        </w:rPr>
        <w:t xml:space="preserve">for supervisory purposes </w:t>
      </w:r>
      <w:r w:rsidRPr="00395738">
        <w:rPr>
          <w:rFonts w:cs="Times New Roman"/>
          <w:color w:val="000000"/>
          <w:sz w:val="24"/>
          <w:szCs w:val="24"/>
        </w:rPr>
        <w:t>of data obtained from sources other than the CR, especially if such data is to be used for taking specific supervisory actions and/or making other specific policy decisions. Indeed, some central banks and other financial supervisors are bounded by legislation or regulations and can only take specific supervisory actions and decisions based on the information available at the CR or at other credit databases they themselves operate.</w:t>
      </w:r>
    </w:p>
    <w:p w14:paraId="00194EA3" w14:textId="126AB08C" w:rsidR="00B82305" w:rsidRPr="00395738" w:rsidRDefault="006A4F18" w:rsidP="0087025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When it comes to cross-border lending activities, micro-prudential supervisors may not be able to obtain and use credit data available in foreign CRs or other CRSPs. This is often the case when </w:t>
      </w:r>
      <w:r w:rsidR="009338F7" w:rsidRPr="00395738">
        <w:rPr>
          <w:rFonts w:cs="Times New Roman"/>
          <w:color w:val="000000"/>
          <w:sz w:val="24"/>
          <w:szCs w:val="24"/>
        </w:rPr>
        <w:t>a Memorandum of Understanding (M</w:t>
      </w:r>
      <w:r w:rsidR="00682F0D" w:rsidRPr="00395738">
        <w:rPr>
          <w:rFonts w:cs="Times New Roman"/>
          <w:color w:val="000000"/>
          <w:sz w:val="24"/>
          <w:szCs w:val="24"/>
        </w:rPr>
        <w:t>O</w:t>
      </w:r>
      <w:r w:rsidR="009338F7" w:rsidRPr="00395738">
        <w:rPr>
          <w:rFonts w:cs="Times New Roman"/>
          <w:color w:val="000000"/>
          <w:sz w:val="24"/>
          <w:szCs w:val="24"/>
        </w:rPr>
        <w:t xml:space="preserve">U) or other mechanism to facilitate </w:t>
      </w:r>
      <w:r w:rsidR="00412A67" w:rsidRPr="00395738">
        <w:rPr>
          <w:rFonts w:cs="Times New Roman"/>
          <w:color w:val="000000"/>
          <w:sz w:val="24"/>
          <w:szCs w:val="24"/>
        </w:rPr>
        <w:t xml:space="preserve">cross-border </w:t>
      </w:r>
      <w:r w:rsidR="009338F7" w:rsidRPr="00395738">
        <w:rPr>
          <w:rFonts w:cs="Times New Roman"/>
          <w:color w:val="000000"/>
          <w:sz w:val="24"/>
          <w:szCs w:val="24"/>
        </w:rPr>
        <w:t xml:space="preserve">data exchanges has not been agreed between </w:t>
      </w:r>
      <w:r w:rsidR="00B13A92" w:rsidRPr="00395738">
        <w:rPr>
          <w:rFonts w:cs="Times New Roman"/>
          <w:color w:val="000000"/>
          <w:sz w:val="24"/>
          <w:szCs w:val="24"/>
        </w:rPr>
        <w:t xml:space="preserve">central banks or between other </w:t>
      </w:r>
      <w:r w:rsidR="009338F7" w:rsidRPr="00395738">
        <w:rPr>
          <w:rFonts w:cs="Times New Roman"/>
          <w:color w:val="000000"/>
          <w:sz w:val="24"/>
          <w:szCs w:val="24"/>
        </w:rPr>
        <w:t>supervisor</w:t>
      </w:r>
      <w:r w:rsidR="00B13A92" w:rsidRPr="00395738">
        <w:rPr>
          <w:rFonts w:cs="Times New Roman"/>
          <w:color w:val="000000"/>
          <w:sz w:val="24"/>
          <w:szCs w:val="24"/>
        </w:rPr>
        <w:t>y authorities</w:t>
      </w:r>
      <w:r w:rsidR="00412A67" w:rsidRPr="00395738">
        <w:rPr>
          <w:rFonts w:cs="Times New Roman"/>
          <w:color w:val="000000"/>
          <w:sz w:val="24"/>
          <w:szCs w:val="24"/>
        </w:rPr>
        <w:t>, and/or between private sector operators of CBs and CCRCs.</w:t>
      </w:r>
      <w:r w:rsidR="003A3550" w:rsidRPr="00395738">
        <w:rPr>
          <w:rFonts w:cs="Times New Roman"/>
          <w:color w:val="000000"/>
          <w:sz w:val="24"/>
          <w:szCs w:val="24"/>
        </w:rPr>
        <w:t xml:space="preserve"> </w:t>
      </w:r>
      <w:r w:rsidR="003A3550" w:rsidRPr="00395738">
        <w:rPr>
          <w:sz w:val="24"/>
          <w:szCs w:val="24"/>
        </w:rPr>
        <w:t>At present</w:t>
      </w:r>
      <w:r w:rsidR="000B412F" w:rsidRPr="00395738">
        <w:rPr>
          <w:sz w:val="24"/>
          <w:szCs w:val="24"/>
        </w:rPr>
        <w:t xml:space="preserve">, </w:t>
      </w:r>
      <w:r w:rsidR="003A3550" w:rsidRPr="00395738">
        <w:rPr>
          <w:sz w:val="24"/>
          <w:szCs w:val="24"/>
        </w:rPr>
        <w:t>a number of relevant p</w:t>
      </w:r>
      <w:r w:rsidR="003A3550" w:rsidRPr="00395738">
        <w:rPr>
          <w:rFonts w:cs="Times New Roman"/>
          <w:color w:val="000000"/>
          <w:sz w:val="24"/>
          <w:szCs w:val="24"/>
        </w:rPr>
        <w:t xml:space="preserve">rivate and public sector initiatives </w:t>
      </w:r>
      <w:r w:rsidR="000B412F" w:rsidRPr="00395738">
        <w:rPr>
          <w:rFonts w:cs="Times New Roman"/>
          <w:color w:val="000000"/>
          <w:sz w:val="24"/>
          <w:szCs w:val="24"/>
        </w:rPr>
        <w:t xml:space="preserve">are underway </w:t>
      </w:r>
      <w:r w:rsidR="003A3550" w:rsidRPr="00395738">
        <w:rPr>
          <w:rFonts w:cs="Times New Roman"/>
          <w:color w:val="000000"/>
          <w:sz w:val="24"/>
          <w:szCs w:val="24"/>
        </w:rPr>
        <w:t>to address the difficulties in cross-border data exchanges.</w:t>
      </w:r>
      <w:r w:rsidR="003A3550" w:rsidRPr="00395738">
        <w:rPr>
          <w:rStyle w:val="FootnoteReference"/>
          <w:rFonts w:cs="Times New Roman"/>
          <w:color w:val="000000"/>
          <w:sz w:val="24"/>
          <w:szCs w:val="24"/>
        </w:rPr>
        <w:footnoteReference w:id="44"/>
      </w:r>
    </w:p>
    <w:p w14:paraId="65EA7DE2" w14:textId="5C365A03" w:rsidR="00601726" w:rsidRPr="00395738" w:rsidRDefault="00E875E1" w:rsidP="0087025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At the operational level, </w:t>
      </w:r>
      <w:r w:rsidR="00D446CC" w:rsidRPr="00395738">
        <w:rPr>
          <w:rFonts w:cs="Times New Roman"/>
          <w:color w:val="000000"/>
          <w:sz w:val="24"/>
          <w:szCs w:val="24"/>
        </w:rPr>
        <w:t xml:space="preserve">to be able to use the data effectively it is highly important that </w:t>
      </w:r>
      <w:r w:rsidRPr="00395738">
        <w:rPr>
          <w:rFonts w:cs="Times New Roman"/>
          <w:color w:val="000000"/>
          <w:sz w:val="24"/>
          <w:szCs w:val="24"/>
        </w:rPr>
        <w:t>the CR hav</w:t>
      </w:r>
      <w:r w:rsidR="00D446CC" w:rsidRPr="00395738">
        <w:rPr>
          <w:rFonts w:cs="Times New Roman"/>
          <w:color w:val="000000"/>
          <w:sz w:val="24"/>
          <w:szCs w:val="24"/>
        </w:rPr>
        <w:t xml:space="preserve">e </w:t>
      </w:r>
      <w:r w:rsidR="00C70418" w:rsidRPr="00395738">
        <w:rPr>
          <w:rFonts w:cs="Times New Roman"/>
          <w:color w:val="000000"/>
          <w:sz w:val="24"/>
          <w:szCs w:val="24"/>
        </w:rPr>
        <w:t xml:space="preserve">the </w:t>
      </w:r>
      <w:r w:rsidRPr="00395738">
        <w:rPr>
          <w:rFonts w:cs="Times New Roman"/>
          <w:color w:val="000000"/>
          <w:sz w:val="24"/>
          <w:szCs w:val="24"/>
        </w:rPr>
        <w:t xml:space="preserve">functionalities </w:t>
      </w:r>
      <w:r w:rsidR="00C70418" w:rsidRPr="00395738">
        <w:rPr>
          <w:rFonts w:cs="Times New Roman"/>
          <w:color w:val="000000"/>
          <w:sz w:val="24"/>
          <w:szCs w:val="24"/>
        </w:rPr>
        <w:t xml:space="preserve">that supervisors require, </w:t>
      </w:r>
      <w:r w:rsidR="004434F7" w:rsidRPr="00395738">
        <w:rPr>
          <w:rFonts w:cs="Times New Roman"/>
          <w:color w:val="000000"/>
          <w:sz w:val="24"/>
          <w:szCs w:val="24"/>
        </w:rPr>
        <w:t xml:space="preserve">together with </w:t>
      </w:r>
      <w:r w:rsidR="00D446CC" w:rsidRPr="00395738">
        <w:rPr>
          <w:rFonts w:cs="Times New Roman"/>
          <w:color w:val="000000"/>
          <w:sz w:val="24"/>
          <w:szCs w:val="24"/>
        </w:rPr>
        <w:t>a</w:t>
      </w:r>
      <w:r w:rsidRPr="00395738">
        <w:rPr>
          <w:rFonts w:cs="Times New Roman"/>
          <w:color w:val="000000"/>
          <w:sz w:val="24"/>
          <w:szCs w:val="24"/>
        </w:rPr>
        <w:t xml:space="preserve"> </w:t>
      </w:r>
      <w:r w:rsidR="00D446CC" w:rsidRPr="00395738">
        <w:rPr>
          <w:rFonts w:cs="Times New Roman"/>
          <w:color w:val="000000"/>
          <w:sz w:val="24"/>
          <w:szCs w:val="24"/>
        </w:rPr>
        <w:t xml:space="preserve">robust </w:t>
      </w:r>
      <w:r w:rsidRPr="00395738">
        <w:rPr>
          <w:rFonts w:cs="Times New Roman"/>
          <w:color w:val="000000"/>
          <w:sz w:val="24"/>
          <w:szCs w:val="24"/>
        </w:rPr>
        <w:t xml:space="preserve">technological </w:t>
      </w:r>
      <w:r w:rsidR="009338F7" w:rsidRPr="00395738">
        <w:rPr>
          <w:rFonts w:cs="Times New Roman"/>
          <w:color w:val="000000"/>
          <w:sz w:val="24"/>
          <w:szCs w:val="24"/>
        </w:rPr>
        <w:t>infrastructure</w:t>
      </w:r>
      <w:r w:rsidRPr="00395738">
        <w:rPr>
          <w:rFonts w:cs="Times New Roman"/>
          <w:color w:val="000000"/>
          <w:sz w:val="24"/>
          <w:szCs w:val="24"/>
        </w:rPr>
        <w:t xml:space="preserve"> supporting it. </w:t>
      </w:r>
      <w:r w:rsidR="0013408F" w:rsidRPr="00395738">
        <w:rPr>
          <w:rFonts w:cs="Times New Roman"/>
          <w:color w:val="000000"/>
          <w:sz w:val="24"/>
          <w:szCs w:val="24"/>
        </w:rPr>
        <w:t>For example, even i</w:t>
      </w:r>
      <w:r w:rsidR="00746BDE" w:rsidRPr="00395738">
        <w:rPr>
          <w:rFonts w:cs="Times New Roman"/>
          <w:color w:val="000000"/>
          <w:sz w:val="24"/>
          <w:szCs w:val="24"/>
        </w:rPr>
        <w:t>f</w:t>
      </w:r>
      <w:r w:rsidR="0013408F" w:rsidRPr="00395738">
        <w:rPr>
          <w:rFonts w:cs="Times New Roman"/>
          <w:color w:val="000000"/>
          <w:sz w:val="24"/>
          <w:szCs w:val="24"/>
        </w:rPr>
        <w:t xml:space="preserve"> the CR </w:t>
      </w:r>
      <w:r w:rsidR="000B412F" w:rsidRPr="00395738">
        <w:rPr>
          <w:rFonts w:cs="Times New Roman"/>
          <w:color w:val="000000"/>
          <w:sz w:val="24"/>
          <w:szCs w:val="24"/>
        </w:rPr>
        <w:t>has</w:t>
      </w:r>
      <w:r w:rsidR="0013408F" w:rsidRPr="00395738">
        <w:rPr>
          <w:rFonts w:cs="Times New Roman"/>
          <w:color w:val="000000"/>
          <w:sz w:val="24"/>
          <w:szCs w:val="24"/>
        </w:rPr>
        <w:t xml:space="preserve"> comprehensive and high quality data</w:t>
      </w:r>
      <w:r w:rsidR="00746BDE" w:rsidRPr="00395738">
        <w:rPr>
          <w:rFonts w:cs="Times New Roman"/>
          <w:color w:val="000000"/>
          <w:sz w:val="24"/>
          <w:szCs w:val="24"/>
        </w:rPr>
        <w:t>,</w:t>
      </w:r>
      <w:r w:rsidR="0013408F" w:rsidRPr="00395738">
        <w:rPr>
          <w:rFonts w:cs="Times New Roman"/>
          <w:color w:val="000000"/>
          <w:sz w:val="24"/>
          <w:szCs w:val="24"/>
        </w:rPr>
        <w:t xml:space="preserve"> </w:t>
      </w:r>
      <w:r w:rsidR="00746BDE" w:rsidRPr="00395738">
        <w:rPr>
          <w:rFonts w:cs="Times New Roman"/>
          <w:color w:val="000000"/>
          <w:sz w:val="24"/>
          <w:szCs w:val="24"/>
        </w:rPr>
        <w:t xml:space="preserve">supervisors may be </w:t>
      </w:r>
      <w:r w:rsidR="00C1512A" w:rsidRPr="00395738">
        <w:rPr>
          <w:rFonts w:cs="Times New Roman"/>
          <w:color w:val="000000"/>
          <w:sz w:val="24"/>
          <w:szCs w:val="24"/>
        </w:rPr>
        <w:t>un</w:t>
      </w:r>
      <w:r w:rsidR="00746BDE" w:rsidRPr="00395738">
        <w:rPr>
          <w:rFonts w:cs="Times New Roman"/>
          <w:color w:val="000000"/>
          <w:sz w:val="24"/>
          <w:szCs w:val="24"/>
        </w:rPr>
        <w:t xml:space="preserve">able to exploit </w:t>
      </w:r>
      <w:r w:rsidR="004434F7" w:rsidRPr="00395738">
        <w:rPr>
          <w:rFonts w:cs="Times New Roman"/>
          <w:color w:val="000000"/>
          <w:sz w:val="24"/>
          <w:szCs w:val="24"/>
        </w:rPr>
        <w:t>such data</w:t>
      </w:r>
      <w:r w:rsidR="00746BDE" w:rsidRPr="00395738">
        <w:rPr>
          <w:rFonts w:cs="Times New Roman"/>
          <w:color w:val="000000"/>
          <w:sz w:val="24"/>
          <w:szCs w:val="24"/>
        </w:rPr>
        <w:t xml:space="preserve"> </w:t>
      </w:r>
      <w:r w:rsidR="00E64DF8" w:rsidRPr="00395738">
        <w:rPr>
          <w:rFonts w:cs="Times New Roman"/>
          <w:color w:val="000000"/>
          <w:sz w:val="24"/>
          <w:szCs w:val="24"/>
        </w:rPr>
        <w:t xml:space="preserve">fully </w:t>
      </w:r>
      <w:r w:rsidR="00D54E22" w:rsidRPr="00395738">
        <w:rPr>
          <w:rFonts w:cs="Times New Roman"/>
          <w:color w:val="000000"/>
          <w:sz w:val="24"/>
          <w:szCs w:val="24"/>
        </w:rPr>
        <w:t xml:space="preserve">if </w:t>
      </w:r>
      <w:r w:rsidR="00746BDE" w:rsidRPr="00395738">
        <w:rPr>
          <w:rFonts w:cs="Times New Roman"/>
          <w:color w:val="000000"/>
          <w:sz w:val="24"/>
          <w:szCs w:val="24"/>
        </w:rPr>
        <w:t xml:space="preserve">the CR </w:t>
      </w:r>
      <w:r w:rsidR="00D54E22" w:rsidRPr="00395738">
        <w:rPr>
          <w:rFonts w:cs="Times New Roman"/>
          <w:color w:val="000000"/>
          <w:sz w:val="24"/>
          <w:szCs w:val="24"/>
        </w:rPr>
        <w:t xml:space="preserve">system itself </w:t>
      </w:r>
      <w:r w:rsidR="00746BDE" w:rsidRPr="00395738">
        <w:rPr>
          <w:rFonts w:cs="Times New Roman"/>
          <w:color w:val="000000"/>
          <w:sz w:val="24"/>
          <w:szCs w:val="24"/>
        </w:rPr>
        <w:t>ha</w:t>
      </w:r>
      <w:r w:rsidR="00D54E22" w:rsidRPr="00395738">
        <w:rPr>
          <w:rFonts w:cs="Times New Roman"/>
          <w:color w:val="000000"/>
          <w:sz w:val="24"/>
          <w:szCs w:val="24"/>
        </w:rPr>
        <w:t xml:space="preserve">s </w:t>
      </w:r>
      <w:r w:rsidR="00E64DF8" w:rsidRPr="00395738">
        <w:rPr>
          <w:rFonts w:cs="Times New Roman"/>
          <w:color w:val="000000"/>
          <w:sz w:val="24"/>
          <w:szCs w:val="24"/>
        </w:rPr>
        <w:t>limited reporting tools</w:t>
      </w:r>
      <w:r w:rsidR="00D54E22" w:rsidRPr="00395738">
        <w:rPr>
          <w:rFonts w:cs="Times New Roman"/>
          <w:color w:val="000000"/>
          <w:sz w:val="24"/>
          <w:szCs w:val="24"/>
        </w:rPr>
        <w:t xml:space="preserve"> and/or is not supported with </w:t>
      </w:r>
      <w:r w:rsidR="008C30C5" w:rsidRPr="00395738">
        <w:rPr>
          <w:rFonts w:cs="Times New Roman"/>
          <w:color w:val="000000"/>
          <w:sz w:val="24"/>
          <w:szCs w:val="24"/>
        </w:rPr>
        <w:t>adequate d</w:t>
      </w:r>
      <w:r w:rsidR="00D54E22" w:rsidRPr="00395738">
        <w:rPr>
          <w:rFonts w:cs="Times New Roman"/>
          <w:color w:val="000000"/>
          <w:sz w:val="24"/>
          <w:szCs w:val="24"/>
        </w:rPr>
        <w:t>ata warehousing tools.</w:t>
      </w:r>
      <w:r w:rsidR="005865B0" w:rsidRPr="00395738">
        <w:rPr>
          <w:rFonts w:cs="Times New Roman"/>
          <w:color w:val="000000"/>
          <w:sz w:val="24"/>
          <w:szCs w:val="24"/>
        </w:rPr>
        <w:t xml:space="preserve"> </w:t>
      </w:r>
      <w:r w:rsidR="00746BDE" w:rsidRPr="00395738">
        <w:rPr>
          <w:rFonts w:cs="Times New Roman"/>
          <w:color w:val="000000"/>
          <w:sz w:val="24"/>
          <w:szCs w:val="24"/>
        </w:rPr>
        <w:t>In cases like this</w:t>
      </w:r>
      <w:r w:rsidR="00D54E22" w:rsidRPr="00395738">
        <w:rPr>
          <w:rFonts w:cs="Times New Roman"/>
          <w:color w:val="000000"/>
          <w:sz w:val="24"/>
          <w:szCs w:val="24"/>
        </w:rPr>
        <w:t>,</w:t>
      </w:r>
      <w:r w:rsidR="00746BDE" w:rsidRPr="00395738">
        <w:rPr>
          <w:rFonts w:cs="Times New Roman"/>
          <w:color w:val="000000"/>
          <w:sz w:val="24"/>
          <w:szCs w:val="24"/>
        </w:rPr>
        <w:t xml:space="preserve"> </w:t>
      </w:r>
      <w:r w:rsidR="005865B0" w:rsidRPr="00395738">
        <w:rPr>
          <w:rFonts w:cs="Times New Roman"/>
          <w:color w:val="000000"/>
          <w:sz w:val="24"/>
          <w:szCs w:val="24"/>
        </w:rPr>
        <w:t xml:space="preserve">regular reports </w:t>
      </w:r>
      <w:r w:rsidR="008C30C5" w:rsidRPr="00395738">
        <w:rPr>
          <w:rFonts w:cs="Times New Roman"/>
          <w:color w:val="000000"/>
          <w:sz w:val="24"/>
          <w:szCs w:val="24"/>
        </w:rPr>
        <w:t xml:space="preserve">tend to be </w:t>
      </w:r>
      <w:r w:rsidR="00746BDE" w:rsidRPr="00395738">
        <w:rPr>
          <w:rFonts w:cs="Times New Roman"/>
          <w:color w:val="000000"/>
          <w:sz w:val="24"/>
          <w:szCs w:val="24"/>
        </w:rPr>
        <w:t xml:space="preserve">not comprehensive enough </w:t>
      </w:r>
      <w:r w:rsidR="005865B0" w:rsidRPr="00395738">
        <w:rPr>
          <w:rFonts w:cs="Times New Roman"/>
          <w:color w:val="000000"/>
          <w:sz w:val="24"/>
          <w:szCs w:val="24"/>
        </w:rPr>
        <w:t xml:space="preserve">and the CR </w:t>
      </w:r>
      <w:r w:rsidR="005865B0" w:rsidRPr="00395738">
        <w:rPr>
          <w:rFonts w:cs="Times New Roman"/>
          <w:color w:val="000000"/>
          <w:sz w:val="24"/>
          <w:szCs w:val="24"/>
        </w:rPr>
        <w:lastRenderedPageBreak/>
        <w:t>lacks flexibility to make adjustments to such reports.</w:t>
      </w:r>
      <w:r w:rsidR="00746BDE" w:rsidRPr="00395738">
        <w:rPr>
          <w:rFonts w:cs="Times New Roman"/>
          <w:color w:val="000000"/>
          <w:sz w:val="24"/>
          <w:szCs w:val="24"/>
        </w:rPr>
        <w:t xml:space="preserve"> Likewise, it may be difficult for the CR to </w:t>
      </w:r>
      <w:r w:rsidR="00E64DF8" w:rsidRPr="00395738">
        <w:rPr>
          <w:rFonts w:cs="Times New Roman"/>
          <w:color w:val="000000"/>
          <w:sz w:val="24"/>
          <w:szCs w:val="24"/>
        </w:rPr>
        <w:t xml:space="preserve">produce </w:t>
      </w:r>
      <w:r w:rsidR="00E83E03" w:rsidRPr="00395738">
        <w:rPr>
          <w:rFonts w:cs="Times New Roman"/>
          <w:color w:val="000000"/>
          <w:sz w:val="24"/>
          <w:szCs w:val="24"/>
        </w:rPr>
        <w:t xml:space="preserve">robust </w:t>
      </w:r>
      <w:r w:rsidR="00E64DF8" w:rsidRPr="00395738">
        <w:rPr>
          <w:rFonts w:cs="Times New Roman"/>
          <w:i/>
          <w:color w:val="000000"/>
          <w:sz w:val="24"/>
          <w:szCs w:val="24"/>
        </w:rPr>
        <w:t>ad-hoc</w:t>
      </w:r>
      <w:r w:rsidR="00E64DF8" w:rsidRPr="00395738">
        <w:rPr>
          <w:rFonts w:cs="Times New Roman"/>
          <w:color w:val="000000"/>
          <w:sz w:val="24"/>
          <w:szCs w:val="24"/>
        </w:rPr>
        <w:t xml:space="preserve"> reports</w:t>
      </w:r>
      <w:r w:rsidR="00D54E22" w:rsidRPr="00395738">
        <w:rPr>
          <w:rFonts w:cs="Times New Roman"/>
          <w:color w:val="000000"/>
          <w:sz w:val="24"/>
          <w:szCs w:val="24"/>
        </w:rPr>
        <w:t xml:space="preserve"> </w:t>
      </w:r>
      <w:r w:rsidR="00746BDE" w:rsidRPr="00395738">
        <w:rPr>
          <w:rFonts w:cs="Times New Roman"/>
          <w:color w:val="000000"/>
          <w:sz w:val="24"/>
          <w:szCs w:val="24"/>
        </w:rPr>
        <w:t>in a timely manner.</w:t>
      </w:r>
      <w:r w:rsidR="00746BDE" w:rsidRPr="00395738">
        <w:rPr>
          <w:rStyle w:val="FootnoteReference"/>
          <w:rFonts w:cs="Times New Roman"/>
          <w:color w:val="000000"/>
          <w:sz w:val="24"/>
          <w:szCs w:val="24"/>
        </w:rPr>
        <w:footnoteReference w:id="45"/>
      </w:r>
      <w:r w:rsidR="00F65981" w:rsidRPr="00395738">
        <w:rPr>
          <w:rFonts w:cs="Times New Roman"/>
          <w:color w:val="000000"/>
          <w:sz w:val="24"/>
          <w:szCs w:val="24"/>
        </w:rPr>
        <w:t xml:space="preserve"> T</w:t>
      </w:r>
      <w:r w:rsidR="00F65981" w:rsidRPr="00395738">
        <w:rPr>
          <w:sz w:val="24"/>
          <w:szCs w:val="24"/>
        </w:rPr>
        <w:t xml:space="preserve">hese operational problems tend to be amplified as the </w:t>
      </w:r>
      <w:r w:rsidR="004434F7" w:rsidRPr="00395738">
        <w:rPr>
          <w:sz w:val="24"/>
          <w:szCs w:val="24"/>
        </w:rPr>
        <w:t xml:space="preserve">size of the </w:t>
      </w:r>
      <w:r w:rsidR="00F65981" w:rsidRPr="00395738">
        <w:rPr>
          <w:sz w:val="24"/>
          <w:szCs w:val="24"/>
        </w:rPr>
        <w:t>database increases.</w:t>
      </w:r>
    </w:p>
    <w:p w14:paraId="6FEC298E" w14:textId="2C281C9A" w:rsidR="00AE7B5A" w:rsidRPr="00395738" w:rsidRDefault="00E875E1" w:rsidP="0087025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Th</w:t>
      </w:r>
      <w:r w:rsidR="00D340D7" w:rsidRPr="00395738">
        <w:rPr>
          <w:rFonts w:cs="Times New Roman"/>
          <w:color w:val="000000"/>
          <w:sz w:val="24"/>
          <w:szCs w:val="24"/>
        </w:rPr>
        <w:t>e</w:t>
      </w:r>
      <w:r w:rsidR="008C30C5" w:rsidRPr="00395738">
        <w:rPr>
          <w:rFonts w:cs="Times New Roman"/>
          <w:color w:val="000000"/>
          <w:sz w:val="24"/>
          <w:szCs w:val="24"/>
        </w:rPr>
        <w:t>se operational</w:t>
      </w:r>
      <w:r w:rsidR="00D340D7" w:rsidRPr="00395738">
        <w:rPr>
          <w:rFonts w:cs="Times New Roman"/>
          <w:color w:val="000000"/>
          <w:sz w:val="24"/>
          <w:szCs w:val="24"/>
        </w:rPr>
        <w:t xml:space="preserve"> problems are not exclusive to CRs</w:t>
      </w:r>
      <w:r w:rsidR="00AE7B5A" w:rsidRPr="00395738">
        <w:rPr>
          <w:rFonts w:cs="Times New Roman"/>
          <w:color w:val="000000"/>
          <w:sz w:val="24"/>
          <w:szCs w:val="24"/>
        </w:rPr>
        <w:t xml:space="preserve">. </w:t>
      </w:r>
      <w:r w:rsidRPr="00395738">
        <w:rPr>
          <w:rFonts w:cs="Times New Roman"/>
          <w:color w:val="000000"/>
          <w:sz w:val="24"/>
          <w:szCs w:val="24"/>
        </w:rPr>
        <w:t>CBs and</w:t>
      </w:r>
      <w:r w:rsidR="00AE7B5A" w:rsidRPr="00395738">
        <w:rPr>
          <w:rFonts w:cs="Times New Roman"/>
          <w:color w:val="000000"/>
          <w:sz w:val="24"/>
          <w:szCs w:val="24"/>
        </w:rPr>
        <w:t>/or</w:t>
      </w:r>
      <w:r w:rsidRPr="00395738">
        <w:rPr>
          <w:rFonts w:cs="Times New Roman"/>
          <w:color w:val="000000"/>
          <w:sz w:val="24"/>
          <w:szCs w:val="24"/>
        </w:rPr>
        <w:t xml:space="preserve"> CCRCs </w:t>
      </w:r>
      <w:r w:rsidR="00AE7B5A" w:rsidRPr="00395738">
        <w:rPr>
          <w:rFonts w:cs="Times New Roman"/>
          <w:color w:val="000000"/>
          <w:sz w:val="24"/>
          <w:szCs w:val="24"/>
        </w:rPr>
        <w:t>may also have limited functionalities with regard to reporting data back to users</w:t>
      </w:r>
      <w:r w:rsidR="00B917F8" w:rsidRPr="00395738">
        <w:rPr>
          <w:rFonts w:cs="Times New Roman"/>
          <w:color w:val="000000"/>
          <w:sz w:val="24"/>
          <w:szCs w:val="24"/>
        </w:rPr>
        <w:t xml:space="preserve"> – in this </w:t>
      </w:r>
      <w:r w:rsidR="004434F7" w:rsidRPr="00395738">
        <w:rPr>
          <w:rFonts w:cs="Times New Roman"/>
          <w:color w:val="000000"/>
          <w:sz w:val="24"/>
          <w:szCs w:val="24"/>
        </w:rPr>
        <w:t xml:space="preserve">specific </w:t>
      </w:r>
      <w:r w:rsidR="00B917F8" w:rsidRPr="00395738">
        <w:rPr>
          <w:rFonts w:cs="Times New Roman"/>
          <w:color w:val="000000"/>
          <w:sz w:val="24"/>
          <w:szCs w:val="24"/>
        </w:rPr>
        <w:t>case the supervisors -</w:t>
      </w:r>
      <w:r w:rsidR="00AE7B5A" w:rsidRPr="00395738">
        <w:rPr>
          <w:rFonts w:cs="Times New Roman"/>
          <w:color w:val="000000"/>
          <w:sz w:val="24"/>
          <w:szCs w:val="24"/>
        </w:rPr>
        <w:t xml:space="preserve"> regardless of the amount and quality of the data available in them. </w:t>
      </w:r>
    </w:p>
    <w:p w14:paraId="797292E1" w14:textId="03C8917E" w:rsidR="00EA784E" w:rsidRPr="00395738" w:rsidRDefault="00D8406C" w:rsidP="00D8406C">
      <w:pPr>
        <w:pStyle w:val="ListParagraph"/>
        <w:numPr>
          <w:ilvl w:val="0"/>
          <w:numId w:val="1"/>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Additionally, when data is obtained from CBs or CCRCs as a complement to d</w:t>
      </w:r>
      <w:r w:rsidR="00EA784E" w:rsidRPr="00395738">
        <w:rPr>
          <w:rFonts w:cs="Times New Roman"/>
          <w:color w:val="000000"/>
          <w:sz w:val="24"/>
          <w:szCs w:val="24"/>
        </w:rPr>
        <w:t xml:space="preserve">ata </w:t>
      </w:r>
      <w:r w:rsidRPr="00395738">
        <w:rPr>
          <w:rFonts w:cs="Times New Roman"/>
          <w:color w:val="000000"/>
          <w:sz w:val="24"/>
          <w:szCs w:val="24"/>
        </w:rPr>
        <w:t xml:space="preserve">available in </w:t>
      </w:r>
      <w:r w:rsidR="00EA784E" w:rsidRPr="00395738">
        <w:rPr>
          <w:rFonts w:cs="Times New Roman"/>
          <w:color w:val="000000"/>
          <w:sz w:val="24"/>
          <w:szCs w:val="24"/>
        </w:rPr>
        <w:t xml:space="preserve">the CR </w:t>
      </w:r>
      <w:r w:rsidR="00C1512A" w:rsidRPr="00395738">
        <w:rPr>
          <w:rFonts w:cs="Times New Roman"/>
          <w:color w:val="000000"/>
          <w:sz w:val="24"/>
          <w:szCs w:val="24"/>
        </w:rPr>
        <w:t>(</w:t>
      </w:r>
      <w:r w:rsidR="00EA784E" w:rsidRPr="00395738">
        <w:rPr>
          <w:rFonts w:cs="Times New Roman"/>
          <w:color w:val="000000"/>
          <w:sz w:val="24"/>
          <w:szCs w:val="24"/>
        </w:rPr>
        <w:t xml:space="preserve">and/or </w:t>
      </w:r>
      <w:r w:rsidR="00C1512A" w:rsidRPr="00395738">
        <w:rPr>
          <w:rFonts w:cs="Times New Roman"/>
          <w:color w:val="000000"/>
          <w:sz w:val="24"/>
          <w:szCs w:val="24"/>
        </w:rPr>
        <w:t xml:space="preserve">in </w:t>
      </w:r>
      <w:r w:rsidR="00EA784E" w:rsidRPr="00395738">
        <w:rPr>
          <w:rFonts w:cs="Times New Roman"/>
          <w:color w:val="000000"/>
          <w:sz w:val="24"/>
          <w:szCs w:val="24"/>
        </w:rPr>
        <w:t xml:space="preserve">other centralized credit databases operated by </w:t>
      </w:r>
      <w:r w:rsidRPr="00395738">
        <w:rPr>
          <w:rFonts w:cs="Times New Roman"/>
          <w:color w:val="000000"/>
          <w:sz w:val="24"/>
          <w:szCs w:val="24"/>
        </w:rPr>
        <w:t>supervisors</w:t>
      </w:r>
      <w:r w:rsidR="00C1512A" w:rsidRPr="00395738">
        <w:rPr>
          <w:rFonts w:cs="Times New Roman"/>
          <w:color w:val="000000"/>
          <w:sz w:val="24"/>
          <w:szCs w:val="24"/>
        </w:rPr>
        <w:t>)</w:t>
      </w:r>
      <w:r w:rsidRPr="00395738">
        <w:rPr>
          <w:rFonts w:cs="Times New Roman"/>
          <w:color w:val="000000"/>
          <w:sz w:val="24"/>
          <w:szCs w:val="24"/>
        </w:rPr>
        <w:t xml:space="preserve">, </w:t>
      </w:r>
      <w:r w:rsidR="00C1512A" w:rsidRPr="00395738">
        <w:rPr>
          <w:rFonts w:cs="Times New Roman"/>
          <w:color w:val="000000"/>
          <w:sz w:val="24"/>
          <w:szCs w:val="24"/>
        </w:rPr>
        <w:t xml:space="preserve">it is not always straightforward </w:t>
      </w:r>
      <w:r w:rsidRPr="00395738">
        <w:rPr>
          <w:rFonts w:cs="Times New Roman"/>
          <w:color w:val="000000"/>
          <w:sz w:val="24"/>
          <w:szCs w:val="24"/>
        </w:rPr>
        <w:t xml:space="preserve">to use this data effectively as certain other operational problems </w:t>
      </w:r>
      <w:r w:rsidR="003F6673" w:rsidRPr="00395738">
        <w:rPr>
          <w:rFonts w:cs="Times New Roman"/>
          <w:color w:val="000000"/>
          <w:sz w:val="24"/>
          <w:szCs w:val="24"/>
        </w:rPr>
        <w:t>may a</w:t>
      </w:r>
      <w:r w:rsidRPr="00395738">
        <w:rPr>
          <w:rFonts w:cs="Times New Roman"/>
          <w:color w:val="000000"/>
          <w:sz w:val="24"/>
          <w:szCs w:val="24"/>
        </w:rPr>
        <w:t>rise</w:t>
      </w:r>
      <w:r w:rsidR="009018A3" w:rsidRPr="00395738">
        <w:rPr>
          <w:rFonts w:cs="Times New Roman"/>
          <w:color w:val="000000"/>
          <w:sz w:val="24"/>
          <w:szCs w:val="24"/>
        </w:rPr>
        <w:t>. Some of the main problems in</w:t>
      </w:r>
      <w:r w:rsidRPr="00395738">
        <w:rPr>
          <w:rFonts w:cs="Times New Roman"/>
          <w:color w:val="000000"/>
          <w:sz w:val="24"/>
          <w:szCs w:val="24"/>
        </w:rPr>
        <w:t xml:space="preserve"> this regard in</w:t>
      </w:r>
      <w:r w:rsidR="009018A3" w:rsidRPr="00395738">
        <w:rPr>
          <w:rFonts w:cs="Times New Roman"/>
          <w:color w:val="000000"/>
          <w:sz w:val="24"/>
          <w:szCs w:val="24"/>
        </w:rPr>
        <w:t>clude:</w:t>
      </w:r>
    </w:p>
    <w:p w14:paraId="71C78333" w14:textId="283AC065" w:rsidR="00EA784E" w:rsidRPr="00395738" w:rsidRDefault="00C1512A" w:rsidP="009018A3">
      <w:pPr>
        <w:pStyle w:val="ListParagraph"/>
        <w:numPr>
          <w:ilvl w:val="0"/>
          <w:numId w:val="9"/>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D</w:t>
      </w:r>
      <w:r w:rsidR="00EA784E" w:rsidRPr="00395738">
        <w:rPr>
          <w:rFonts w:cs="Times New Roman"/>
          <w:color w:val="000000"/>
          <w:sz w:val="24"/>
          <w:szCs w:val="24"/>
        </w:rPr>
        <w:t>ifficult</w:t>
      </w:r>
      <w:r w:rsidRPr="00395738">
        <w:rPr>
          <w:rFonts w:cs="Times New Roman"/>
          <w:color w:val="000000"/>
          <w:sz w:val="24"/>
          <w:szCs w:val="24"/>
        </w:rPr>
        <w:t xml:space="preserve">ies in </w:t>
      </w:r>
      <w:r w:rsidR="00EA784E" w:rsidRPr="00395738">
        <w:rPr>
          <w:rFonts w:cs="Times New Roman"/>
          <w:color w:val="000000"/>
          <w:sz w:val="24"/>
          <w:szCs w:val="24"/>
        </w:rPr>
        <w:t>match</w:t>
      </w:r>
      <w:r w:rsidRPr="00395738">
        <w:rPr>
          <w:rFonts w:cs="Times New Roman"/>
          <w:color w:val="000000"/>
          <w:sz w:val="24"/>
          <w:szCs w:val="24"/>
        </w:rPr>
        <w:t>ing</w:t>
      </w:r>
      <w:r w:rsidR="00EA784E" w:rsidRPr="00395738">
        <w:rPr>
          <w:rFonts w:cs="Times New Roman"/>
          <w:color w:val="000000"/>
          <w:sz w:val="24"/>
          <w:szCs w:val="24"/>
        </w:rPr>
        <w:t xml:space="preserve"> the </w:t>
      </w:r>
      <w:r w:rsidRPr="00395738">
        <w:rPr>
          <w:rFonts w:cs="Times New Roman"/>
          <w:color w:val="000000"/>
          <w:sz w:val="24"/>
          <w:szCs w:val="24"/>
        </w:rPr>
        <w:t>data</w:t>
      </w:r>
      <w:r w:rsidR="00EA784E" w:rsidRPr="00395738">
        <w:rPr>
          <w:rFonts w:cs="Times New Roman"/>
          <w:color w:val="000000"/>
          <w:sz w:val="24"/>
          <w:szCs w:val="24"/>
        </w:rPr>
        <w:t xml:space="preserve"> relat</w:t>
      </w:r>
      <w:r w:rsidR="009018A3" w:rsidRPr="00395738">
        <w:rPr>
          <w:rFonts w:cs="Times New Roman"/>
          <w:color w:val="000000"/>
          <w:sz w:val="24"/>
          <w:szCs w:val="24"/>
        </w:rPr>
        <w:t xml:space="preserve">ed to any </w:t>
      </w:r>
      <w:r w:rsidRPr="00395738">
        <w:rPr>
          <w:rFonts w:cs="Times New Roman"/>
          <w:color w:val="000000"/>
          <w:sz w:val="24"/>
          <w:szCs w:val="24"/>
        </w:rPr>
        <w:t xml:space="preserve">individual </w:t>
      </w:r>
      <w:r w:rsidR="009018A3" w:rsidRPr="00395738">
        <w:rPr>
          <w:rFonts w:cs="Times New Roman"/>
          <w:color w:val="000000"/>
          <w:sz w:val="24"/>
          <w:szCs w:val="24"/>
        </w:rPr>
        <w:t>or institution</w:t>
      </w:r>
      <w:r w:rsidRPr="00395738">
        <w:rPr>
          <w:rFonts w:cs="Times New Roman"/>
          <w:color w:val="000000"/>
          <w:sz w:val="24"/>
          <w:szCs w:val="24"/>
        </w:rPr>
        <w:t xml:space="preserve"> as obtained from CBs or CCRCs to the CR</w:t>
      </w:r>
    </w:p>
    <w:p w14:paraId="0E0124CE" w14:textId="6D00A2EA" w:rsidR="00EA784E" w:rsidRPr="00395738" w:rsidRDefault="00EA784E" w:rsidP="009018A3">
      <w:pPr>
        <w:pStyle w:val="ListParagraph"/>
        <w:numPr>
          <w:ilvl w:val="0"/>
          <w:numId w:val="9"/>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 xml:space="preserve">The layout of </w:t>
      </w:r>
      <w:r w:rsidR="00C1512A" w:rsidRPr="00395738">
        <w:rPr>
          <w:rFonts w:cs="Times New Roman"/>
          <w:color w:val="000000"/>
          <w:sz w:val="24"/>
          <w:szCs w:val="24"/>
        </w:rPr>
        <w:t>data</w:t>
      </w:r>
      <w:r w:rsidR="009018A3" w:rsidRPr="00395738">
        <w:rPr>
          <w:rFonts w:cs="Times New Roman"/>
          <w:color w:val="000000"/>
          <w:sz w:val="24"/>
          <w:szCs w:val="24"/>
        </w:rPr>
        <w:t xml:space="preserve"> is in </w:t>
      </w:r>
      <w:r w:rsidR="00C1512A" w:rsidRPr="00395738">
        <w:rPr>
          <w:rFonts w:cs="Times New Roman"/>
          <w:color w:val="000000"/>
          <w:sz w:val="24"/>
          <w:szCs w:val="24"/>
        </w:rPr>
        <w:t xml:space="preserve">a </w:t>
      </w:r>
      <w:r w:rsidR="009018A3" w:rsidRPr="00395738">
        <w:rPr>
          <w:rFonts w:cs="Times New Roman"/>
          <w:color w:val="000000"/>
          <w:sz w:val="24"/>
          <w:szCs w:val="24"/>
        </w:rPr>
        <w:t>different format</w:t>
      </w:r>
      <w:r w:rsidR="00C1512A" w:rsidRPr="00395738">
        <w:rPr>
          <w:rFonts w:cs="Times New Roman"/>
          <w:color w:val="000000"/>
          <w:sz w:val="24"/>
          <w:szCs w:val="24"/>
        </w:rPr>
        <w:t xml:space="preserve"> from that of the CR</w:t>
      </w:r>
    </w:p>
    <w:p w14:paraId="5CEDAE41" w14:textId="047DAF9B" w:rsidR="009018A3" w:rsidRPr="00395738" w:rsidRDefault="00EA784E" w:rsidP="00D8406C">
      <w:pPr>
        <w:pStyle w:val="ListParagraph"/>
        <w:numPr>
          <w:ilvl w:val="0"/>
          <w:numId w:val="9"/>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The </w:t>
      </w:r>
      <w:r w:rsidR="00C1512A" w:rsidRPr="00395738">
        <w:rPr>
          <w:rFonts w:cs="Times New Roman"/>
          <w:color w:val="000000"/>
          <w:sz w:val="24"/>
          <w:szCs w:val="24"/>
        </w:rPr>
        <w:t xml:space="preserve">frequency </w:t>
      </w:r>
      <w:r w:rsidRPr="00395738">
        <w:rPr>
          <w:rFonts w:cs="Times New Roman"/>
          <w:color w:val="000000"/>
          <w:sz w:val="24"/>
          <w:szCs w:val="24"/>
        </w:rPr>
        <w:t>and histor</w:t>
      </w:r>
      <w:r w:rsidR="009018A3" w:rsidRPr="00395738">
        <w:rPr>
          <w:rFonts w:cs="Times New Roman"/>
          <w:color w:val="000000"/>
          <w:sz w:val="24"/>
          <w:szCs w:val="24"/>
        </w:rPr>
        <w:t xml:space="preserve">ical depth of </w:t>
      </w:r>
      <w:r w:rsidR="00C1512A" w:rsidRPr="00395738">
        <w:rPr>
          <w:rFonts w:cs="Times New Roman"/>
          <w:color w:val="000000"/>
          <w:sz w:val="24"/>
          <w:szCs w:val="24"/>
        </w:rPr>
        <w:t>data are</w:t>
      </w:r>
      <w:r w:rsidRPr="00395738">
        <w:rPr>
          <w:rFonts w:cs="Times New Roman"/>
          <w:color w:val="000000"/>
          <w:sz w:val="24"/>
          <w:szCs w:val="24"/>
        </w:rPr>
        <w:t xml:space="preserve"> not homogenous</w:t>
      </w:r>
      <w:r w:rsidR="00C1512A" w:rsidRPr="00395738">
        <w:rPr>
          <w:rFonts w:cs="Times New Roman"/>
          <w:color w:val="000000"/>
          <w:sz w:val="24"/>
          <w:szCs w:val="24"/>
        </w:rPr>
        <w:t xml:space="preserve"> with those of the CR.</w:t>
      </w:r>
    </w:p>
    <w:p w14:paraId="4516AFC1" w14:textId="7FD10AE6" w:rsidR="00C1512A" w:rsidRPr="00395738" w:rsidRDefault="00C1512A" w:rsidP="00C1512A">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Another possibility is for the supervisors to request the “raw data” available at CBs and CCRCs (i.e. data as originally reported to them by banks and others). However, the viability of this alternative would depend on the availability of highly qualified </w:t>
      </w:r>
      <w:r w:rsidR="0096788F" w:rsidRPr="00395738">
        <w:rPr>
          <w:rFonts w:cs="Times New Roman"/>
          <w:color w:val="000000"/>
          <w:sz w:val="24"/>
          <w:szCs w:val="24"/>
        </w:rPr>
        <w:t xml:space="preserve">statisticians, </w:t>
      </w:r>
      <w:r w:rsidRPr="00395738">
        <w:rPr>
          <w:rFonts w:cs="Times New Roman"/>
          <w:color w:val="000000"/>
          <w:sz w:val="24"/>
          <w:szCs w:val="24"/>
        </w:rPr>
        <w:t xml:space="preserve">IT </w:t>
      </w:r>
      <w:r w:rsidR="0096788F" w:rsidRPr="00395738">
        <w:rPr>
          <w:rFonts w:cs="Times New Roman"/>
          <w:color w:val="000000"/>
          <w:sz w:val="24"/>
          <w:szCs w:val="24"/>
        </w:rPr>
        <w:t xml:space="preserve">and other </w:t>
      </w:r>
      <w:r w:rsidRPr="00395738">
        <w:rPr>
          <w:rFonts w:cs="Times New Roman"/>
          <w:color w:val="000000"/>
          <w:sz w:val="24"/>
          <w:szCs w:val="24"/>
        </w:rPr>
        <w:t>staff at the financial supervision entity, as well as adequate technological tools to make effective use of the data.</w:t>
      </w:r>
    </w:p>
    <w:p w14:paraId="70C458AD" w14:textId="77777777" w:rsidR="005A151A" w:rsidRPr="00395738" w:rsidRDefault="005A151A" w:rsidP="00942E73">
      <w:pPr>
        <w:pStyle w:val="ListParagraph"/>
        <w:numPr>
          <w:ilvl w:val="0"/>
          <w:numId w:val="1"/>
        </w:numPr>
        <w:autoSpaceDE w:val="0"/>
        <w:autoSpaceDN w:val="0"/>
        <w:adjustRightInd w:val="0"/>
        <w:spacing w:after="240" w:line="360" w:lineRule="auto"/>
        <w:contextualSpacing w:val="0"/>
        <w:jc w:val="both"/>
        <w:rPr>
          <w:rFonts w:ascii="Times New Roman" w:hAnsi="Times New Roman" w:cs="Times New Roman"/>
        </w:rPr>
      </w:pPr>
      <w:r w:rsidRPr="00395738">
        <w:rPr>
          <w:rFonts w:ascii="Times New Roman" w:hAnsi="Times New Roman" w:cs="Times New Roman"/>
        </w:rPr>
        <w:br w:type="page"/>
      </w:r>
    </w:p>
    <w:p w14:paraId="378AEBB8" w14:textId="78B61683" w:rsidR="005865B0" w:rsidRPr="00395738" w:rsidRDefault="00017F87" w:rsidP="005865B0">
      <w:pPr>
        <w:pStyle w:val="Heading1"/>
        <w:numPr>
          <w:ilvl w:val="0"/>
          <w:numId w:val="2"/>
        </w:numPr>
        <w:spacing w:after="480"/>
      </w:pPr>
      <w:bookmarkStart w:id="5" w:name="_Toc427686025"/>
      <w:r w:rsidRPr="00395738">
        <w:lastRenderedPageBreak/>
        <w:t>D</w:t>
      </w:r>
      <w:r w:rsidR="005865B0" w:rsidRPr="00395738">
        <w:t xml:space="preserve">ata needs of macro-prudential financial </w:t>
      </w:r>
      <w:r w:rsidR="00B613A7" w:rsidRPr="00395738">
        <w:t>authorities</w:t>
      </w:r>
      <w:r w:rsidR="005865B0" w:rsidRPr="00395738">
        <w:t>: The role of credit reporting service providers</w:t>
      </w:r>
      <w:bookmarkEnd w:id="5"/>
      <w:r w:rsidR="005865B0" w:rsidRPr="00395738">
        <w:t xml:space="preserve"> </w:t>
      </w:r>
    </w:p>
    <w:p w14:paraId="6781C9E2" w14:textId="77777777" w:rsidR="0023164F" w:rsidRPr="00395738" w:rsidRDefault="0023164F" w:rsidP="0023164F">
      <w:pPr>
        <w:pStyle w:val="Subtitle"/>
        <w:spacing w:before="480" w:after="240"/>
        <w:rPr>
          <w:rFonts w:asciiTheme="minorHAnsi" w:hAnsiTheme="minorHAnsi"/>
        </w:rPr>
      </w:pPr>
      <w:r w:rsidRPr="00395738">
        <w:rPr>
          <w:rFonts w:asciiTheme="minorHAnsi" w:hAnsiTheme="minorHAnsi"/>
        </w:rPr>
        <w:t xml:space="preserve">IV.1 Macro-prudential supervision: </w:t>
      </w:r>
      <w:r w:rsidR="00D715BB" w:rsidRPr="00395738">
        <w:rPr>
          <w:rFonts w:asciiTheme="minorHAnsi" w:hAnsiTheme="minorHAnsi"/>
        </w:rPr>
        <w:t>a new role for credit data collected by CRSPs</w:t>
      </w:r>
    </w:p>
    <w:p w14:paraId="792ACD59" w14:textId="3319198B" w:rsidR="0092693C" w:rsidRPr="00395738" w:rsidRDefault="006F7868" w:rsidP="0092693C">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The most recent financial crisis made it evident that the stability of individual financial institutions did not ensure the stability of the financial system as a whole. </w:t>
      </w:r>
      <w:r w:rsidR="0081369C" w:rsidRPr="00395738">
        <w:rPr>
          <w:rFonts w:cs="Times New Roman"/>
          <w:color w:val="000000"/>
          <w:sz w:val="24"/>
          <w:szCs w:val="24"/>
        </w:rPr>
        <w:t>Hence, m</w:t>
      </w:r>
      <w:r w:rsidR="00DE7878" w:rsidRPr="00395738">
        <w:rPr>
          <w:rFonts w:cs="Times New Roman"/>
          <w:color w:val="000000"/>
          <w:sz w:val="24"/>
          <w:szCs w:val="24"/>
        </w:rPr>
        <w:t>acro-prudential supervision</w:t>
      </w:r>
      <w:r w:rsidR="00017F87" w:rsidRPr="00395738">
        <w:rPr>
          <w:rFonts w:cs="Times New Roman"/>
          <w:color w:val="000000"/>
          <w:sz w:val="24"/>
          <w:szCs w:val="24"/>
        </w:rPr>
        <w:t xml:space="preserve"> </w:t>
      </w:r>
      <w:r w:rsidR="0081369C" w:rsidRPr="00395738">
        <w:rPr>
          <w:rFonts w:cs="Times New Roman"/>
          <w:color w:val="000000"/>
          <w:sz w:val="24"/>
          <w:szCs w:val="24"/>
        </w:rPr>
        <w:t xml:space="preserve">has emerged as a complement to micro-prudential supervision. Its </w:t>
      </w:r>
      <w:r w:rsidR="00DE7878" w:rsidRPr="00395738">
        <w:rPr>
          <w:rFonts w:cs="Times New Roman"/>
          <w:color w:val="000000"/>
          <w:sz w:val="24"/>
          <w:szCs w:val="24"/>
        </w:rPr>
        <w:t>focus</w:t>
      </w:r>
      <w:r w:rsidR="0081369C" w:rsidRPr="00395738">
        <w:rPr>
          <w:rFonts w:cs="Times New Roman"/>
          <w:color w:val="000000"/>
          <w:sz w:val="24"/>
          <w:szCs w:val="24"/>
        </w:rPr>
        <w:t xml:space="preserve"> is</w:t>
      </w:r>
      <w:r w:rsidR="00DE7878" w:rsidRPr="00395738">
        <w:rPr>
          <w:rFonts w:cs="Times New Roman"/>
          <w:color w:val="000000"/>
          <w:sz w:val="24"/>
          <w:szCs w:val="24"/>
        </w:rPr>
        <w:t xml:space="preserve"> on monitoring and managing the build-up of risks to systemic financial stability, analyzing the interactions among individual banks and other financial institutions</w:t>
      </w:r>
      <w:r w:rsidR="00C1512A" w:rsidRPr="00395738">
        <w:rPr>
          <w:rFonts w:cs="Times New Roman"/>
          <w:color w:val="000000"/>
          <w:sz w:val="24"/>
          <w:szCs w:val="24"/>
        </w:rPr>
        <w:t>,</w:t>
      </w:r>
      <w:r w:rsidR="00DE7878" w:rsidRPr="00395738">
        <w:rPr>
          <w:rFonts w:cs="Times New Roman"/>
          <w:color w:val="000000"/>
          <w:sz w:val="24"/>
          <w:szCs w:val="24"/>
        </w:rPr>
        <w:t xml:space="preserve"> as well as the feedback loops of the financial sector with the real economy. </w:t>
      </w:r>
    </w:p>
    <w:p w14:paraId="7A14BEE6" w14:textId="094CC2F9" w:rsidR="006F7868" w:rsidRPr="00395738" w:rsidRDefault="0081369C" w:rsidP="00942E73">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Ma</w:t>
      </w:r>
      <w:r w:rsidR="00017F87" w:rsidRPr="00395738">
        <w:rPr>
          <w:rFonts w:cs="Times New Roman"/>
          <w:color w:val="000000"/>
          <w:sz w:val="24"/>
          <w:szCs w:val="24"/>
        </w:rPr>
        <w:t xml:space="preserve">cro-prudential supervision </w:t>
      </w:r>
      <w:r w:rsidRPr="00395738">
        <w:rPr>
          <w:rFonts w:cs="Times New Roman"/>
          <w:color w:val="000000"/>
          <w:sz w:val="24"/>
          <w:szCs w:val="24"/>
        </w:rPr>
        <w:t xml:space="preserve">aims at having </w:t>
      </w:r>
      <w:r w:rsidR="00017F87" w:rsidRPr="00395738">
        <w:rPr>
          <w:rFonts w:cs="Times New Roman"/>
          <w:color w:val="000000"/>
          <w:sz w:val="24"/>
          <w:szCs w:val="24"/>
        </w:rPr>
        <w:t xml:space="preserve">a preventive </w:t>
      </w:r>
      <w:r w:rsidR="004316AA" w:rsidRPr="00395738">
        <w:rPr>
          <w:rFonts w:cs="Times New Roman"/>
          <w:color w:val="000000"/>
          <w:sz w:val="24"/>
          <w:szCs w:val="24"/>
        </w:rPr>
        <w:t>effect</w:t>
      </w:r>
      <w:r w:rsidRPr="00395738">
        <w:rPr>
          <w:rFonts w:cs="Times New Roman"/>
          <w:color w:val="000000"/>
          <w:sz w:val="24"/>
          <w:szCs w:val="24"/>
        </w:rPr>
        <w:t xml:space="preserve">. Its </w:t>
      </w:r>
      <w:r w:rsidR="00371C45" w:rsidRPr="00395738">
        <w:rPr>
          <w:rFonts w:cs="Times New Roman"/>
          <w:color w:val="000000"/>
          <w:sz w:val="24"/>
          <w:szCs w:val="24"/>
        </w:rPr>
        <w:t xml:space="preserve">first objective is </w:t>
      </w:r>
      <w:r w:rsidR="00CD65E2" w:rsidRPr="00395738">
        <w:rPr>
          <w:rFonts w:cs="Times New Roman"/>
          <w:color w:val="000000"/>
          <w:sz w:val="24"/>
          <w:szCs w:val="24"/>
        </w:rPr>
        <w:t xml:space="preserve">therefore </w:t>
      </w:r>
      <w:r w:rsidR="00371C45" w:rsidRPr="00395738">
        <w:rPr>
          <w:rFonts w:cs="Times New Roman"/>
          <w:color w:val="000000"/>
          <w:sz w:val="24"/>
          <w:szCs w:val="24"/>
        </w:rPr>
        <w:t xml:space="preserve">systemic risk </w:t>
      </w:r>
      <w:r w:rsidR="00371C45" w:rsidRPr="00395738">
        <w:rPr>
          <w:rFonts w:cs="Times New Roman"/>
          <w:i/>
          <w:color w:val="000000"/>
          <w:sz w:val="24"/>
          <w:szCs w:val="24"/>
        </w:rPr>
        <w:t>detection</w:t>
      </w:r>
      <w:r w:rsidR="00371C45" w:rsidRPr="00395738">
        <w:rPr>
          <w:rFonts w:cs="Times New Roman"/>
          <w:color w:val="000000"/>
          <w:sz w:val="24"/>
          <w:szCs w:val="24"/>
        </w:rPr>
        <w:t xml:space="preserve"> through </w:t>
      </w:r>
      <w:r w:rsidR="00CD65E2" w:rsidRPr="00395738">
        <w:rPr>
          <w:rFonts w:cs="Times New Roman"/>
          <w:color w:val="000000"/>
          <w:sz w:val="24"/>
          <w:szCs w:val="24"/>
        </w:rPr>
        <w:t xml:space="preserve">the </w:t>
      </w:r>
      <w:r w:rsidR="00371C45" w:rsidRPr="00395738">
        <w:rPr>
          <w:rFonts w:cs="Times New Roman"/>
          <w:color w:val="000000"/>
          <w:sz w:val="24"/>
          <w:szCs w:val="24"/>
        </w:rPr>
        <w:t>analysis</w:t>
      </w:r>
      <w:r w:rsidR="00017F87" w:rsidRPr="00395738">
        <w:rPr>
          <w:rFonts w:cs="Times New Roman"/>
          <w:color w:val="000000"/>
          <w:sz w:val="24"/>
          <w:szCs w:val="24"/>
        </w:rPr>
        <w:t xml:space="preserve"> of a variety of data sources. </w:t>
      </w:r>
      <w:r w:rsidR="00371C45" w:rsidRPr="00395738">
        <w:rPr>
          <w:rFonts w:cs="Times New Roman"/>
          <w:color w:val="000000"/>
          <w:sz w:val="24"/>
          <w:szCs w:val="24"/>
        </w:rPr>
        <w:t xml:space="preserve"> </w:t>
      </w:r>
      <w:r w:rsidR="00CD65E2" w:rsidRPr="00395738">
        <w:rPr>
          <w:rFonts w:cs="Times New Roman"/>
          <w:color w:val="000000"/>
          <w:sz w:val="24"/>
          <w:szCs w:val="24"/>
        </w:rPr>
        <w:t xml:space="preserve">In addition to this, the </w:t>
      </w:r>
      <w:r w:rsidR="00BF2CF8" w:rsidRPr="00395738">
        <w:rPr>
          <w:rFonts w:cs="Times New Roman"/>
          <w:color w:val="000000"/>
          <w:sz w:val="24"/>
          <w:szCs w:val="24"/>
        </w:rPr>
        <w:t xml:space="preserve">macro-prudential supervisory framework </w:t>
      </w:r>
      <w:r w:rsidR="00CD65E2" w:rsidRPr="00395738">
        <w:rPr>
          <w:rFonts w:cs="Times New Roman"/>
          <w:color w:val="000000"/>
          <w:sz w:val="24"/>
          <w:szCs w:val="24"/>
        </w:rPr>
        <w:t xml:space="preserve">entails the design and implementation of </w:t>
      </w:r>
      <w:r w:rsidR="00BF2CF8" w:rsidRPr="00395738">
        <w:rPr>
          <w:rFonts w:cs="Times New Roman"/>
          <w:color w:val="000000"/>
          <w:sz w:val="24"/>
          <w:szCs w:val="24"/>
        </w:rPr>
        <w:t>specific instruments</w:t>
      </w:r>
      <w:r w:rsidR="0002410F" w:rsidRPr="00395738">
        <w:rPr>
          <w:rFonts w:cs="Times New Roman"/>
          <w:color w:val="000000"/>
          <w:sz w:val="24"/>
          <w:szCs w:val="24"/>
        </w:rPr>
        <w:t xml:space="preserve"> or </w:t>
      </w:r>
      <w:r w:rsidR="006009FF" w:rsidRPr="00395738">
        <w:rPr>
          <w:rFonts w:cs="Times New Roman"/>
          <w:color w:val="000000"/>
          <w:sz w:val="24"/>
          <w:szCs w:val="24"/>
        </w:rPr>
        <w:t>measures</w:t>
      </w:r>
      <w:r w:rsidR="00BF2CF8" w:rsidRPr="00395738">
        <w:rPr>
          <w:rFonts w:cs="Times New Roman"/>
          <w:color w:val="000000"/>
          <w:sz w:val="24"/>
          <w:szCs w:val="24"/>
        </w:rPr>
        <w:t xml:space="preserve"> to </w:t>
      </w:r>
      <w:r w:rsidR="00DE7878" w:rsidRPr="00395738">
        <w:rPr>
          <w:rFonts w:cs="Times New Roman"/>
          <w:color w:val="000000"/>
          <w:sz w:val="24"/>
          <w:szCs w:val="24"/>
        </w:rPr>
        <w:t xml:space="preserve">enable authorities to </w:t>
      </w:r>
      <w:r w:rsidR="00DE7878" w:rsidRPr="00395738">
        <w:rPr>
          <w:rFonts w:cs="Times New Roman"/>
          <w:i/>
          <w:color w:val="000000"/>
          <w:sz w:val="24"/>
          <w:szCs w:val="24"/>
        </w:rPr>
        <w:t xml:space="preserve">address </w:t>
      </w:r>
      <w:r w:rsidR="00CD65E2" w:rsidRPr="00395738">
        <w:rPr>
          <w:rFonts w:cs="Times New Roman"/>
          <w:i/>
          <w:color w:val="000000"/>
          <w:sz w:val="24"/>
          <w:szCs w:val="24"/>
        </w:rPr>
        <w:t>and mitigate</w:t>
      </w:r>
      <w:r w:rsidR="00CD65E2" w:rsidRPr="00395738">
        <w:rPr>
          <w:rFonts w:cs="Times New Roman"/>
          <w:color w:val="000000"/>
          <w:sz w:val="24"/>
          <w:szCs w:val="24"/>
        </w:rPr>
        <w:t xml:space="preserve"> </w:t>
      </w:r>
      <w:r w:rsidR="0092693C" w:rsidRPr="00395738">
        <w:rPr>
          <w:rFonts w:cs="Times New Roman"/>
          <w:color w:val="000000"/>
          <w:sz w:val="24"/>
          <w:szCs w:val="24"/>
        </w:rPr>
        <w:t>the build-up of risks</w:t>
      </w:r>
      <w:r w:rsidR="00CD65E2" w:rsidRPr="00395738">
        <w:rPr>
          <w:rFonts w:cs="Times New Roman"/>
          <w:color w:val="000000"/>
          <w:sz w:val="24"/>
          <w:szCs w:val="24"/>
        </w:rPr>
        <w:t xml:space="preserve"> to systemic financial stability</w:t>
      </w:r>
      <w:r w:rsidR="00DE7878" w:rsidRPr="00395738">
        <w:rPr>
          <w:rFonts w:cs="Times New Roman"/>
          <w:color w:val="000000"/>
          <w:sz w:val="24"/>
          <w:szCs w:val="24"/>
        </w:rPr>
        <w:t>.</w:t>
      </w:r>
      <w:r w:rsidR="00BF2CF8" w:rsidRPr="00395738">
        <w:rPr>
          <w:rStyle w:val="FootnoteReference"/>
          <w:rFonts w:cs="Times New Roman"/>
          <w:color w:val="000000"/>
          <w:sz w:val="24"/>
          <w:szCs w:val="24"/>
        </w:rPr>
        <w:footnoteReference w:id="46"/>
      </w:r>
      <w:r w:rsidR="006A7F14" w:rsidRPr="00395738">
        <w:rPr>
          <w:rFonts w:cs="Times New Roman"/>
          <w:color w:val="000000"/>
          <w:sz w:val="24"/>
          <w:szCs w:val="24"/>
        </w:rPr>
        <w:t xml:space="preserve"> </w:t>
      </w:r>
      <w:r w:rsidR="006D1E1A" w:rsidRPr="00395738">
        <w:rPr>
          <w:rFonts w:cs="Times New Roman"/>
          <w:color w:val="000000"/>
          <w:sz w:val="24"/>
          <w:szCs w:val="24"/>
        </w:rPr>
        <w:t>F</w:t>
      </w:r>
      <w:r w:rsidR="006A7F14" w:rsidRPr="00395738">
        <w:rPr>
          <w:rFonts w:cs="Times New Roman"/>
          <w:color w:val="000000"/>
          <w:sz w:val="24"/>
          <w:szCs w:val="24"/>
        </w:rPr>
        <w:t xml:space="preserve">or example, </w:t>
      </w:r>
      <w:r w:rsidR="006F7868" w:rsidRPr="00395738">
        <w:rPr>
          <w:rFonts w:cs="Times New Roman"/>
          <w:color w:val="000000"/>
          <w:sz w:val="24"/>
          <w:szCs w:val="24"/>
        </w:rPr>
        <w:t>t</w:t>
      </w:r>
      <w:r w:rsidR="007008AF" w:rsidRPr="00395738">
        <w:rPr>
          <w:rFonts w:cs="Times New Roman"/>
          <w:color w:val="000000"/>
          <w:sz w:val="24"/>
          <w:szCs w:val="24"/>
        </w:rPr>
        <w:t xml:space="preserve">he Basel III </w:t>
      </w:r>
      <w:r w:rsidR="00BF2CF8" w:rsidRPr="00395738">
        <w:rPr>
          <w:rFonts w:cs="Times New Roman"/>
          <w:color w:val="000000"/>
          <w:sz w:val="24"/>
          <w:szCs w:val="24"/>
        </w:rPr>
        <w:t>A</w:t>
      </w:r>
      <w:r w:rsidR="007008AF" w:rsidRPr="00395738">
        <w:rPr>
          <w:rFonts w:cs="Times New Roman"/>
          <w:color w:val="000000"/>
          <w:sz w:val="24"/>
          <w:szCs w:val="24"/>
        </w:rPr>
        <w:t xml:space="preserve">ccord </w:t>
      </w:r>
      <w:r w:rsidR="006A7F14" w:rsidRPr="00395738">
        <w:rPr>
          <w:rFonts w:cs="Times New Roman"/>
          <w:color w:val="000000"/>
          <w:sz w:val="24"/>
          <w:szCs w:val="24"/>
        </w:rPr>
        <w:t xml:space="preserve">included tools with a </w:t>
      </w:r>
      <w:r w:rsidR="007008AF" w:rsidRPr="00395738">
        <w:rPr>
          <w:rFonts w:cs="Times New Roman"/>
          <w:color w:val="000000"/>
          <w:sz w:val="24"/>
          <w:szCs w:val="24"/>
        </w:rPr>
        <w:t xml:space="preserve">macro-prudential dimension </w:t>
      </w:r>
      <w:r w:rsidR="00DE7878" w:rsidRPr="00395738">
        <w:rPr>
          <w:rFonts w:cs="Times New Roman"/>
          <w:color w:val="000000"/>
          <w:sz w:val="24"/>
          <w:szCs w:val="24"/>
        </w:rPr>
        <w:t xml:space="preserve">(i.e. the countercyclical buffer) </w:t>
      </w:r>
      <w:r w:rsidR="007008AF" w:rsidRPr="00395738">
        <w:rPr>
          <w:rFonts w:cs="Times New Roman"/>
          <w:color w:val="000000"/>
          <w:sz w:val="24"/>
          <w:szCs w:val="24"/>
        </w:rPr>
        <w:t xml:space="preserve">designed to address systemic risk. </w:t>
      </w:r>
    </w:p>
    <w:p w14:paraId="08EC693B" w14:textId="11E1F2DA" w:rsidR="0023164F" w:rsidRPr="00395738" w:rsidRDefault="006A7F14" w:rsidP="00555D86">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More often than not, risks </w:t>
      </w:r>
      <w:r w:rsidR="0092693C" w:rsidRPr="00395738">
        <w:rPr>
          <w:rFonts w:cs="Times New Roman"/>
          <w:color w:val="000000"/>
          <w:sz w:val="24"/>
          <w:szCs w:val="24"/>
        </w:rPr>
        <w:t xml:space="preserve">to systemic financial stability </w:t>
      </w:r>
      <w:r w:rsidRPr="00395738">
        <w:rPr>
          <w:rFonts w:cs="Times New Roman"/>
          <w:color w:val="000000"/>
          <w:sz w:val="24"/>
          <w:szCs w:val="24"/>
        </w:rPr>
        <w:t>are generated endogenously during expansionary phases of the credit and business cycles (i.e. the so-called “credit booms”).</w:t>
      </w:r>
      <w:r w:rsidR="0092693C" w:rsidRPr="00395738">
        <w:rPr>
          <w:rStyle w:val="FootnoteReference"/>
          <w:rFonts w:cs="Times New Roman"/>
          <w:color w:val="000000"/>
          <w:sz w:val="24"/>
          <w:szCs w:val="24"/>
        </w:rPr>
        <w:footnoteReference w:id="47"/>
      </w:r>
      <w:r w:rsidRPr="00395738">
        <w:rPr>
          <w:rFonts w:cs="Times New Roman"/>
          <w:color w:val="000000"/>
          <w:sz w:val="24"/>
          <w:szCs w:val="24"/>
        </w:rPr>
        <w:t xml:space="preserve"> In those times, financial institutions’ perceptions of risk tend to recede, and financial institutions do not internalize the adverse externalities </w:t>
      </w:r>
      <w:r w:rsidR="0039082D" w:rsidRPr="00395738">
        <w:rPr>
          <w:rFonts w:cs="Times New Roman"/>
          <w:color w:val="000000"/>
          <w:sz w:val="24"/>
          <w:szCs w:val="24"/>
        </w:rPr>
        <w:t xml:space="preserve">that </w:t>
      </w:r>
      <w:r w:rsidRPr="00395738">
        <w:rPr>
          <w:rFonts w:cs="Times New Roman"/>
          <w:color w:val="000000"/>
          <w:sz w:val="24"/>
          <w:szCs w:val="24"/>
        </w:rPr>
        <w:t>their increased risk-taking behavior may generate on the economy as a whole. Hence, i</w:t>
      </w:r>
      <w:r w:rsidR="00555D86" w:rsidRPr="00395738">
        <w:rPr>
          <w:rFonts w:cs="Times New Roman"/>
          <w:color w:val="000000"/>
          <w:sz w:val="24"/>
          <w:szCs w:val="24"/>
        </w:rPr>
        <w:t xml:space="preserve">mplementation </w:t>
      </w:r>
      <w:r w:rsidR="00DE7878" w:rsidRPr="00395738">
        <w:rPr>
          <w:rFonts w:cs="Times New Roman"/>
          <w:color w:val="000000"/>
          <w:sz w:val="24"/>
          <w:szCs w:val="24"/>
        </w:rPr>
        <w:t xml:space="preserve">of </w:t>
      </w:r>
      <w:r w:rsidR="0023164F" w:rsidRPr="00395738">
        <w:rPr>
          <w:rFonts w:cs="Times New Roman"/>
          <w:color w:val="000000"/>
          <w:sz w:val="24"/>
          <w:szCs w:val="24"/>
        </w:rPr>
        <w:t xml:space="preserve">the </w:t>
      </w:r>
      <w:r w:rsidR="00555D86" w:rsidRPr="00395738">
        <w:rPr>
          <w:rFonts w:cs="Times New Roman"/>
          <w:color w:val="000000"/>
          <w:sz w:val="24"/>
          <w:szCs w:val="24"/>
        </w:rPr>
        <w:t>macro</w:t>
      </w:r>
      <w:r w:rsidR="00DE7878" w:rsidRPr="00395738">
        <w:rPr>
          <w:rFonts w:cs="Times New Roman"/>
          <w:color w:val="000000"/>
          <w:sz w:val="24"/>
          <w:szCs w:val="24"/>
        </w:rPr>
        <w:t>-</w:t>
      </w:r>
      <w:r w:rsidR="00555D86" w:rsidRPr="00395738">
        <w:rPr>
          <w:rFonts w:cs="Times New Roman"/>
          <w:color w:val="000000"/>
          <w:sz w:val="24"/>
          <w:szCs w:val="24"/>
        </w:rPr>
        <w:t xml:space="preserve">prudential </w:t>
      </w:r>
      <w:r w:rsidR="0023164F" w:rsidRPr="00395738">
        <w:rPr>
          <w:rFonts w:cs="Times New Roman"/>
          <w:color w:val="000000"/>
          <w:sz w:val="24"/>
          <w:szCs w:val="24"/>
        </w:rPr>
        <w:t xml:space="preserve">policy framework </w:t>
      </w:r>
      <w:r w:rsidR="00555D86" w:rsidRPr="00395738">
        <w:rPr>
          <w:rFonts w:cs="Times New Roman"/>
          <w:color w:val="000000"/>
          <w:sz w:val="24"/>
          <w:szCs w:val="24"/>
        </w:rPr>
        <w:t>into central banks</w:t>
      </w:r>
      <w:r w:rsidR="00DE7878" w:rsidRPr="00395738">
        <w:rPr>
          <w:rFonts w:cs="Times New Roman"/>
          <w:color w:val="000000"/>
          <w:sz w:val="24"/>
          <w:szCs w:val="24"/>
        </w:rPr>
        <w:t xml:space="preserve"> and other supervisors’</w:t>
      </w:r>
      <w:r w:rsidR="00555D86" w:rsidRPr="00395738">
        <w:rPr>
          <w:rFonts w:cs="Times New Roman"/>
          <w:color w:val="000000"/>
          <w:sz w:val="24"/>
          <w:szCs w:val="24"/>
        </w:rPr>
        <w:t xml:space="preserve"> </w:t>
      </w:r>
      <w:r w:rsidR="00DE7878" w:rsidRPr="00395738">
        <w:rPr>
          <w:rFonts w:cs="Times New Roman"/>
          <w:color w:val="000000"/>
          <w:sz w:val="24"/>
          <w:szCs w:val="24"/>
        </w:rPr>
        <w:t xml:space="preserve">routine </w:t>
      </w:r>
      <w:r w:rsidR="00DE7878" w:rsidRPr="00395738">
        <w:rPr>
          <w:rFonts w:cs="Times New Roman"/>
          <w:color w:val="000000"/>
          <w:sz w:val="24"/>
          <w:szCs w:val="24"/>
        </w:rPr>
        <w:lastRenderedPageBreak/>
        <w:t xml:space="preserve">activities </w:t>
      </w:r>
      <w:r w:rsidR="00555D86" w:rsidRPr="00395738">
        <w:rPr>
          <w:rFonts w:cs="Times New Roman"/>
          <w:color w:val="000000"/>
          <w:sz w:val="24"/>
          <w:szCs w:val="24"/>
        </w:rPr>
        <w:t xml:space="preserve">has increased </w:t>
      </w:r>
      <w:r w:rsidR="007F6CDE" w:rsidRPr="00395738">
        <w:rPr>
          <w:rFonts w:cs="Times New Roman"/>
          <w:color w:val="000000"/>
          <w:sz w:val="24"/>
          <w:szCs w:val="24"/>
        </w:rPr>
        <w:t xml:space="preserve">the </w:t>
      </w:r>
      <w:r w:rsidR="00555D86" w:rsidRPr="00395738">
        <w:rPr>
          <w:rFonts w:cs="Times New Roman"/>
          <w:color w:val="000000"/>
          <w:sz w:val="24"/>
          <w:szCs w:val="24"/>
        </w:rPr>
        <w:t xml:space="preserve">demand for </w:t>
      </w:r>
      <w:r w:rsidR="00DE7878" w:rsidRPr="00395738">
        <w:rPr>
          <w:rFonts w:cs="Times New Roman"/>
          <w:color w:val="000000"/>
          <w:sz w:val="24"/>
          <w:szCs w:val="24"/>
        </w:rPr>
        <w:t xml:space="preserve">credit </w:t>
      </w:r>
      <w:r w:rsidR="00555D86" w:rsidRPr="00395738">
        <w:rPr>
          <w:rFonts w:cs="Times New Roman"/>
          <w:color w:val="000000"/>
          <w:sz w:val="24"/>
          <w:szCs w:val="24"/>
        </w:rPr>
        <w:t xml:space="preserve">data </w:t>
      </w:r>
      <w:r w:rsidR="0023164F" w:rsidRPr="00395738">
        <w:rPr>
          <w:rFonts w:cs="Times New Roman"/>
          <w:color w:val="000000"/>
          <w:sz w:val="24"/>
          <w:szCs w:val="24"/>
        </w:rPr>
        <w:t xml:space="preserve">that can be used </w:t>
      </w:r>
      <w:r w:rsidRPr="00395738">
        <w:rPr>
          <w:rFonts w:cs="Times New Roman"/>
          <w:color w:val="000000"/>
          <w:sz w:val="24"/>
          <w:szCs w:val="24"/>
        </w:rPr>
        <w:t xml:space="preserve">to analyze </w:t>
      </w:r>
      <w:r w:rsidR="00CD65E2" w:rsidRPr="00395738">
        <w:rPr>
          <w:rFonts w:cs="Times New Roman"/>
          <w:color w:val="000000"/>
          <w:sz w:val="24"/>
          <w:szCs w:val="24"/>
        </w:rPr>
        <w:t xml:space="preserve">financial </w:t>
      </w:r>
      <w:r w:rsidRPr="00395738">
        <w:rPr>
          <w:rFonts w:cs="Times New Roman"/>
          <w:color w:val="000000"/>
          <w:sz w:val="24"/>
          <w:szCs w:val="24"/>
        </w:rPr>
        <w:t>sector lending activity from a systemic perspective</w:t>
      </w:r>
      <w:r w:rsidR="00555D86" w:rsidRPr="00395738">
        <w:rPr>
          <w:rFonts w:cs="Times New Roman"/>
          <w:color w:val="000000"/>
          <w:sz w:val="24"/>
          <w:szCs w:val="24"/>
        </w:rPr>
        <w:t>.</w:t>
      </w:r>
    </w:p>
    <w:p w14:paraId="708DB0A8" w14:textId="77777777" w:rsidR="000614CF" w:rsidRPr="00395738" w:rsidRDefault="000614CF" w:rsidP="000614CF">
      <w:pPr>
        <w:pStyle w:val="Subtitle"/>
        <w:spacing w:before="480" w:after="240"/>
        <w:rPr>
          <w:rFonts w:asciiTheme="minorHAnsi" w:hAnsiTheme="minorHAnsi"/>
        </w:rPr>
      </w:pPr>
      <w:r w:rsidRPr="00395738">
        <w:rPr>
          <w:rFonts w:asciiTheme="minorHAnsi" w:hAnsiTheme="minorHAnsi"/>
        </w:rPr>
        <w:t xml:space="preserve">IV.2 Credit data needs for macro-prudential </w:t>
      </w:r>
      <w:r w:rsidR="00B613A7" w:rsidRPr="00395738">
        <w:rPr>
          <w:rFonts w:asciiTheme="minorHAnsi" w:hAnsiTheme="minorHAnsi"/>
        </w:rPr>
        <w:t>authorities</w:t>
      </w:r>
      <w:r w:rsidRPr="00395738">
        <w:rPr>
          <w:rFonts w:asciiTheme="minorHAnsi" w:hAnsiTheme="minorHAnsi"/>
        </w:rPr>
        <w:t>: Core analytical supervisory tasks with regard to assessing overall financial stability</w:t>
      </w:r>
    </w:p>
    <w:p w14:paraId="7896C4B0" w14:textId="77777777" w:rsidR="00632257" w:rsidRPr="00395738" w:rsidRDefault="00BF2CF8" w:rsidP="00632257">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As mentioned earlier, the macro-prudential supervisory framework comprises systemic risk </w:t>
      </w:r>
      <w:r w:rsidRPr="00395738">
        <w:rPr>
          <w:rFonts w:cs="Times New Roman"/>
          <w:i/>
          <w:color w:val="000000"/>
          <w:sz w:val="24"/>
          <w:szCs w:val="24"/>
        </w:rPr>
        <w:t>detection</w:t>
      </w:r>
      <w:r w:rsidRPr="00395738">
        <w:rPr>
          <w:rFonts w:cs="Times New Roman"/>
          <w:color w:val="000000"/>
          <w:sz w:val="24"/>
          <w:szCs w:val="24"/>
        </w:rPr>
        <w:t xml:space="preserve"> through analysis, and systemic risk </w:t>
      </w:r>
      <w:r w:rsidRPr="00395738">
        <w:rPr>
          <w:rFonts w:cs="Times New Roman"/>
          <w:i/>
          <w:color w:val="000000"/>
          <w:sz w:val="24"/>
          <w:szCs w:val="24"/>
        </w:rPr>
        <w:t>mitigation</w:t>
      </w:r>
      <w:r w:rsidRPr="00395738">
        <w:rPr>
          <w:rFonts w:cs="Times New Roman"/>
          <w:color w:val="000000"/>
          <w:sz w:val="24"/>
          <w:szCs w:val="24"/>
        </w:rPr>
        <w:t xml:space="preserve"> through policy measures.</w:t>
      </w:r>
      <w:r w:rsidR="00CD65E2" w:rsidRPr="00395738">
        <w:rPr>
          <w:rFonts w:cs="Times New Roman"/>
          <w:color w:val="000000"/>
          <w:sz w:val="24"/>
          <w:szCs w:val="24"/>
        </w:rPr>
        <w:t xml:space="preserve"> </w:t>
      </w:r>
      <w:r w:rsidR="000614CF" w:rsidRPr="00395738">
        <w:rPr>
          <w:rFonts w:cs="Times New Roman"/>
          <w:color w:val="000000"/>
          <w:sz w:val="24"/>
          <w:szCs w:val="24"/>
        </w:rPr>
        <w:t xml:space="preserve">At </w:t>
      </w:r>
      <w:r w:rsidR="00C96A46" w:rsidRPr="00395738">
        <w:rPr>
          <w:rFonts w:cs="Times New Roman"/>
          <w:color w:val="000000"/>
          <w:sz w:val="24"/>
          <w:szCs w:val="24"/>
        </w:rPr>
        <w:t xml:space="preserve">the risk </w:t>
      </w:r>
      <w:r w:rsidR="003A6D7C" w:rsidRPr="00395738">
        <w:rPr>
          <w:rFonts w:cs="Times New Roman"/>
          <w:color w:val="000000"/>
          <w:sz w:val="24"/>
          <w:szCs w:val="24"/>
        </w:rPr>
        <w:t>detection s</w:t>
      </w:r>
      <w:r w:rsidR="00C96A46" w:rsidRPr="00395738">
        <w:rPr>
          <w:rFonts w:cs="Times New Roman"/>
          <w:color w:val="000000"/>
          <w:sz w:val="24"/>
          <w:szCs w:val="24"/>
        </w:rPr>
        <w:t>tage</w:t>
      </w:r>
      <w:r w:rsidR="000614CF" w:rsidRPr="00395738">
        <w:rPr>
          <w:rFonts w:cs="Times New Roman"/>
          <w:color w:val="000000"/>
          <w:sz w:val="24"/>
          <w:szCs w:val="24"/>
        </w:rPr>
        <w:t xml:space="preserve"> or analytical stage</w:t>
      </w:r>
      <w:r w:rsidR="00C96A46" w:rsidRPr="00395738">
        <w:rPr>
          <w:rFonts w:cs="Times New Roman"/>
          <w:color w:val="000000"/>
          <w:sz w:val="24"/>
          <w:szCs w:val="24"/>
        </w:rPr>
        <w:t xml:space="preserve">, relevant indicators help detect and assess vulnerabilities. </w:t>
      </w:r>
      <w:r w:rsidR="00BB173C" w:rsidRPr="00395738">
        <w:rPr>
          <w:rFonts w:cs="Times New Roman"/>
          <w:color w:val="000000"/>
          <w:sz w:val="24"/>
          <w:szCs w:val="24"/>
        </w:rPr>
        <w:t>Al</w:t>
      </w:r>
      <w:r w:rsidR="008F7F82" w:rsidRPr="00395738">
        <w:rPr>
          <w:rFonts w:cs="Times New Roman"/>
          <w:color w:val="000000"/>
          <w:sz w:val="24"/>
          <w:szCs w:val="24"/>
        </w:rPr>
        <w:t>beit</w:t>
      </w:r>
      <w:r w:rsidR="00BB173C" w:rsidRPr="00395738">
        <w:rPr>
          <w:rFonts w:cs="Times New Roman"/>
          <w:color w:val="000000"/>
          <w:sz w:val="24"/>
          <w:szCs w:val="24"/>
        </w:rPr>
        <w:t xml:space="preserve"> with a different focus, </w:t>
      </w:r>
      <w:r w:rsidR="008F7F82" w:rsidRPr="00395738">
        <w:rPr>
          <w:rFonts w:cs="Times New Roman"/>
          <w:color w:val="000000"/>
          <w:sz w:val="24"/>
          <w:szCs w:val="24"/>
        </w:rPr>
        <w:t xml:space="preserve">when it comes to analyzing risks in lending </w:t>
      </w:r>
      <w:r w:rsidR="00BB173C" w:rsidRPr="00395738">
        <w:rPr>
          <w:rFonts w:cs="Times New Roman"/>
          <w:color w:val="000000"/>
          <w:sz w:val="24"/>
          <w:szCs w:val="24"/>
        </w:rPr>
        <w:t>t</w:t>
      </w:r>
      <w:r w:rsidR="00665BD7" w:rsidRPr="00395738">
        <w:rPr>
          <w:rFonts w:cs="Times New Roman"/>
          <w:color w:val="000000"/>
          <w:sz w:val="24"/>
          <w:szCs w:val="24"/>
        </w:rPr>
        <w:t xml:space="preserve">he </w:t>
      </w:r>
      <w:r w:rsidR="00BB173C" w:rsidRPr="00395738">
        <w:rPr>
          <w:rFonts w:cs="Times New Roman"/>
          <w:color w:val="000000"/>
          <w:sz w:val="24"/>
          <w:szCs w:val="24"/>
        </w:rPr>
        <w:t>analytical categories that are of interest for</w:t>
      </w:r>
      <w:r w:rsidR="00665BD7" w:rsidRPr="00395738">
        <w:rPr>
          <w:rFonts w:cs="Times New Roman"/>
          <w:color w:val="000000"/>
          <w:sz w:val="24"/>
          <w:szCs w:val="24"/>
        </w:rPr>
        <w:t xml:space="preserve"> macro-prudential </w:t>
      </w:r>
      <w:r w:rsidR="008D5035" w:rsidRPr="00395738">
        <w:rPr>
          <w:rFonts w:cs="Times New Roman"/>
          <w:color w:val="000000"/>
          <w:sz w:val="24"/>
          <w:szCs w:val="24"/>
        </w:rPr>
        <w:t xml:space="preserve">authorities </w:t>
      </w:r>
      <w:r w:rsidR="00665BD7" w:rsidRPr="00395738">
        <w:rPr>
          <w:rFonts w:cs="Times New Roman"/>
          <w:color w:val="000000"/>
          <w:sz w:val="24"/>
          <w:szCs w:val="24"/>
        </w:rPr>
        <w:t xml:space="preserve">are </w:t>
      </w:r>
      <w:r w:rsidR="00BB173C" w:rsidRPr="00395738">
        <w:rPr>
          <w:rFonts w:cs="Times New Roman"/>
          <w:color w:val="000000"/>
          <w:sz w:val="24"/>
          <w:szCs w:val="24"/>
        </w:rPr>
        <w:t xml:space="preserve">similar </w:t>
      </w:r>
      <w:r w:rsidR="008D5035" w:rsidRPr="00395738">
        <w:rPr>
          <w:rFonts w:cs="Times New Roman"/>
          <w:color w:val="000000"/>
          <w:sz w:val="24"/>
          <w:szCs w:val="24"/>
        </w:rPr>
        <w:t xml:space="preserve">to </w:t>
      </w:r>
      <w:r w:rsidR="00BB173C" w:rsidRPr="00395738">
        <w:rPr>
          <w:rFonts w:cs="Times New Roman"/>
          <w:color w:val="000000"/>
          <w:sz w:val="24"/>
          <w:szCs w:val="24"/>
        </w:rPr>
        <w:t>those of micro-prudential supervisors.</w:t>
      </w:r>
      <w:r w:rsidR="00665BD7" w:rsidRPr="00395738">
        <w:rPr>
          <w:rFonts w:cs="Times New Roman"/>
          <w:color w:val="000000"/>
          <w:sz w:val="24"/>
          <w:szCs w:val="24"/>
        </w:rPr>
        <w:t xml:space="preserve"> </w:t>
      </w:r>
    </w:p>
    <w:p w14:paraId="6A89D2B8" w14:textId="7BF88309" w:rsidR="003D1AD4" w:rsidRPr="00395738" w:rsidRDefault="00BB173C" w:rsidP="008E3EEA">
      <w:pPr>
        <w:pStyle w:val="ListParagraph"/>
        <w:numPr>
          <w:ilvl w:val="0"/>
          <w:numId w:val="1"/>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Therefore, c</w:t>
      </w:r>
      <w:r w:rsidR="003D1AD4" w:rsidRPr="00395738">
        <w:rPr>
          <w:rFonts w:cs="Times New Roman"/>
          <w:color w:val="000000"/>
          <w:sz w:val="24"/>
          <w:szCs w:val="24"/>
        </w:rPr>
        <w:t xml:space="preserve">redit data </w:t>
      </w:r>
      <w:r w:rsidR="003A6D7C" w:rsidRPr="00395738">
        <w:rPr>
          <w:rFonts w:cs="Times New Roman"/>
          <w:color w:val="000000"/>
          <w:sz w:val="24"/>
          <w:szCs w:val="24"/>
        </w:rPr>
        <w:t xml:space="preserve">collected </w:t>
      </w:r>
      <w:r w:rsidR="00665BD7" w:rsidRPr="00395738">
        <w:rPr>
          <w:rFonts w:cs="Times New Roman"/>
          <w:color w:val="000000"/>
          <w:sz w:val="24"/>
          <w:szCs w:val="24"/>
        </w:rPr>
        <w:t xml:space="preserve">on a regular basis </w:t>
      </w:r>
      <w:r w:rsidR="003A6D7C" w:rsidRPr="00395738">
        <w:rPr>
          <w:rFonts w:cs="Times New Roman"/>
          <w:color w:val="000000"/>
          <w:sz w:val="24"/>
          <w:szCs w:val="24"/>
        </w:rPr>
        <w:t xml:space="preserve">by CRs, CBs and CCRCs </w:t>
      </w:r>
      <w:r w:rsidR="003D1AD4" w:rsidRPr="00395738">
        <w:rPr>
          <w:rFonts w:cs="Times New Roman"/>
          <w:color w:val="000000"/>
          <w:sz w:val="24"/>
          <w:szCs w:val="24"/>
        </w:rPr>
        <w:t xml:space="preserve">can </w:t>
      </w:r>
      <w:r w:rsidRPr="00395738">
        <w:rPr>
          <w:rFonts w:cs="Times New Roman"/>
          <w:color w:val="000000"/>
          <w:sz w:val="24"/>
          <w:szCs w:val="24"/>
        </w:rPr>
        <w:t xml:space="preserve">also </w:t>
      </w:r>
      <w:r w:rsidR="003D1AD4" w:rsidRPr="00395738">
        <w:rPr>
          <w:rFonts w:cs="Times New Roman"/>
          <w:color w:val="000000"/>
          <w:sz w:val="24"/>
          <w:szCs w:val="24"/>
        </w:rPr>
        <w:t xml:space="preserve">be used to </w:t>
      </w:r>
      <w:r w:rsidR="008779EB" w:rsidRPr="00395738">
        <w:rPr>
          <w:rFonts w:cs="Times New Roman"/>
          <w:color w:val="000000"/>
          <w:sz w:val="24"/>
          <w:szCs w:val="24"/>
        </w:rPr>
        <w:t xml:space="preserve">help </w:t>
      </w:r>
      <w:r w:rsidRPr="00395738">
        <w:rPr>
          <w:rFonts w:cs="Times New Roman"/>
          <w:color w:val="000000"/>
          <w:sz w:val="24"/>
          <w:szCs w:val="24"/>
        </w:rPr>
        <w:t xml:space="preserve">perform analyses </w:t>
      </w:r>
      <w:r w:rsidR="004316AA" w:rsidRPr="00395738">
        <w:rPr>
          <w:rFonts w:cs="Times New Roman"/>
          <w:color w:val="000000"/>
          <w:sz w:val="24"/>
          <w:szCs w:val="24"/>
        </w:rPr>
        <w:t>like the following</w:t>
      </w:r>
      <w:r w:rsidRPr="00395738">
        <w:rPr>
          <w:rFonts w:cs="Times New Roman"/>
          <w:color w:val="000000"/>
          <w:sz w:val="24"/>
          <w:szCs w:val="24"/>
        </w:rPr>
        <w:t xml:space="preserve"> for detecting the potential build-up of risks for systemic financial stability</w:t>
      </w:r>
      <w:r w:rsidR="003D1AD4" w:rsidRPr="00395738">
        <w:rPr>
          <w:rFonts w:cs="Times New Roman"/>
          <w:color w:val="000000"/>
          <w:sz w:val="24"/>
          <w:szCs w:val="24"/>
        </w:rPr>
        <w:t>:</w:t>
      </w:r>
      <w:r w:rsidR="003A6D7C" w:rsidRPr="00395738">
        <w:rPr>
          <w:rFonts w:cs="Times New Roman"/>
          <w:color w:val="000000"/>
          <w:sz w:val="24"/>
          <w:szCs w:val="24"/>
        </w:rPr>
        <w:t xml:space="preserve"> </w:t>
      </w:r>
    </w:p>
    <w:p w14:paraId="4465D52E" w14:textId="77777777" w:rsidR="00563174" w:rsidRPr="00395738" w:rsidRDefault="005A23F2" w:rsidP="00FD4D18">
      <w:pPr>
        <w:pStyle w:val="ListParagraph"/>
        <w:numPr>
          <w:ilvl w:val="0"/>
          <w:numId w:val="4"/>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C</w:t>
      </w:r>
      <w:r w:rsidR="00563174" w:rsidRPr="00395738">
        <w:rPr>
          <w:rFonts w:cs="Times New Roman"/>
          <w:color w:val="000000"/>
          <w:sz w:val="24"/>
          <w:szCs w:val="24"/>
        </w:rPr>
        <w:t>redit growth</w:t>
      </w:r>
      <w:r w:rsidR="001739DC" w:rsidRPr="00395738">
        <w:rPr>
          <w:rFonts w:cs="Times New Roman"/>
          <w:color w:val="000000"/>
          <w:sz w:val="24"/>
          <w:szCs w:val="24"/>
        </w:rPr>
        <w:t xml:space="preserve"> in the financial sector:</w:t>
      </w:r>
      <w:r w:rsidRPr="00395738">
        <w:rPr>
          <w:rFonts w:cs="Times New Roman"/>
          <w:color w:val="000000"/>
          <w:sz w:val="24"/>
          <w:szCs w:val="24"/>
        </w:rPr>
        <w:t xml:space="preserve"> </w:t>
      </w:r>
      <w:r w:rsidR="008F7F82" w:rsidRPr="00395738">
        <w:rPr>
          <w:rFonts w:cs="Times New Roman"/>
          <w:color w:val="000000"/>
          <w:sz w:val="24"/>
          <w:szCs w:val="24"/>
        </w:rPr>
        <w:t xml:space="preserve">for example, </w:t>
      </w:r>
      <w:r w:rsidR="001739DC" w:rsidRPr="00395738">
        <w:rPr>
          <w:rFonts w:cs="Times New Roman"/>
          <w:color w:val="000000"/>
          <w:sz w:val="24"/>
          <w:szCs w:val="24"/>
        </w:rPr>
        <w:t xml:space="preserve">at the level of </w:t>
      </w:r>
      <w:r w:rsidRPr="00395738">
        <w:rPr>
          <w:rFonts w:cs="Times New Roman"/>
          <w:color w:val="000000"/>
          <w:sz w:val="24"/>
          <w:szCs w:val="24"/>
        </w:rPr>
        <w:t>individual credit institution</w:t>
      </w:r>
      <w:r w:rsidR="001739DC" w:rsidRPr="00395738">
        <w:rPr>
          <w:rFonts w:cs="Times New Roman"/>
          <w:color w:val="000000"/>
          <w:sz w:val="24"/>
          <w:szCs w:val="24"/>
        </w:rPr>
        <w:t>s</w:t>
      </w:r>
      <w:r w:rsidRPr="00395738">
        <w:rPr>
          <w:rFonts w:cs="Times New Roman"/>
          <w:color w:val="000000"/>
          <w:sz w:val="24"/>
          <w:szCs w:val="24"/>
        </w:rPr>
        <w:t xml:space="preserve">, by </w:t>
      </w:r>
      <w:r w:rsidR="001739DC" w:rsidRPr="00395738">
        <w:rPr>
          <w:rFonts w:cs="Times New Roman"/>
          <w:color w:val="000000"/>
          <w:sz w:val="24"/>
          <w:szCs w:val="24"/>
        </w:rPr>
        <w:t xml:space="preserve">type of </w:t>
      </w:r>
      <w:r w:rsidRPr="00395738">
        <w:rPr>
          <w:rFonts w:cs="Times New Roman"/>
          <w:color w:val="000000"/>
          <w:sz w:val="24"/>
          <w:szCs w:val="24"/>
        </w:rPr>
        <w:t xml:space="preserve">credit institution, </w:t>
      </w:r>
      <w:r w:rsidR="001739DC" w:rsidRPr="00395738">
        <w:rPr>
          <w:rFonts w:cs="Times New Roman"/>
          <w:color w:val="000000"/>
          <w:sz w:val="24"/>
          <w:szCs w:val="24"/>
        </w:rPr>
        <w:t>at the level of the sector as a whole</w:t>
      </w:r>
      <w:r w:rsidRPr="00395738">
        <w:rPr>
          <w:rFonts w:cs="Times New Roman"/>
          <w:color w:val="000000"/>
          <w:sz w:val="24"/>
          <w:szCs w:val="24"/>
        </w:rPr>
        <w:t>, etc.</w:t>
      </w:r>
    </w:p>
    <w:p w14:paraId="11B0149D" w14:textId="77777777" w:rsidR="001739DC" w:rsidRPr="00395738" w:rsidRDefault="001739DC" w:rsidP="00FD4D18">
      <w:pPr>
        <w:pStyle w:val="ListParagraph"/>
        <w:numPr>
          <w:ilvl w:val="0"/>
          <w:numId w:val="4"/>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Credit growth by non-financial sector lenders</w:t>
      </w:r>
    </w:p>
    <w:p w14:paraId="2B1388C7" w14:textId="77777777" w:rsidR="005A23F2" w:rsidRPr="00395738" w:rsidRDefault="005A23F2" w:rsidP="00FD4D18">
      <w:pPr>
        <w:pStyle w:val="ListParagraph"/>
        <w:numPr>
          <w:ilvl w:val="0"/>
          <w:numId w:val="4"/>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Building of asset bubbles</w:t>
      </w:r>
      <w:r w:rsidR="001739DC" w:rsidRPr="00395738">
        <w:rPr>
          <w:rFonts w:cs="Times New Roman"/>
          <w:color w:val="000000"/>
          <w:sz w:val="24"/>
          <w:szCs w:val="24"/>
        </w:rPr>
        <w:t xml:space="preserve">: </w:t>
      </w:r>
      <w:r w:rsidR="0081369C" w:rsidRPr="00395738">
        <w:rPr>
          <w:rFonts w:cs="Times New Roman"/>
          <w:color w:val="000000"/>
          <w:sz w:val="24"/>
          <w:szCs w:val="24"/>
        </w:rPr>
        <w:t xml:space="preserve">for example, trends in the </w:t>
      </w:r>
      <w:r w:rsidR="00867022" w:rsidRPr="00395738">
        <w:rPr>
          <w:rFonts w:cs="Times New Roman"/>
          <w:color w:val="000000"/>
          <w:sz w:val="24"/>
          <w:szCs w:val="24"/>
        </w:rPr>
        <w:t xml:space="preserve">value of residential and commercial mortgage loans, changes in </w:t>
      </w:r>
      <w:r w:rsidR="001739DC" w:rsidRPr="00395738">
        <w:rPr>
          <w:rFonts w:cs="Times New Roman"/>
          <w:color w:val="000000"/>
          <w:sz w:val="24"/>
          <w:szCs w:val="24"/>
        </w:rPr>
        <w:t xml:space="preserve">the </w:t>
      </w:r>
      <w:r w:rsidRPr="00395738">
        <w:rPr>
          <w:rFonts w:cs="Times New Roman"/>
          <w:color w:val="000000"/>
          <w:sz w:val="24"/>
          <w:szCs w:val="24"/>
        </w:rPr>
        <w:t xml:space="preserve">value of </w:t>
      </w:r>
      <w:r w:rsidR="00CD65E2" w:rsidRPr="00395738">
        <w:rPr>
          <w:rFonts w:cs="Times New Roman"/>
          <w:color w:val="000000"/>
          <w:sz w:val="24"/>
          <w:szCs w:val="24"/>
        </w:rPr>
        <w:t xml:space="preserve">real estate </w:t>
      </w:r>
      <w:r w:rsidR="00867022" w:rsidRPr="00395738">
        <w:rPr>
          <w:rFonts w:cs="Times New Roman"/>
          <w:color w:val="000000"/>
          <w:sz w:val="24"/>
          <w:szCs w:val="24"/>
        </w:rPr>
        <w:t xml:space="preserve">property </w:t>
      </w:r>
      <w:r w:rsidR="001739DC" w:rsidRPr="00395738">
        <w:rPr>
          <w:rFonts w:cs="Times New Roman"/>
          <w:color w:val="000000"/>
          <w:sz w:val="24"/>
          <w:szCs w:val="24"/>
        </w:rPr>
        <w:t xml:space="preserve">pledged </w:t>
      </w:r>
      <w:r w:rsidR="00CD65E2" w:rsidRPr="00395738">
        <w:rPr>
          <w:rFonts w:cs="Times New Roman"/>
          <w:color w:val="000000"/>
          <w:sz w:val="24"/>
          <w:szCs w:val="24"/>
        </w:rPr>
        <w:t xml:space="preserve">as </w:t>
      </w:r>
      <w:r w:rsidRPr="00395738">
        <w:rPr>
          <w:rFonts w:cs="Times New Roman"/>
          <w:color w:val="000000"/>
          <w:sz w:val="24"/>
          <w:szCs w:val="24"/>
        </w:rPr>
        <w:t>collateral</w:t>
      </w:r>
      <w:r w:rsidR="00867022" w:rsidRPr="00395738">
        <w:rPr>
          <w:rFonts w:cs="Times New Roman"/>
          <w:color w:val="000000"/>
          <w:sz w:val="24"/>
          <w:szCs w:val="24"/>
        </w:rPr>
        <w:t>, changes in the value of other assets pledged as collateral, etc.</w:t>
      </w:r>
    </w:p>
    <w:p w14:paraId="2773078C" w14:textId="77777777" w:rsidR="004E7460" w:rsidRPr="00395738" w:rsidRDefault="003D1AD4" w:rsidP="00FD4D18">
      <w:pPr>
        <w:pStyle w:val="ListParagraph"/>
        <w:numPr>
          <w:ilvl w:val="0"/>
          <w:numId w:val="4"/>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Concentration risk</w:t>
      </w:r>
      <w:r w:rsidR="00665BD7" w:rsidRPr="00395738">
        <w:rPr>
          <w:rFonts w:cs="Times New Roman"/>
          <w:color w:val="000000"/>
          <w:sz w:val="24"/>
          <w:szCs w:val="24"/>
        </w:rPr>
        <w:t xml:space="preserve">: share of total and/or new lending to specific economic sectors or activities, growth rates of lending to those economic sector or activities, </w:t>
      </w:r>
      <w:r w:rsidR="004E7460" w:rsidRPr="00395738">
        <w:rPr>
          <w:rFonts w:cs="Times New Roman"/>
          <w:color w:val="000000"/>
          <w:sz w:val="24"/>
          <w:szCs w:val="24"/>
        </w:rPr>
        <w:t>etc.</w:t>
      </w:r>
    </w:p>
    <w:p w14:paraId="02F543C1" w14:textId="77777777" w:rsidR="003D1AD4" w:rsidRPr="00395738" w:rsidRDefault="003D1AD4" w:rsidP="00FD4D18">
      <w:pPr>
        <w:pStyle w:val="ListParagraph"/>
        <w:numPr>
          <w:ilvl w:val="0"/>
          <w:numId w:val="4"/>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 xml:space="preserve">Contagion (spillover) risk </w:t>
      </w:r>
      <w:r w:rsidR="004E7460" w:rsidRPr="00395738">
        <w:rPr>
          <w:rFonts w:cs="Times New Roman"/>
          <w:color w:val="000000"/>
          <w:sz w:val="24"/>
          <w:szCs w:val="24"/>
        </w:rPr>
        <w:t xml:space="preserve">and </w:t>
      </w:r>
      <w:r w:rsidRPr="00395738">
        <w:rPr>
          <w:rFonts w:cs="Times New Roman"/>
          <w:color w:val="000000"/>
          <w:sz w:val="24"/>
          <w:szCs w:val="24"/>
        </w:rPr>
        <w:t>interconnectedness</w:t>
      </w:r>
      <w:r w:rsidR="00F674DE" w:rsidRPr="00395738">
        <w:rPr>
          <w:rFonts w:cs="Times New Roman"/>
          <w:color w:val="000000"/>
          <w:sz w:val="24"/>
          <w:szCs w:val="24"/>
        </w:rPr>
        <w:t xml:space="preserve">: </w:t>
      </w:r>
      <w:r w:rsidR="004E7460" w:rsidRPr="00395738">
        <w:rPr>
          <w:rFonts w:cs="Times New Roman"/>
          <w:color w:val="000000"/>
          <w:sz w:val="24"/>
          <w:szCs w:val="24"/>
        </w:rPr>
        <w:t>from/to/with other institutions in the financial sector, from/to the real sector or interconnections with real sector entities, from/to other countries through cross-border lending activity, etc.</w:t>
      </w:r>
    </w:p>
    <w:p w14:paraId="1634F7F1" w14:textId="77777777" w:rsidR="004E7460" w:rsidRPr="00395738" w:rsidRDefault="004E7460" w:rsidP="00FD4D18">
      <w:pPr>
        <w:pStyle w:val="ListParagraph"/>
        <w:numPr>
          <w:ilvl w:val="0"/>
          <w:numId w:val="4"/>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Credit risk transfer</w:t>
      </w:r>
    </w:p>
    <w:p w14:paraId="09188E35" w14:textId="2F158391" w:rsidR="00665BD7" w:rsidRPr="00395738" w:rsidRDefault="00632257" w:rsidP="0085406B">
      <w:pPr>
        <w:pStyle w:val="ListParagraph"/>
        <w:numPr>
          <w:ilvl w:val="0"/>
          <w:numId w:val="4"/>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Estimates of d</w:t>
      </w:r>
      <w:r w:rsidR="00097126" w:rsidRPr="00395738">
        <w:rPr>
          <w:rFonts w:cs="Times New Roman"/>
          <w:color w:val="000000"/>
          <w:sz w:val="24"/>
          <w:szCs w:val="24"/>
        </w:rPr>
        <w:t>ebt service ratio</w:t>
      </w:r>
      <w:r w:rsidR="00DE5163" w:rsidRPr="00395738">
        <w:rPr>
          <w:rFonts w:cs="Times New Roman"/>
          <w:color w:val="000000"/>
          <w:sz w:val="24"/>
          <w:szCs w:val="24"/>
        </w:rPr>
        <w:t>s</w:t>
      </w:r>
      <w:r w:rsidR="00097126" w:rsidRPr="00395738">
        <w:rPr>
          <w:rFonts w:cs="Times New Roman"/>
          <w:color w:val="000000"/>
          <w:sz w:val="24"/>
          <w:szCs w:val="24"/>
        </w:rPr>
        <w:t xml:space="preserve"> of households and corporates and other risks for loan repayment</w:t>
      </w:r>
    </w:p>
    <w:p w14:paraId="0E142D79" w14:textId="77777777" w:rsidR="00097126" w:rsidRPr="00395738" w:rsidRDefault="00097126" w:rsidP="00097126">
      <w:pPr>
        <w:pStyle w:val="ListParagraph"/>
        <w:numPr>
          <w:ilvl w:val="0"/>
          <w:numId w:val="4"/>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lastRenderedPageBreak/>
        <w:t>Magnitude and relevance of non-performing loans: their share in the total loan portfolio of banks and other credit institutions, changes and recent trends, etc.</w:t>
      </w:r>
    </w:p>
    <w:p w14:paraId="3721207F" w14:textId="7EC83580" w:rsidR="00CC3993" w:rsidRPr="00395738" w:rsidRDefault="00CC3993" w:rsidP="00D15C69">
      <w:pPr>
        <w:pStyle w:val="ListParagraph"/>
        <w:numPr>
          <w:ilvl w:val="0"/>
          <w:numId w:val="4"/>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Individual performance of systemically important credit institutions</w:t>
      </w:r>
      <w:r w:rsidR="00234573" w:rsidRPr="00395738">
        <w:rPr>
          <w:rFonts w:cs="Times New Roman"/>
          <w:color w:val="000000"/>
          <w:sz w:val="24"/>
          <w:szCs w:val="24"/>
        </w:rPr>
        <w:t>.</w:t>
      </w:r>
    </w:p>
    <w:p w14:paraId="38F5B52D" w14:textId="77777777" w:rsidR="00FE5ACB" w:rsidRPr="00395738" w:rsidRDefault="00D84684" w:rsidP="00D15C69">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In addition to detection of risks, analysis of credit data can help in </w:t>
      </w:r>
      <w:r w:rsidR="00FE5ACB" w:rsidRPr="00395738">
        <w:rPr>
          <w:rFonts w:cs="Times New Roman"/>
          <w:color w:val="000000"/>
          <w:sz w:val="24"/>
          <w:szCs w:val="24"/>
        </w:rPr>
        <w:t xml:space="preserve">defining and setting </w:t>
      </w:r>
      <w:r w:rsidR="0002737F" w:rsidRPr="00395738">
        <w:rPr>
          <w:rFonts w:cs="Times New Roman"/>
          <w:color w:val="000000"/>
          <w:sz w:val="24"/>
          <w:szCs w:val="24"/>
        </w:rPr>
        <w:t>indicative thresholds to guide policy</w:t>
      </w:r>
      <w:r w:rsidRPr="00395738">
        <w:rPr>
          <w:rFonts w:cs="Times New Roman"/>
          <w:color w:val="000000"/>
          <w:sz w:val="24"/>
          <w:szCs w:val="24"/>
        </w:rPr>
        <w:t xml:space="preserve"> decisions </w:t>
      </w:r>
      <w:r w:rsidR="00FE5ACB" w:rsidRPr="00395738">
        <w:rPr>
          <w:rFonts w:cs="Times New Roman"/>
          <w:color w:val="000000"/>
          <w:sz w:val="24"/>
          <w:szCs w:val="24"/>
        </w:rPr>
        <w:t xml:space="preserve">on </w:t>
      </w:r>
      <w:r w:rsidRPr="00395738">
        <w:rPr>
          <w:rFonts w:cs="Times New Roman"/>
          <w:i/>
          <w:color w:val="000000"/>
          <w:sz w:val="24"/>
          <w:szCs w:val="24"/>
        </w:rPr>
        <w:t>when</w:t>
      </w:r>
      <w:r w:rsidRPr="00395738">
        <w:rPr>
          <w:rFonts w:cs="Times New Roman"/>
          <w:color w:val="000000"/>
          <w:sz w:val="24"/>
          <w:szCs w:val="24"/>
        </w:rPr>
        <w:t xml:space="preserve"> </w:t>
      </w:r>
      <w:r w:rsidR="00FE5ACB" w:rsidRPr="00395738">
        <w:rPr>
          <w:rFonts w:cs="Times New Roman"/>
          <w:color w:val="000000"/>
          <w:sz w:val="24"/>
          <w:szCs w:val="24"/>
        </w:rPr>
        <w:t>a</w:t>
      </w:r>
      <w:r w:rsidR="004827B6" w:rsidRPr="00395738">
        <w:rPr>
          <w:rFonts w:cs="Times New Roman"/>
          <w:color w:val="000000"/>
          <w:sz w:val="24"/>
          <w:szCs w:val="24"/>
        </w:rPr>
        <w:t xml:space="preserve"> preventive</w:t>
      </w:r>
      <w:r w:rsidR="00FE5ACB" w:rsidRPr="00395738">
        <w:rPr>
          <w:rFonts w:cs="Times New Roman"/>
          <w:color w:val="000000"/>
          <w:sz w:val="24"/>
          <w:szCs w:val="24"/>
        </w:rPr>
        <w:t xml:space="preserve"> </w:t>
      </w:r>
      <w:r w:rsidRPr="00395738">
        <w:rPr>
          <w:rFonts w:cs="Times New Roman"/>
          <w:color w:val="000000"/>
          <w:sz w:val="24"/>
          <w:szCs w:val="24"/>
        </w:rPr>
        <w:t>interven</w:t>
      </w:r>
      <w:r w:rsidR="00FE5ACB" w:rsidRPr="00395738">
        <w:rPr>
          <w:rFonts w:cs="Times New Roman"/>
          <w:color w:val="000000"/>
          <w:sz w:val="24"/>
          <w:szCs w:val="24"/>
        </w:rPr>
        <w:t xml:space="preserve">tion from the authorities responsible for financial stability may become necessary. </w:t>
      </w:r>
    </w:p>
    <w:p w14:paraId="453455D1" w14:textId="55114FDC" w:rsidR="00BE6DE5" w:rsidRPr="00395738" w:rsidRDefault="00FE5ACB" w:rsidP="00D15C69">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As for </w:t>
      </w:r>
      <w:r w:rsidR="004827B6" w:rsidRPr="00395738">
        <w:rPr>
          <w:rFonts w:cs="Times New Roman"/>
          <w:color w:val="000000"/>
          <w:sz w:val="24"/>
          <w:szCs w:val="24"/>
        </w:rPr>
        <w:t xml:space="preserve">the </w:t>
      </w:r>
      <w:r w:rsidRPr="00395738">
        <w:rPr>
          <w:rFonts w:cs="Times New Roman"/>
          <w:i/>
          <w:color w:val="000000"/>
          <w:sz w:val="24"/>
          <w:szCs w:val="24"/>
        </w:rPr>
        <w:t>form</w:t>
      </w:r>
      <w:r w:rsidRPr="00395738">
        <w:rPr>
          <w:rFonts w:cs="Times New Roman"/>
          <w:color w:val="000000"/>
          <w:sz w:val="24"/>
          <w:szCs w:val="24"/>
        </w:rPr>
        <w:t xml:space="preserve"> of such an intervention, credit reporting can also provide key inputs for instrument design and calibration. </w:t>
      </w:r>
      <w:r w:rsidR="0074287B" w:rsidRPr="00395738">
        <w:rPr>
          <w:rFonts w:cs="Times New Roman"/>
          <w:color w:val="000000"/>
          <w:sz w:val="24"/>
          <w:szCs w:val="24"/>
        </w:rPr>
        <w:t>Th</w:t>
      </w:r>
      <w:r w:rsidR="00591B4F" w:rsidRPr="00395738">
        <w:rPr>
          <w:rFonts w:cs="Times New Roman"/>
          <w:color w:val="000000"/>
          <w:sz w:val="24"/>
          <w:szCs w:val="24"/>
        </w:rPr>
        <w:t>is aspect is</w:t>
      </w:r>
      <w:r w:rsidR="0074287B" w:rsidRPr="00395738">
        <w:rPr>
          <w:rFonts w:cs="Times New Roman"/>
          <w:color w:val="000000"/>
          <w:sz w:val="24"/>
          <w:szCs w:val="24"/>
        </w:rPr>
        <w:t xml:space="preserve"> discussed in </w:t>
      </w:r>
      <w:r w:rsidR="00234573" w:rsidRPr="00395738">
        <w:rPr>
          <w:rFonts w:cs="Times New Roman"/>
          <w:color w:val="000000"/>
          <w:sz w:val="24"/>
          <w:szCs w:val="24"/>
        </w:rPr>
        <w:t xml:space="preserve">more </w:t>
      </w:r>
      <w:r w:rsidR="00591B4F" w:rsidRPr="00395738">
        <w:rPr>
          <w:rFonts w:cs="Times New Roman"/>
          <w:color w:val="000000"/>
          <w:sz w:val="24"/>
          <w:szCs w:val="24"/>
        </w:rPr>
        <w:t xml:space="preserve">detail in </w:t>
      </w:r>
      <w:r w:rsidR="0074287B" w:rsidRPr="00395738">
        <w:rPr>
          <w:rFonts w:cs="Times New Roman"/>
          <w:color w:val="000000"/>
          <w:sz w:val="24"/>
          <w:szCs w:val="24"/>
        </w:rPr>
        <w:t>chap</w:t>
      </w:r>
      <w:r w:rsidR="00591B4F" w:rsidRPr="00395738">
        <w:rPr>
          <w:rFonts w:cs="Times New Roman"/>
          <w:color w:val="000000"/>
          <w:sz w:val="24"/>
          <w:szCs w:val="24"/>
        </w:rPr>
        <w:t>t</w:t>
      </w:r>
      <w:r w:rsidR="0074287B" w:rsidRPr="00395738">
        <w:rPr>
          <w:rFonts w:cs="Times New Roman"/>
          <w:color w:val="000000"/>
          <w:sz w:val="24"/>
          <w:szCs w:val="24"/>
        </w:rPr>
        <w:t xml:space="preserve">er </w:t>
      </w:r>
      <w:r w:rsidR="00D20C03" w:rsidRPr="00395738">
        <w:rPr>
          <w:rFonts w:cs="Times New Roman"/>
          <w:color w:val="000000"/>
          <w:sz w:val="24"/>
          <w:szCs w:val="24"/>
        </w:rPr>
        <w:t>V</w:t>
      </w:r>
      <w:r w:rsidR="0074287B" w:rsidRPr="00395738">
        <w:rPr>
          <w:rFonts w:cs="Times New Roman"/>
          <w:color w:val="000000"/>
          <w:sz w:val="24"/>
          <w:szCs w:val="24"/>
        </w:rPr>
        <w:t xml:space="preserve">. </w:t>
      </w:r>
    </w:p>
    <w:p w14:paraId="03CCFDEF" w14:textId="77777777" w:rsidR="00313E69" w:rsidRPr="00395738" w:rsidRDefault="004827B6" w:rsidP="00D15C69">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Credit data in CRSPs can also be used to produce e</w:t>
      </w:r>
      <w:r w:rsidR="00BE6DE5" w:rsidRPr="00395738">
        <w:rPr>
          <w:rFonts w:cs="Times New Roman"/>
          <w:color w:val="000000"/>
          <w:sz w:val="24"/>
          <w:szCs w:val="24"/>
        </w:rPr>
        <w:t xml:space="preserve">nhanced statistics for </w:t>
      </w:r>
      <w:r w:rsidRPr="00395738">
        <w:rPr>
          <w:rFonts w:cs="Times New Roman"/>
          <w:color w:val="000000"/>
          <w:sz w:val="24"/>
          <w:szCs w:val="24"/>
        </w:rPr>
        <w:t xml:space="preserve">broader </w:t>
      </w:r>
      <w:r w:rsidR="00BE6DE5" w:rsidRPr="00395738">
        <w:rPr>
          <w:rFonts w:cs="Times New Roman"/>
          <w:color w:val="000000"/>
          <w:sz w:val="24"/>
          <w:szCs w:val="24"/>
        </w:rPr>
        <w:t>economic and financial stability analyses</w:t>
      </w:r>
      <w:r w:rsidRPr="00395738">
        <w:rPr>
          <w:rFonts w:cs="Times New Roman"/>
          <w:color w:val="000000"/>
          <w:sz w:val="24"/>
          <w:szCs w:val="24"/>
        </w:rPr>
        <w:t>. At th</w:t>
      </w:r>
      <w:r w:rsidR="00533A01" w:rsidRPr="00395738">
        <w:rPr>
          <w:rFonts w:cs="Times New Roman"/>
          <w:color w:val="000000"/>
          <w:sz w:val="24"/>
          <w:szCs w:val="24"/>
        </w:rPr>
        <w:t xml:space="preserve">is point, </w:t>
      </w:r>
      <w:r w:rsidRPr="00395738">
        <w:rPr>
          <w:rFonts w:cs="Times New Roman"/>
          <w:color w:val="000000"/>
          <w:sz w:val="24"/>
          <w:szCs w:val="24"/>
        </w:rPr>
        <w:t xml:space="preserve">however, </w:t>
      </w:r>
      <w:r w:rsidR="00313E69" w:rsidRPr="00395738">
        <w:rPr>
          <w:rFonts w:cs="Times New Roman"/>
          <w:color w:val="000000"/>
          <w:sz w:val="24"/>
          <w:szCs w:val="24"/>
        </w:rPr>
        <w:t xml:space="preserve">it should be noted that </w:t>
      </w:r>
      <w:r w:rsidRPr="00395738">
        <w:rPr>
          <w:rFonts w:cs="Times New Roman"/>
          <w:color w:val="000000"/>
          <w:sz w:val="24"/>
          <w:szCs w:val="24"/>
        </w:rPr>
        <w:t>centralized credit databases are only one of the data inputs i</w:t>
      </w:r>
      <w:r w:rsidR="00313E69" w:rsidRPr="00395738">
        <w:rPr>
          <w:rFonts w:cs="Times New Roman"/>
          <w:color w:val="000000"/>
          <w:sz w:val="24"/>
          <w:szCs w:val="24"/>
        </w:rPr>
        <w:t xml:space="preserve">n the macro-prudential framework. </w:t>
      </w:r>
      <w:r w:rsidR="00045CDE" w:rsidRPr="00395738">
        <w:rPr>
          <w:rFonts w:cs="Times New Roman"/>
          <w:color w:val="000000"/>
          <w:sz w:val="24"/>
          <w:szCs w:val="24"/>
        </w:rPr>
        <w:t xml:space="preserve">Adopting a system-wide perspective requires inputs from many sources. </w:t>
      </w:r>
      <w:r w:rsidRPr="00395738">
        <w:rPr>
          <w:rFonts w:cs="Times New Roman"/>
          <w:color w:val="000000"/>
          <w:sz w:val="24"/>
          <w:szCs w:val="24"/>
        </w:rPr>
        <w:t xml:space="preserve">For example, </w:t>
      </w:r>
      <w:r w:rsidR="00045CDE" w:rsidRPr="00395738">
        <w:rPr>
          <w:rFonts w:cs="Times New Roman"/>
          <w:color w:val="000000"/>
          <w:sz w:val="24"/>
          <w:szCs w:val="24"/>
        </w:rPr>
        <w:t>in addition to making an informed assessment of the financial position of households and enterprises, ma</w:t>
      </w:r>
      <w:r w:rsidR="00313E69" w:rsidRPr="00395738">
        <w:rPr>
          <w:rFonts w:cs="Times New Roman"/>
          <w:color w:val="000000"/>
          <w:sz w:val="24"/>
          <w:szCs w:val="24"/>
        </w:rPr>
        <w:t xml:space="preserve">cro-prudential analysis also entails the monitoring of high frequency financial market data, systemic liquidity conditions, macroeconomic data, and financial </w:t>
      </w:r>
      <w:r w:rsidR="00045CDE" w:rsidRPr="00395738">
        <w:rPr>
          <w:rFonts w:cs="Times New Roman"/>
          <w:color w:val="000000"/>
          <w:sz w:val="24"/>
          <w:szCs w:val="24"/>
        </w:rPr>
        <w:t xml:space="preserve">and real sector </w:t>
      </w:r>
      <w:r w:rsidR="00313E69" w:rsidRPr="00395738">
        <w:rPr>
          <w:rFonts w:cs="Times New Roman"/>
          <w:color w:val="000000"/>
          <w:sz w:val="24"/>
          <w:szCs w:val="24"/>
        </w:rPr>
        <w:t>asset prices</w:t>
      </w:r>
      <w:r w:rsidR="00045CDE" w:rsidRPr="00395738">
        <w:rPr>
          <w:rFonts w:cs="Times New Roman"/>
          <w:color w:val="000000"/>
          <w:sz w:val="24"/>
          <w:szCs w:val="24"/>
        </w:rPr>
        <w:t>, among other variables.</w:t>
      </w:r>
    </w:p>
    <w:p w14:paraId="6A36667B" w14:textId="77777777" w:rsidR="00BC3548" w:rsidRPr="00395738" w:rsidRDefault="00BC3548" w:rsidP="00BC3548">
      <w:pPr>
        <w:pStyle w:val="Subtitle"/>
        <w:spacing w:before="480" w:after="240"/>
        <w:rPr>
          <w:rFonts w:asciiTheme="minorHAnsi" w:hAnsiTheme="minorHAnsi"/>
        </w:rPr>
      </w:pPr>
      <w:r w:rsidRPr="00395738">
        <w:rPr>
          <w:rFonts w:asciiTheme="minorHAnsi" w:hAnsiTheme="minorHAnsi"/>
        </w:rPr>
        <w:t>I</w:t>
      </w:r>
      <w:r w:rsidR="00B13A92" w:rsidRPr="00395738">
        <w:rPr>
          <w:rFonts w:asciiTheme="minorHAnsi" w:hAnsiTheme="minorHAnsi"/>
        </w:rPr>
        <w:t>V</w:t>
      </w:r>
      <w:r w:rsidRPr="00395738">
        <w:rPr>
          <w:rFonts w:asciiTheme="minorHAnsi" w:hAnsiTheme="minorHAnsi"/>
        </w:rPr>
        <w:t xml:space="preserve">.3 Typical problems that CRSPs face for making available the credit data that macro-prudential </w:t>
      </w:r>
      <w:r w:rsidR="00B613A7" w:rsidRPr="00395738">
        <w:rPr>
          <w:rFonts w:asciiTheme="minorHAnsi" w:hAnsiTheme="minorHAnsi"/>
        </w:rPr>
        <w:t xml:space="preserve">authorities </w:t>
      </w:r>
      <w:r w:rsidRPr="00395738">
        <w:rPr>
          <w:rFonts w:asciiTheme="minorHAnsi" w:hAnsiTheme="minorHAnsi"/>
        </w:rPr>
        <w:t>require for their analyses</w:t>
      </w:r>
    </w:p>
    <w:p w14:paraId="4406606A" w14:textId="07AB7389" w:rsidR="001F09B5" w:rsidRPr="00395738" w:rsidRDefault="001F09B5" w:rsidP="00D15C69">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Performing analys</w:t>
      </w:r>
      <w:r w:rsidR="00E916E5" w:rsidRPr="00395738">
        <w:rPr>
          <w:rFonts w:cs="Times New Roman"/>
          <w:color w:val="000000"/>
          <w:sz w:val="24"/>
          <w:szCs w:val="24"/>
        </w:rPr>
        <w:t>e</w:t>
      </w:r>
      <w:r w:rsidRPr="00395738">
        <w:rPr>
          <w:rFonts w:cs="Times New Roman"/>
          <w:color w:val="000000"/>
          <w:sz w:val="24"/>
          <w:szCs w:val="24"/>
        </w:rPr>
        <w:t xml:space="preserve">s from a macro-prudential angle </w:t>
      </w:r>
      <w:r w:rsidR="00E916E5" w:rsidRPr="00395738">
        <w:rPr>
          <w:rFonts w:cs="Times New Roman"/>
          <w:color w:val="000000"/>
          <w:sz w:val="24"/>
          <w:szCs w:val="24"/>
        </w:rPr>
        <w:t>m</w:t>
      </w:r>
      <w:r w:rsidR="006A426B" w:rsidRPr="00395738">
        <w:rPr>
          <w:rFonts w:cs="Times New Roman"/>
          <w:color w:val="000000"/>
          <w:sz w:val="24"/>
          <w:szCs w:val="24"/>
        </w:rPr>
        <w:t>ay</w:t>
      </w:r>
      <w:r w:rsidR="00E916E5" w:rsidRPr="00395738">
        <w:rPr>
          <w:rFonts w:cs="Times New Roman"/>
          <w:color w:val="000000"/>
          <w:sz w:val="24"/>
          <w:szCs w:val="24"/>
        </w:rPr>
        <w:t xml:space="preserve"> </w:t>
      </w:r>
      <w:r w:rsidR="00F3230A" w:rsidRPr="00395738">
        <w:rPr>
          <w:rFonts w:cs="Times New Roman"/>
          <w:color w:val="000000"/>
          <w:sz w:val="24"/>
          <w:szCs w:val="24"/>
        </w:rPr>
        <w:t>b</w:t>
      </w:r>
      <w:r w:rsidR="00E916E5" w:rsidRPr="00395738">
        <w:rPr>
          <w:rFonts w:cs="Times New Roman"/>
          <w:color w:val="000000"/>
          <w:sz w:val="24"/>
          <w:szCs w:val="24"/>
        </w:rPr>
        <w:t xml:space="preserve">e </w:t>
      </w:r>
      <w:r w:rsidR="00F3230A" w:rsidRPr="00395738">
        <w:rPr>
          <w:rFonts w:cs="Times New Roman"/>
          <w:color w:val="000000"/>
          <w:sz w:val="24"/>
          <w:szCs w:val="24"/>
        </w:rPr>
        <w:t xml:space="preserve">wrongly </w:t>
      </w:r>
      <w:r w:rsidR="00E916E5" w:rsidRPr="00395738">
        <w:rPr>
          <w:rFonts w:cs="Times New Roman"/>
          <w:color w:val="000000"/>
          <w:sz w:val="24"/>
          <w:szCs w:val="24"/>
        </w:rPr>
        <w:t xml:space="preserve">associated with </w:t>
      </w:r>
      <w:r w:rsidR="006A426B" w:rsidRPr="00395738">
        <w:rPr>
          <w:rFonts w:cs="Times New Roman"/>
          <w:color w:val="000000"/>
          <w:sz w:val="24"/>
          <w:szCs w:val="24"/>
        </w:rPr>
        <w:t xml:space="preserve">requiring </w:t>
      </w:r>
      <w:r w:rsidRPr="00395738">
        <w:rPr>
          <w:rFonts w:cs="Times New Roman"/>
          <w:color w:val="000000"/>
          <w:sz w:val="24"/>
          <w:szCs w:val="24"/>
        </w:rPr>
        <w:t>aggregate data</w:t>
      </w:r>
      <w:r w:rsidR="00E916E5" w:rsidRPr="00395738">
        <w:rPr>
          <w:rFonts w:cs="Times New Roman"/>
          <w:color w:val="000000"/>
          <w:sz w:val="24"/>
          <w:szCs w:val="24"/>
        </w:rPr>
        <w:t xml:space="preserve"> only. This is clearly not the case</w:t>
      </w:r>
      <w:r w:rsidR="00F3230A" w:rsidRPr="00395738">
        <w:rPr>
          <w:rFonts w:cs="Times New Roman"/>
          <w:color w:val="000000"/>
          <w:sz w:val="24"/>
          <w:szCs w:val="24"/>
        </w:rPr>
        <w:t>, as</w:t>
      </w:r>
      <w:r w:rsidRPr="00395738">
        <w:rPr>
          <w:rFonts w:cs="Times New Roman"/>
          <w:color w:val="000000"/>
          <w:sz w:val="24"/>
          <w:szCs w:val="24"/>
        </w:rPr>
        <w:t xml:space="preserve"> significant advantages have been identified </w:t>
      </w:r>
      <w:r w:rsidR="00563617" w:rsidRPr="00395738">
        <w:rPr>
          <w:rFonts w:cs="Times New Roman"/>
          <w:color w:val="000000"/>
          <w:sz w:val="24"/>
          <w:szCs w:val="24"/>
        </w:rPr>
        <w:t xml:space="preserve">in using </w:t>
      </w:r>
      <w:r w:rsidRPr="00395738">
        <w:rPr>
          <w:rFonts w:cs="Times New Roman"/>
          <w:color w:val="000000"/>
          <w:sz w:val="24"/>
          <w:szCs w:val="24"/>
        </w:rPr>
        <w:t>information on individual banks</w:t>
      </w:r>
      <w:r w:rsidR="002560E9" w:rsidRPr="00395738">
        <w:rPr>
          <w:rStyle w:val="FootnoteReference"/>
          <w:rFonts w:cs="Times New Roman"/>
          <w:color w:val="000000"/>
          <w:sz w:val="24"/>
          <w:szCs w:val="24"/>
        </w:rPr>
        <w:footnoteReference w:id="48"/>
      </w:r>
      <w:r w:rsidR="002560E9" w:rsidRPr="00395738">
        <w:t xml:space="preserve"> </w:t>
      </w:r>
      <w:r w:rsidRPr="00395738">
        <w:rPr>
          <w:rFonts w:cs="Times New Roman"/>
          <w:color w:val="000000"/>
          <w:sz w:val="24"/>
          <w:szCs w:val="24"/>
        </w:rPr>
        <w:t>for macro-prudential pu</w:t>
      </w:r>
      <w:r w:rsidR="00565C7D" w:rsidRPr="00395738">
        <w:rPr>
          <w:rFonts w:cs="Times New Roman"/>
          <w:color w:val="000000"/>
          <w:sz w:val="24"/>
          <w:szCs w:val="24"/>
        </w:rPr>
        <w:t>rposes in addition to aggregate-</w:t>
      </w:r>
      <w:r w:rsidRPr="00395738">
        <w:rPr>
          <w:rFonts w:cs="Times New Roman"/>
          <w:color w:val="000000"/>
          <w:sz w:val="24"/>
          <w:szCs w:val="24"/>
        </w:rPr>
        <w:t>level information</w:t>
      </w:r>
      <w:r w:rsidR="00533A01" w:rsidRPr="00395738">
        <w:rPr>
          <w:rFonts w:cs="Times New Roman"/>
          <w:color w:val="000000"/>
          <w:sz w:val="24"/>
          <w:szCs w:val="24"/>
        </w:rPr>
        <w:t>,</w:t>
      </w:r>
      <w:r w:rsidRPr="00395738">
        <w:rPr>
          <w:rFonts w:cs="Times New Roman"/>
          <w:color w:val="000000"/>
          <w:sz w:val="24"/>
          <w:szCs w:val="24"/>
        </w:rPr>
        <w:t xml:space="preserve"> </w:t>
      </w:r>
      <w:r w:rsidR="001A354D" w:rsidRPr="00395738">
        <w:rPr>
          <w:rFonts w:cs="Times New Roman"/>
          <w:color w:val="000000"/>
          <w:sz w:val="24"/>
          <w:szCs w:val="24"/>
        </w:rPr>
        <w:t xml:space="preserve">as the latter </w:t>
      </w:r>
      <w:r w:rsidRPr="00395738">
        <w:rPr>
          <w:rFonts w:cs="Times New Roman"/>
          <w:color w:val="000000"/>
          <w:sz w:val="24"/>
          <w:szCs w:val="24"/>
        </w:rPr>
        <w:t xml:space="preserve">can hide </w:t>
      </w:r>
      <w:r w:rsidR="008D5035" w:rsidRPr="00395738">
        <w:rPr>
          <w:rFonts w:cs="Times New Roman"/>
          <w:color w:val="000000"/>
          <w:sz w:val="24"/>
          <w:szCs w:val="24"/>
        </w:rPr>
        <w:t xml:space="preserve">potentially important </w:t>
      </w:r>
      <w:r w:rsidR="00533A01" w:rsidRPr="00395738">
        <w:rPr>
          <w:rFonts w:cs="Times New Roman"/>
          <w:color w:val="000000"/>
          <w:sz w:val="24"/>
          <w:szCs w:val="24"/>
        </w:rPr>
        <w:t>situations and developments</w:t>
      </w:r>
      <w:r w:rsidR="008D5035" w:rsidRPr="00395738">
        <w:rPr>
          <w:rFonts w:cs="Times New Roman"/>
          <w:color w:val="000000"/>
          <w:sz w:val="24"/>
          <w:szCs w:val="24"/>
        </w:rPr>
        <w:t>.</w:t>
      </w:r>
    </w:p>
    <w:p w14:paraId="43AD9348" w14:textId="77777777" w:rsidR="00402293" w:rsidRPr="00395738" w:rsidRDefault="00667833" w:rsidP="00D15C69">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lastRenderedPageBreak/>
        <w:t>Apart from the fact that m</w:t>
      </w:r>
      <w:r w:rsidR="00730C3D" w:rsidRPr="00395738">
        <w:rPr>
          <w:rFonts w:cs="Times New Roman"/>
          <w:color w:val="000000"/>
          <w:sz w:val="24"/>
          <w:szCs w:val="24"/>
        </w:rPr>
        <w:t xml:space="preserve">acro-prudential </w:t>
      </w:r>
      <w:r w:rsidRPr="00395738">
        <w:rPr>
          <w:rFonts w:cs="Times New Roman"/>
          <w:color w:val="000000"/>
          <w:sz w:val="24"/>
          <w:szCs w:val="24"/>
        </w:rPr>
        <w:t xml:space="preserve">authorities </w:t>
      </w:r>
      <w:r w:rsidR="00730C3D" w:rsidRPr="00395738">
        <w:rPr>
          <w:rFonts w:cs="Times New Roman"/>
          <w:color w:val="000000"/>
          <w:sz w:val="24"/>
          <w:szCs w:val="24"/>
        </w:rPr>
        <w:t>require both aggregate and micro-data</w:t>
      </w:r>
      <w:r w:rsidRPr="00395738">
        <w:rPr>
          <w:rFonts w:cs="Times New Roman"/>
          <w:color w:val="000000"/>
          <w:sz w:val="24"/>
          <w:szCs w:val="24"/>
        </w:rPr>
        <w:t xml:space="preserve"> just like micro-prudential supervisors do</w:t>
      </w:r>
      <w:r w:rsidR="00102088" w:rsidRPr="00395738">
        <w:rPr>
          <w:rFonts w:cs="Times New Roman"/>
          <w:color w:val="000000"/>
          <w:sz w:val="24"/>
          <w:szCs w:val="24"/>
        </w:rPr>
        <w:t xml:space="preserve">, </w:t>
      </w:r>
      <w:r w:rsidR="00673509" w:rsidRPr="00395738">
        <w:rPr>
          <w:rFonts w:cs="Times New Roman"/>
          <w:color w:val="000000"/>
          <w:sz w:val="24"/>
          <w:szCs w:val="24"/>
        </w:rPr>
        <w:t xml:space="preserve">it is to be noted that </w:t>
      </w:r>
      <w:r w:rsidR="00102088" w:rsidRPr="00395738">
        <w:rPr>
          <w:rFonts w:cs="Times New Roman"/>
          <w:color w:val="000000"/>
          <w:sz w:val="24"/>
          <w:szCs w:val="24"/>
        </w:rPr>
        <w:t xml:space="preserve">the underlying </w:t>
      </w:r>
      <w:r w:rsidR="002560E9" w:rsidRPr="00395738">
        <w:rPr>
          <w:rFonts w:cs="Times New Roman"/>
          <w:i/>
          <w:color w:val="000000"/>
          <w:sz w:val="24"/>
          <w:szCs w:val="24"/>
        </w:rPr>
        <w:t xml:space="preserve">credit </w:t>
      </w:r>
      <w:r w:rsidR="00102088" w:rsidRPr="00395738">
        <w:rPr>
          <w:rFonts w:cs="Times New Roman"/>
          <w:i/>
          <w:color w:val="000000"/>
          <w:sz w:val="24"/>
          <w:szCs w:val="24"/>
        </w:rPr>
        <w:t>data items</w:t>
      </w:r>
      <w:r w:rsidR="00102088" w:rsidRPr="00395738">
        <w:rPr>
          <w:rFonts w:cs="Times New Roman"/>
          <w:color w:val="000000"/>
          <w:sz w:val="24"/>
          <w:szCs w:val="24"/>
        </w:rPr>
        <w:t xml:space="preserve"> </w:t>
      </w:r>
      <w:r w:rsidRPr="00395738">
        <w:rPr>
          <w:rFonts w:cs="Times New Roman"/>
          <w:color w:val="000000"/>
          <w:sz w:val="24"/>
          <w:szCs w:val="24"/>
        </w:rPr>
        <w:t xml:space="preserve">relevant for both micro- and macro-prudential supervision </w:t>
      </w:r>
      <w:r w:rsidR="00102088" w:rsidRPr="00395738">
        <w:rPr>
          <w:rFonts w:cs="Times New Roman"/>
          <w:color w:val="000000"/>
          <w:sz w:val="24"/>
          <w:szCs w:val="24"/>
        </w:rPr>
        <w:t>are in essence the same</w:t>
      </w:r>
      <w:r w:rsidR="001F09B5" w:rsidRPr="00395738">
        <w:rPr>
          <w:rFonts w:cs="Times New Roman"/>
          <w:color w:val="000000"/>
          <w:sz w:val="24"/>
          <w:szCs w:val="24"/>
        </w:rPr>
        <w:t>.</w:t>
      </w:r>
      <w:r w:rsidR="002560E9" w:rsidRPr="00395738">
        <w:rPr>
          <w:rStyle w:val="FootnoteReference"/>
          <w:rFonts w:cs="Times New Roman"/>
          <w:color w:val="000000"/>
          <w:sz w:val="24"/>
          <w:szCs w:val="24"/>
        </w:rPr>
        <w:footnoteReference w:id="49"/>
      </w:r>
      <w:r w:rsidR="001F09B5" w:rsidRPr="00395738">
        <w:rPr>
          <w:rFonts w:cs="Times New Roman"/>
          <w:color w:val="000000"/>
          <w:sz w:val="24"/>
          <w:szCs w:val="24"/>
        </w:rPr>
        <w:t xml:space="preserve"> Hence, </w:t>
      </w:r>
      <w:r w:rsidR="00DA2AD0" w:rsidRPr="00395738">
        <w:rPr>
          <w:rFonts w:cs="Times New Roman"/>
          <w:color w:val="000000"/>
          <w:sz w:val="24"/>
          <w:szCs w:val="24"/>
        </w:rPr>
        <w:t xml:space="preserve">the </w:t>
      </w:r>
      <w:r w:rsidR="00687505" w:rsidRPr="00395738">
        <w:rPr>
          <w:rFonts w:cs="Times New Roman"/>
          <w:color w:val="000000"/>
          <w:sz w:val="24"/>
          <w:szCs w:val="24"/>
        </w:rPr>
        <w:t xml:space="preserve">problems </w:t>
      </w:r>
      <w:r w:rsidR="00402293" w:rsidRPr="00395738">
        <w:rPr>
          <w:rFonts w:cs="Times New Roman"/>
          <w:color w:val="000000"/>
          <w:sz w:val="24"/>
          <w:szCs w:val="24"/>
        </w:rPr>
        <w:t>that macro-</w:t>
      </w:r>
      <w:r w:rsidR="00687505" w:rsidRPr="00395738">
        <w:rPr>
          <w:rFonts w:cs="Times New Roman"/>
          <w:color w:val="000000"/>
          <w:sz w:val="24"/>
          <w:szCs w:val="24"/>
        </w:rPr>
        <w:t>p</w:t>
      </w:r>
      <w:r w:rsidR="00402293" w:rsidRPr="00395738">
        <w:rPr>
          <w:rFonts w:cs="Times New Roman"/>
          <w:color w:val="000000"/>
          <w:sz w:val="24"/>
          <w:szCs w:val="24"/>
        </w:rPr>
        <w:t xml:space="preserve">rudential </w:t>
      </w:r>
      <w:r w:rsidR="00720E51" w:rsidRPr="00395738">
        <w:rPr>
          <w:rFonts w:cs="Times New Roman"/>
          <w:color w:val="000000"/>
          <w:sz w:val="24"/>
          <w:szCs w:val="24"/>
        </w:rPr>
        <w:t xml:space="preserve">authorities </w:t>
      </w:r>
      <w:r w:rsidR="00402293" w:rsidRPr="00395738">
        <w:rPr>
          <w:rFonts w:cs="Times New Roman"/>
          <w:color w:val="000000"/>
          <w:sz w:val="24"/>
          <w:szCs w:val="24"/>
        </w:rPr>
        <w:t xml:space="preserve">face in sourcing </w:t>
      </w:r>
      <w:r w:rsidR="00CC3993" w:rsidRPr="00395738">
        <w:rPr>
          <w:rFonts w:cs="Times New Roman"/>
          <w:color w:val="000000"/>
          <w:sz w:val="24"/>
          <w:szCs w:val="24"/>
        </w:rPr>
        <w:t xml:space="preserve">the </w:t>
      </w:r>
      <w:r w:rsidR="00402293" w:rsidRPr="00395738">
        <w:rPr>
          <w:rFonts w:cs="Times New Roman"/>
          <w:color w:val="000000"/>
          <w:sz w:val="24"/>
          <w:szCs w:val="24"/>
        </w:rPr>
        <w:t>data</w:t>
      </w:r>
      <w:r w:rsidR="00CC3993" w:rsidRPr="00395738">
        <w:rPr>
          <w:rFonts w:cs="Times New Roman"/>
          <w:color w:val="000000"/>
          <w:sz w:val="24"/>
          <w:szCs w:val="24"/>
        </w:rPr>
        <w:t xml:space="preserve"> they need </w:t>
      </w:r>
      <w:r w:rsidR="00402293" w:rsidRPr="00395738">
        <w:rPr>
          <w:rFonts w:cs="Times New Roman"/>
          <w:color w:val="000000"/>
          <w:sz w:val="24"/>
          <w:szCs w:val="24"/>
        </w:rPr>
        <w:t>from CRSPs are also similar to those described in section I</w:t>
      </w:r>
      <w:r w:rsidR="00561BC2" w:rsidRPr="00395738">
        <w:rPr>
          <w:rFonts w:cs="Times New Roman"/>
          <w:color w:val="000000"/>
          <w:sz w:val="24"/>
          <w:szCs w:val="24"/>
        </w:rPr>
        <w:t>I</w:t>
      </w:r>
      <w:r w:rsidR="00402293" w:rsidRPr="00395738">
        <w:rPr>
          <w:rFonts w:cs="Times New Roman"/>
          <w:color w:val="000000"/>
          <w:sz w:val="24"/>
          <w:szCs w:val="24"/>
        </w:rPr>
        <w:t xml:space="preserve">I.3 for the case of micro-prudential supervisors. Those problems </w:t>
      </w:r>
      <w:r w:rsidR="002152D6" w:rsidRPr="00395738">
        <w:rPr>
          <w:rFonts w:cs="Times New Roman"/>
          <w:color w:val="000000"/>
          <w:sz w:val="24"/>
          <w:szCs w:val="24"/>
        </w:rPr>
        <w:t xml:space="preserve">will </w:t>
      </w:r>
      <w:r w:rsidR="00402293" w:rsidRPr="00395738">
        <w:rPr>
          <w:rFonts w:cs="Times New Roman"/>
          <w:color w:val="000000"/>
          <w:sz w:val="24"/>
          <w:szCs w:val="24"/>
        </w:rPr>
        <w:t xml:space="preserve">not </w:t>
      </w:r>
      <w:r w:rsidR="002152D6" w:rsidRPr="00395738">
        <w:rPr>
          <w:rFonts w:cs="Times New Roman"/>
          <w:color w:val="000000"/>
          <w:sz w:val="24"/>
          <w:szCs w:val="24"/>
        </w:rPr>
        <w:t xml:space="preserve">be </w:t>
      </w:r>
      <w:r w:rsidR="00402293" w:rsidRPr="00395738">
        <w:rPr>
          <w:rFonts w:cs="Times New Roman"/>
          <w:color w:val="000000"/>
          <w:sz w:val="24"/>
          <w:szCs w:val="24"/>
        </w:rPr>
        <w:t>repeated here</w:t>
      </w:r>
      <w:r w:rsidR="002F6866" w:rsidRPr="00395738">
        <w:rPr>
          <w:rFonts w:cs="Times New Roman"/>
          <w:color w:val="000000"/>
          <w:sz w:val="24"/>
          <w:szCs w:val="24"/>
        </w:rPr>
        <w:t xml:space="preserve">. </w:t>
      </w:r>
      <w:r w:rsidR="00673509" w:rsidRPr="00395738">
        <w:rPr>
          <w:rFonts w:cs="Times New Roman"/>
          <w:color w:val="000000"/>
          <w:sz w:val="24"/>
          <w:szCs w:val="24"/>
        </w:rPr>
        <w:t>T</w:t>
      </w:r>
      <w:r w:rsidR="002152D6" w:rsidRPr="00395738">
        <w:rPr>
          <w:rFonts w:cs="Times New Roman"/>
          <w:color w:val="000000"/>
          <w:sz w:val="24"/>
          <w:szCs w:val="24"/>
        </w:rPr>
        <w:t xml:space="preserve">his section </w:t>
      </w:r>
      <w:r w:rsidR="00673509" w:rsidRPr="00395738">
        <w:rPr>
          <w:rFonts w:cs="Times New Roman"/>
          <w:color w:val="000000"/>
          <w:sz w:val="24"/>
          <w:szCs w:val="24"/>
        </w:rPr>
        <w:t xml:space="preserve">focuses on </w:t>
      </w:r>
      <w:r w:rsidR="002152D6" w:rsidRPr="00395738">
        <w:rPr>
          <w:rFonts w:cs="Times New Roman"/>
          <w:color w:val="000000"/>
          <w:sz w:val="24"/>
          <w:szCs w:val="24"/>
        </w:rPr>
        <w:t xml:space="preserve">potential </w:t>
      </w:r>
      <w:r w:rsidR="00402293" w:rsidRPr="00395738">
        <w:rPr>
          <w:rFonts w:cs="Times New Roman"/>
          <w:color w:val="000000"/>
          <w:sz w:val="24"/>
          <w:szCs w:val="24"/>
        </w:rPr>
        <w:t>additional challenges</w:t>
      </w:r>
      <w:r w:rsidR="00720E51" w:rsidRPr="00395738">
        <w:rPr>
          <w:rFonts w:cs="Times New Roman"/>
          <w:color w:val="000000"/>
          <w:sz w:val="24"/>
          <w:szCs w:val="24"/>
        </w:rPr>
        <w:t xml:space="preserve"> for macro-prudential authorities</w:t>
      </w:r>
      <w:r w:rsidR="00673509" w:rsidRPr="00395738">
        <w:rPr>
          <w:rFonts w:cs="Times New Roman"/>
          <w:color w:val="000000"/>
          <w:sz w:val="24"/>
          <w:szCs w:val="24"/>
        </w:rPr>
        <w:t>.</w:t>
      </w:r>
    </w:p>
    <w:p w14:paraId="74F803A6" w14:textId="26FAB847" w:rsidR="00D02693" w:rsidRPr="00395738" w:rsidRDefault="00561BC2" w:rsidP="00D15C69">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With regard to CRs’ </w:t>
      </w:r>
      <w:r w:rsidR="00BC3548" w:rsidRPr="00395738">
        <w:rPr>
          <w:rFonts w:cs="Times New Roman"/>
          <w:color w:val="000000"/>
          <w:sz w:val="24"/>
          <w:szCs w:val="24"/>
        </w:rPr>
        <w:t>limitations</w:t>
      </w:r>
      <w:r w:rsidR="002F6866" w:rsidRPr="00395738">
        <w:rPr>
          <w:rFonts w:cs="Times New Roman"/>
          <w:color w:val="000000"/>
          <w:sz w:val="24"/>
          <w:szCs w:val="24"/>
        </w:rPr>
        <w:t xml:space="preserve"> </w:t>
      </w:r>
      <w:r w:rsidRPr="00395738">
        <w:rPr>
          <w:rFonts w:cs="Times New Roman"/>
          <w:color w:val="000000"/>
          <w:sz w:val="24"/>
          <w:szCs w:val="24"/>
        </w:rPr>
        <w:t xml:space="preserve">on </w:t>
      </w:r>
      <w:r w:rsidR="00D02693" w:rsidRPr="00395738">
        <w:rPr>
          <w:rFonts w:cs="Times New Roman"/>
          <w:color w:val="000000"/>
          <w:sz w:val="24"/>
          <w:szCs w:val="24"/>
        </w:rPr>
        <w:t>coverage</w:t>
      </w:r>
      <w:r w:rsidRPr="00395738">
        <w:rPr>
          <w:rFonts w:cs="Times New Roman"/>
          <w:color w:val="000000"/>
          <w:sz w:val="24"/>
          <w:szCs w:val="24"/>
        </w:rPr>
        <w:t>, one specific limitation that is especially noteworthy f</w:t>
      </w:r>
      <w:r w:rsidR="00D02693" w:rsidRPr="00395738">
        <w:rPr>
          <w:rFonts w:cs="Times New Roman"/>
          <w:color w:val="000000"/>
          <w:sz w:val="24"/>
          <w:szCs w:val="24"/>
        </w:rPr>
        <w:t xml:space="preserve">or macro-prudential </w:t>
      </w:r>
      <w:r w:rsidR="006955A2" w:rsidRPr="00395738">
        <w:rPr>
          <w:rFonts w:cs="Times New Roman"/>
          <w:color w:val="000000"/>
          <w:sz w:val="24"/>
          <w:szCs w:val="24"/>
        </w:rPr>
        <w:t>purposes</w:t>
      </w:r>
      <w:r w:rsidR="00D02693" w:rsidRPr="00395738">
        <w:rPr>
          <w:rFonts w:cs="Times New Roman"/>
          <w:color w:val="000000"/>
          <w:sz w:val="24"/>
          <w:szCs w:val="24"/>
        </w:rPr>
        <w:t xml:space="preserve"> is that many </w:t>
      </w:r>
      <w:r w:rsidRPr="00395738">
        <w:rPr>
          <w:rFonts w:cs="Times New Roman"/>
          <w:color w:val="000000"/>
          <w:sz w:val="24"/>
          <w:szCs w:val="24"/>
        </w:rPr>
        <w:t>CRs</w:t>
      </w:r>
      <w:r w:rsidR="00D02693" w:rsidRPr="00395738">
        <w:rPr>
          <w:rFonts w:cs="Times New Roman"/>
          <w:color w:val="000000"/>
          <w:sz w:val="24"/>
          <w:szCs w:val="24"/>
        </w:rPr>
        <w:t xml:space="preserve"> only collect data </w:t>
      </w:r>
      <w:r w:rsidR="0039082D" w:rsidRPr="00395738">
        <w:rPr>
          <w:rFonts w:cs="Times New Roman"/>
          <w:color w:val="000000"/>
          <w:sz w:val="24"/>
          <w:szCs w:val="24"/>
        </w:rPr>
        <w:t xml:space="preserve">from </w:t>
      </w:r>
      <w:r w:rsidR="00D02693" w:rsidRPr="00395738">
        <w:rPr>
          <w:rFonts w:cs="Times New Roman"/>
          <w:color w:val="000000"/>
          <w:sz w:val="24"/>
          <w:szCs w:val="24"/>
        </w:rPr>
        <w:t xml:space="preserve">banks and </w:t>
      </w:r>
      <w:r w:rsidR="00565C7D" w:rsidRPr="00395738">
        <w:rPr>
          <w:rFonts w:cs="Times New Roman"/>
          <w:color w:val="000000"/>
          <w:sz w:val="24"/>
          <w:szCs w:val="24"/>
        </w:rPr>
        <w:t xml:space="preserve">in some cases also </w:t>
      </w:r>
      <w:r w:rsidR="00533A01" w:rsidRPr="00395738">
        <w:rPr>
          <w:rFonts w:cs="Times New Roman"/>
          <w:color w:val="000000"/>
          <w:sz w:val="24"/>
          <w:szCs w:val="24"/>
        </w:rPr>
        <w:t xml:space="preserve">from </w:t>
      </w:r>
      <w:r w:rsidR="0039082D" w:rsidRPr="00395738">
        <w:rPr>
          <w:rFonts w:cs="Times New Roman"/>
          <w:color w:val="000000"/>
          <w:sz w:val="24"/>
          <w:szCs w:val="24"/>
        </w:rPr>
        <w:t>a few other regulated financial institutions</w:t>
      </w:r>
      <w:r w:rsidR="00D02693" w:rsidRPr="00395738">
        <w:rPr>
          <w:rFonts w:cs="Times New Roman"/>
          <w:color w:val="000000"/>
          <w:sz w:val="24"/>
          <w:szCs w:val="24"/>
        </w:rPr>
        <w:t xml:space="preserve">. </w:t>
      </w:r>
      <w:r w:rsidRPr="00395738">
        <w:rPr>
          <w:rFonts w:cs="Times New Roman"/>
          <w:color w:val="000000"/>
          <w:sz w:val="24"/>
          <w:szCs w:val="24"/>
        </w:rPr>
        <w:t>In other words, c</w:t>
      </w:r>
      <w:r w:rsidR="00D02693" w:rsidRPr="00395738">
        <w:rPr>
          <w:rFonts w:cs="Times New Roman"/>
          <w:color w:val="000000"/>
          <w:sz w:val="24"/>
          <w:szCs w:val="24"/>
        </w:rPr>
        <w:t xml:space="preserve">overage of non-financial sector lenders such as </w:t>
      </w:r>
      <w:r w:rsidR="00533A01" w:rsidRPr="00395738">
        <w:rPr>
          <w:rFonts w:cs="Times New Roman"/>
          <w:color w:val="000000"/>
          <w:sz w:val="24"/>
          <w:szCs w:val="24"/>
        </w:rPr>
        <w:t>large retailers</w:t>
      </w:r>
      <w:r w:rsidR="00D02693" w:rsidRPr="00395738">
        <w:rPr>
          <w:rFonts w:cs="Times New Roman"/>
          <w:color w:val="000000"/>
          <w:sz w:val="24"/>
          <w:szCs w:val="24"/>
        </w:rPr>
        <w:t xml:space="preserve"> and </w:t>
      </w:r>
      <w:r w:rsidR="00533A01" w:rsidRPr="00395738">
        <w:rPr>
          <w:rFonts w:cs="Times New Roman"/>
          <w:color w:val="000000"/>
          <w:sz w:val="24"/>
          <w:szCs w:val="24"/>
        </w:rPr>
        <w:t>of entities that make loans to businesses</w:t>
      </w:r>
      <w:r w:rsidR="0096788F" w:rsidRPr="00395738">
        <w:rPr>
          <w:rFonts w:cs="Times New Roman"/>
          <w:color w:val="000000"/>
          <w:sz w:val="24"/>
          <w:szCs w:val="24"/>
        </w:rPr>
        <w:t xml:space="preserve"> </w:t>
      </w:r>
      <w:r w:rsidR="00D02693" w:rsidRPr="00395738">
        <w:rPr>
          <w:rFonts w:cs="Times New Roman"/>
          <w:color w:val="000000"/>
          <w:sz w:val="24"/>
          <w:szCs w:val="24"/>
        </w:rPr>
        <w:t>is practically non-existent at CRs.</w:t>
      </w:r>
      <w:r w:rsidR="006955A2" w:rsidRPr="00395738">
        <w:rPr>
          <w:rFonts w:cs="Times New Roman"/>
          <w:color w:val="000000"/>
          <w:sz w:val="24"/>
          <w:szCs w:val="24"/>
        </w:rPr>
        <w:t xml:space="preserve"> On the debtor side, </w:t>
      </w:r>
      <w:r w:rsidR="00D02693" w:rsidRPr="00395738">
        <w:rPr>
          <w:rFonts w:cs="Times New Roman"/>
          <w:color w:val="000000"/>
          <w:sz w:val="24"/>
          <w:szCs w:val="24"/>
        </w:rPr>
        <w:t xml:space="preserve">coverage of the household and </w:t>
      </w:r>
      <w:r w:rsidRPr="00395738">
        <w:rPr>
          <w:rFonts w:cs="Times New Roman"/>
          <w:color w:val="000000"/>
          <w:sz w:val="24"/>
          <w:szCs w:val="24"/>
        </w:rPr>
        <w:t xml:space="preserve">SME </w:t>
      </w:r>
      <w:r w:rsidR="00D02693" w:rsidRPr="00395738">
        <w:rPr>
          <w:rFonts w:cs="Times New Roman"/>
          <w:color w:val="000000"/>
          <w:sz w:val="24"/>
          <w:szCs w:val="24"/>
        </w:rPr>
        <w:t>sector</w:t>
      </w:r>
      <w:r w:rsidR="006955A2" w:rsidRPr="00395738">
        <w:rPr>
          <w:rFonts w:cs="Times New Roman"/>
          <w:color w:val="000000"/>
          <w:sz w:val="24"/>
          <w:szCs w:val="24"/>
        </w:rPr>
        <w:t>s</w:t>
      </w:r>
      <w:r w:rsidR="00D02693" w:rsidRPr="00395738">
        <w:rPr>
          <w:rFonts w:cs="Times New Roman"/>
          <w:color w:val="000000"/>
          <w:sz w:val="24"/>
          <w:szCs w:val="24"/>
        </w:rPr>
        <w:t xml:space="preserve"> is </w:t>
      </w:r>
      <w:r w:rsidRPr="00395738">
        <w:rPr>
          <w:rFonts w:cs="Times New Roman"/>
          <w:color w:val="000000"/>
          <w:sz w:val="24"/>
          <w:szCs w:val="24"/>
        </w:rPr>
        <w:t xml:space="preserve">also </w:t>
      </w:r>
      <w:r w:rsidR="00D02693" w:rsidRPr="00395738">
        <w:rPr>
          <w:rFonts w:cs="Times New Roman"/>
          <w:color w:val="000000"/>
          <w:sz w:val="24"/>
          <w:szCs w:val="24"/>
        </w:rPr>
        <w:t xml:space="preserve">weak in </w:t>
      </w:r>
      <w:r w:rsidRPr="00395738">
        <w:rPr>
          <w:rFonts w:cs="Times New Roman"/>
          <w:color w:val="000000"/>
          <w:sz w:val="24"/>
          <w:szCs w:val="24"/>
        </w:rPr>
        <w:t xml:space="preserve">many </w:t>
      </w:r>
      <w:r w:rsidR="00D02693" w:rsidRPr="00395738">
        <w:rPr>
          <w:rFonts w:cs="Times New Roman"/>
          <w:color w:val="000000"/>
          <w:sz w:val="24"/>
          <w:szCs w:val="24"/>
        </w:rPr>
        <w:t>CRs</w:t>
      </w:r>
      <w:r w:rsidR="006955A2" w:rsidRPr="00395738">
        <w:rPr>
          <w:rFonts w:cs="Times New Roman"/>
          <w:color w:val="000000"/>
          <w:sz w:val="24"/>
          <w:szCs w:val="24"/>
        </w:rPr>
        <w:t>.</w:t>
      </w:r>
      <w:r w:rsidR="00861872" w:rsidRPr="00395738">
        <w:rPr>
          <w:rStyle w:val="FootnoteReference"/>
          <w:rFonts w:cs="Times New Roman"/>
          <w:color w:val="000000"/>
          <w:sz w:val="24"/>
          <w:szCs w:val="24"/>
        </w:rPr>
        <w:footnoteReference w:id="50"/>
      </w:r>
    </w:p>
    <w:p w14:paraId="69B0F6FB" w14:textId="7FF2CDBB" w:rsidR="00CC3993" w:rsidRPr="00395738" w:rsidRDefault="00CC3993" w:rsidP="00D15C69">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In </w:t>
      </w:r>
      <w:r w:rsidR="00720E51" w:rsidRPr="00395738">
        <w:rPr>
          <w:rFonts w:cs="Times New Roman"/>
          <w:color w:val="000000"/>
          <w:sz w:val="24"/>
          <w:szCs w:val="24"/>
        </w:rPr>
        <w:t xml:space="preserve">this regard, </w:t>
      </w:r>
      <w:r w:rsidRPr="00395738">
        <w:rPr>
          <w:rFonts w:cs="Times New Roman"/>
          <w:color w:val="000000"/>
          <w:sz w:val="24"/>
          <w:szCs w:val="24"/>
        </w:rPr>
        <w:t>CB</w:t>
      </w:r>
      <w:r w:rsidR="00720E51" w:rsidRPr="00395738">
        <w:rPr>
          <w:rFonts w:cs="Times New Roman"/>
          <w:color w:val="000000"/>
          <w:sz w:val="24"/>
          <w:szCs w:val="24"/>
        </w:rPr>
        <w:t>s</w:t>
      </w:r>
      <w:r w:rsidRPr="00395738">
        <w:rPr>
          <w:rFonts w:cs="Times New Roman"/>
          <w:color w:val="000000"/>
          <w:sz w:val="24"/>
          <w:szCs w:val="24"/>
        </w:rPr>
        <w:t xml:space="preserve"> and CCRC</w:t>
      </w:r>
      <w:r w:rsidR="00720E51" w:rsidRPr="00395738">
        <w:rPr>
          <w:rFonts w:cs="Times New Roman"/>
          <w:color w:val="000000"/>
          <w:sz w:val="24"/>
          <w:szCs w:val="24"/>
        </w:rPr>
        <w:t>s</w:t>
      </w:r>
      <w:r w:rsidR="00234573" w:rsidRPr="00395738">
        <w:rPr>
          <w:rFonts w:cs="Times New Roman"/>
          <w:color w:val="000000"/>
          <w:sz w:val="24"/>
          <w:szCs w:val="24"/>
        </w:rPr>
        <w:t>,</w:t>
      </w:r>
      <w:r w:rsidR="00720E51" w:rsidRPr="00395738">
        <w:rPr>
          <w:rFonts w:cs="Times New Roman"/>
          <w:color w:val="000000"/>
          <w:sz w:val="24"/>
          <w:szCs w:val="24"/>
        </w:rPr>
        <w:t xml:space="preserve"> due to their own nature</w:t>
      </w:r>
      <w:r w:rsidR="00234573" w:rsidRPr="00395738">
        <w:rPr>
          <w:rFonts w:cs="Times New Roman"/>
          <w:color w:val="000000"/>
          <w:sz w:val="24"/>
          <w:szCs w:val="24"/>
        </w:rPr>
        <w:t>,</w:t>
      </w:r>
      <w:r w:rsidR="00720E51" w:rsidRPr="00395738">
        <w:rPr>
          <w:rFonts w:cs="Times New Roman"/>
          <w:color w:val="000000"/>
          <w:sz w:val="24"/>
          <w:szCs w:val="24"/>
        </w:rPr>
        <w:t xml:space="preserve"> often have a broader coverage of the various types of lenders in an economy as well as of debtor households and firms. </w:t>
      </w:r>
      <w:r w:rsidR="000C1360" w:rsidRPr="00395738">
        <w:rPr>
          <w:rFonts w:cs="Times New Roman"/>
          <w:color w:val="000000"/>
          <w:sz w:val="24"/>
          <w:szCs w:val="24"/>
        </w:rPr>
        <w:t xml:space="preserve">In addition to credit data from financial institutions, CBs and CCRCs often hold other data </w:t>
      </w:r>
      <w:r w:rsidR="00565C7D" w:rsidRPr="00395738">
        <w:rPr>
          <w:rFonts w:cs="Times New Roman"/>
          <w:color w:val="000000"/>
          <w:sz w:val="24"/>
          <w:szCs w:val="24"/>
        </w:rPr>
        <w:t>helpful for assessing the overall f</w:t>
      </w:r>
      <w:r w:rsidR="000C1360" w:rsidRPr="00395738">
        <w:rPr>
          <w:rFonts w:cs="Times New Roman"/>
          <w:color w:val="000000"/>
          <w:sz w:val="24"/>
          <w:szCs w:val="24"/>
        </w:rPr>
        <w:t xml:space="preserve">inancial health of households and businesses, such as data on utilities and telecoms bills, health insurance and others. </w:t>
      </w:r>
      <w:r w:rsidR="00720E51" w:rsidRPr="00395738">
        <w:rPr>
          <w:rFonts w:cs="Times New Roman"/>
          <w:color w:val="000000"/>
          <w:sz w:val="24"/>
          <w:szCs w:val="24"/>
        </w:rPr>
        <w:t>Hence, CBs and CCRCs c</w:t>
      </w:r>
      <w:r w:rsidR="00565C7D" w:rsidRPr="00395738">
        <w:rPr>
          <w:rFonts w:cs="Times New Roman"/>
          <w:color w:val="000000"/>
          <w:sz w:val="24"/>
          <w:szCs w:val="24"/>
        </w:rPr>
        <w:t>an</w:t>
      </w:r>
      <w:r w:rsidR="00720E51" w:rsidRPr="00395738">
        <w:rPr>
          <w:rFonts w:cs="Times New Roman"/>
          <w:color w:val="000000"/>
          <w:sz w:val="24"/>
          <w:szCs w:val="24"/>
        </w:rPr>
        <w:t xml:space="preserve"> in principle be especially useful for macro-prudential authorities.</w:t>
      </w:r>
      <w:r w:rsidR="002560E9" w:rsidRPr="00395738">
        <w:rPr>
          <w:sz w:val="24"/>
          <w:szCs w:val="24"/>
          <w:vertAlign w:val="superscript"/>
        </w:rPr>
        <w:footnoteReference w:id="51"/>
      </w:r>
      <w:r w:rsidR="002560E9" w:rsidRPr="00395738">
        <w:rPr>
          <w:rFonts w:cs="Times New Roman"/>
          <w:color w:val="000000"/>
          <w:sz w:val="24"/>
          <w:szCs w:val="24"/>
        </w:rPr>
        <w:t xml:space="preserve"> </w:t>
      </w:r>
      <w:r w:rsidR="0013127D" w:rsidRPr="00395738">
        <w:rPr>
          <w:rFonts w:cs="Times New Roman"/>
          <w:color w:val="000000"/>
          <w:sz w:val="24"/>
          <w:szCs w:val="24"/>
          <w:vertAlign w:val="superscript"/>
        </w:rPr>
        <w:footnoteReference w:id="52"/>
      </w:r>
      <w:r w:rsidR="002560E9" w:rsidRPr="00395738">
        <w:rPr>
          <w:rFonts w:cs="Times New Roman"/>
          <w:color w:val="000000"/>
          <w:sz w:val="24"/>
          <w:szCs w:val="24"/>
        </w:rPr>
        <w:t xml:space="preserve"> </w:t>
      </w:r>
    </w:p>
    <w:p w14:paraId="44FFE8CE" w14:textId="77777777" w:rsidR="00CC3993" w:rsidRPr="00395738" w:rsidRDefault="0013127D" w:rsidP="00D15C69">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A</w:t>
      </w:r>
      <w:r w:rsidR="00DF1FC6" w:rsidRPr="00395738">
        <w:rPr>
          <w:rFonts w:cs="Times New Roman"/>
          <w:color w:val="000000"/>
          <w:sz w:val="24"/>
          <w:szCs w:val="24"/>
        </w:rPr>
        <w:t>nalysis of potential contagion</w:t>
      </w:r>
      <w:r w:rsidRPr="00395738">
        <w:rPr>
          <w:rFonts w:cs="Times New Roman"/>
          <w:color w:val="000000"/>
          <w:sz w:val="24"/>
          <w:szCs w:val="24"/>
        </w:rPr>
        <w:t xml:space="preserve"> effects</w:t>
      </w:r>
      <w:r w:rsidR="00DF1FC6" w:rsidRPr="00395738">
        <w:rPr>
          <w:rFonts w:cs="Times New Roman"/>
          <w:color w:val="000000"/>
          <w:sz w:val="24"/>
          <w:szCs w:val="24"/>
        </w:rPr>
        <w:t xml:space="preserve">/interconnectedness </w:t>
      </w:r>
      <w:r w:rsidR="00CC3993" w:rsidRPr="00395738">
        <w:rPr>
          <w:rFonts w:cs="Times New Roman"/>
          <w:color w:val="000000"/>
          <w:sz w:val="24"/>
          <w:szCs w:val="24"/>
        </w:rPr>
        <w:t xml:space="preserve">might </w:t>
      </w:r>
      <w:r w:rsidRPr="00395738">
        <w:rPr>
          <w:rFonts w:cs="Times New Roman"/>
          <w:color w:val="000000"/>
          <w:sz w:val="24"/>
          <w:szCs w:val="24"/>
        </w:rPr>
        <w:t xml:space="preserve">also </w:t>
      </w:r>
      <w:r w:rsidR="00CC3993" w:rsidRPr="00395738">
        <w:rPr>
          <w:rFonts w:cs="Times New Roman"/>
          <w:color w:val="000000"/>
          <w:sz w:val="24"/>
          <w:szCs w:val="24"/>
        </w:rPr>
        <w:t xml:space="preserve">be especially difficult or even not possible if the CR </w:t>
      </w:r>
      <w:r w:rsidRPr="00395738">
        <w:rPr>
          <w:rFonts w:cs="Times New Roman"/>
          <w:color w:val="000000"/>
          <w:sz w:val="24"/>
          <w:szCs w:val="24"/>
        </w:rPr>
        <w:t xml:space="preserve">or other CRSPs </w:t>
      </w:r>
      <w:r w:rsidR="00CC3993" w:rsidRPr="00395738">
        <w:rPr>
          <w:rFonts w:cs="Times New Roman"/>
          <w:color w:val="000000"/>
          <w:sz w:val="24"/>
          <w:szCs w:val="24"/>
        </w:rPr>
        <w:t>do not collect</w:t>
      </w:r>
      <w:r w:rsidR="00D37F0D" w:rsidRPr="00395738">
        <w:rPr>
          <w:rFonts w:cs="Times New Roman"/>
          <w:color w:val="000000"/>
          <w:sz w:val="24"/>
          <w:szCs w:val="24"/>
        </w:rPr>
        <w:t>, or obtain through other means,</w:t>
      </w:r>
      <w:r w:rsidR="00D37F0D" w:rsidRPr="00395738">
        <w:rPr>
          <w:rStyle w:val="FootnoteReference"/>
          <w:rFonts w:cs="Times New Roman"/>
          <w:color w:val="000000"/>
          <w:sz w:val="24"/>
          <w:szCs w:val="24"/>
        </w:rPr>
        <w:footnoteReference w:id="53"/>
      </w:r>
      <w:r w:rsidR="00CC3993" w:rsidRPr="00395738">
        <w:rPr>
          <w:rFonts w:cs="Times New Roman"/>
          <w:color w:val="000000"/>
          <w:sz w:val="24"/>
          <w:szCs w:val="24"/>
        </w:rPr>
        <w:t xml:space="preserve"> </w:t>
      </w:r>
      <w:r w:rsidRPr="00395738">
        <w:rPr>
          <w:rFonts w:cs="Times New Roman"/>
          <w:color w:val="000000"/>
          <w:sz w:val="24"/>
          <w:szCs w:val="24"/>
        </w:rPr>
        <w:t>the necessary information</w:t>
      </w:r>
      <w:r w:rsidR="00CC3993" w:rsidRPr="00395738">
        <w:rPr>
          <w:rFonts w:cs="Times New Roman"/>
          <w:color w:val="000000"/>
          <w:sz w:val="24"/>
          <w:szCs w:val="24"/>
        </w:rPr>
        <w:t xml:space="preserve"> </w:t>
      </w:r>
      <w:r w:rsidRPr="00395738">
        <w:rPr>
          <w:rFonts w:cs="Times New Roman"/>
          <w:color w:val="000000"/>
          <w:sz w:val="24"/>
          <w:szCs w:val="24"/>
        </w:rPr>
        <w:t xml:space="preserve">that would allow </w:t>
      </w:r>
      <w:r w:rsidR="00CC3993" w:rsidRPr="00395738">
        <w:rPr>
          <w:rFonts w:cs="Times New Roman"/>
          <w:color w:val="000000"/>
          <w:sz w:val="24"/>
          <w:szCs w:val="24"/>
        </w:rPr>
        <w:t xml:space="preserve">identifying borrowers that </w:t>
      </w:r>
      <w:r w:rsidR="00CC3993" w:rsidRPr="00395738">
        <w:rPr>
          <w:rFonts w:cs="Times New Roman"/>
          <w:color w:val="000000"/>
          <w:sz w:val="24"/>
          <w:szCs w:val="24"/>
        </w:rPr>
        <w:lastRenderedPageBreak/>
        <w:t xml:space="preserve">should be </w:t>
      </w:r>
      <w:r w:rsidR="00861872" w:rsidRPr="00395738">
        <w:rPr>
          <w:rFonts w:cs="Times New Roman"/>
          <w:color w:val="000000"/>
          <w:sz w:val="24"/>
          <w:szCs w:val="24"/>
        </w:rPr>
        <w:t xml:space="preserve">considered </w:t>
      </w:r>
      <w:r w:rsidR="00CC3993" w:rsidRPr="00395738">
        <w:rPr>
          <w:rFonts w:cs="Times New Roman"/>
          <w:color w:val="000000"/>
          <w:sz w:val="24"/>
          <w:szCs w:val="24"/>
        </w:rPr>
        <w:t>as a single borrowing unit/single risk</w:t>
      </w:r>
      <w:r w:rsidR="00720E51" w:rsidRPr="00395738">
        <w:rPr>
          <w:rFonts w:cs="Times New Roman"/>
          <w:color w:val="000000"/>
          <w:sz w:val="24"/>
          <w:szCs w:val="24"/>
        </w:rPr>
        <w:t>,</w:t>
      </w:r>
      <w:r w:rsidR="00CC3993" w:rsidRPr="00395738">
        <w:rPr>
          <w:rStyle w:val="FootnoteReference"/>
          <w:rFonts w:cs="Times New Roman"/>
          <w:color w:val="000000"/>
          <w:sz w:val="24"/>
          <w:szCs w:val="24"/>
        </w:rPr>
        <w:footnoteReference w:id="54"/>
      </w:r>
      <w:r w:rsidR="00CC3993" w:rsidRPr="00395738">
        <w:rPr>
          <w:rFonts w:cs="Times New Roman"/>
          <w:color w:val="000000"/>
          <w:sz w:val="24"/>
          <w:szCs w:val="24"/>
        </w:rPr>
        <w:t xml:space="preserve"> and/or </w:t>
      </w:r>
      <w:r w:rsidRPr="00395738">
        <w:rPr>
          <w:rFonts w:cs="Times New Roman"/>
          <w:color w:val="000000"/>
          <w:sz w:val="24"/>
          <w:szCs w:val="24"/>
        </w:rPr>
        <w:t xml:space="preserve">information </w:t>
      </w:r>
      <w:r w:rsidR="00CC3993" w:rsidRPr="00395738">
        <w:rPr>
          <w:rFonts w:cs="Times New Roman"/>
          <w:color w:val="000000"/>
          <w:sz w:val="24"/>
          <w:szCs w:val="24"/>
        </w:rPr>
        <w:t>that would allow analyzing lenders on a consolidated basis with other group companies.</w:t>
      </w:r>
    </w:p>
    <w:p w14:paraId="2892F6B6" w14:textId="3A26D00C" w:rsidR="00D02693" w:rsidRPr="00395738" w:rsidRDefault="0013127D" w:rsidP="00D15C69">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C</w:t>
      </w:r>
      <w:r w:rsidR="00D02693" w:rsidRPr="00395738">
        <w:rPr>
          <w:rFonts w:cs="Times New Roman"/>
          <w:color w:val="000000"/>
          <w:sz w:val="24"/>
          <w:szCs w:val="24"/>
        </w:rPr>
        <w:t>ross-border lending activit</w:t>
      </w:r>
      <w:r w:rsidR="005359A8" w:rsidRPr="00395738">
        <w:rPr>
          <w:rFonts w:cs="Times New Roman"/>
          <w:color w:val="000000"/>
          <w:sz w:val="24"/>
          <w:szCs w:val="24"/>
        </w:rPr>
        <w:t>y</w:t>
      </w:r>
      <w:r w:rsidRPr="00395738">
        <w:rPr>
          <w:rFonts w:cs="Times New Roman"/>
          <w:color w:val="000000"/>
          <w:sz w:val="24"/>
          <w:szCs w:val="24"/>
        </w:rPr>
        <w:t xml:space="preserve"> </w:t>
      </w:r>
      <w:r w:rsidR="005359A8" w:rsidRPr="00395738">
        <w:rPr>
          <w:rFonts w:cs="Times New Roman"/>
          <w:color w:val="000000"/>
          <w:sz w:val="24"/>
          <w:szCs w:val="24"/>
        </w:rPr>
        <w:t>is</w:t>
      </w:r>
      <w:r w:rsidRPr="00395738">
        <w:rPr>
          <w:rFonts w:cs="Times New Roman"/>
          <w:color w:val="000000"/>
          <w:sz w:val="24"/>
          <w:szCs w:val="24"/>
        </w:rPr>
        <w:t xml:space="preserve"> also of special interest to macro-prudential authorities. Data on loans made by foreign lenders to resident financial institutions, households and real sector firms is not likely to be available in CRSPs operating in the country.</w:t>
      </w:r>
      <w:r w:rsidR="00DA6545" w:rsidRPr="00395738">
        <w:rPr>
          <w:rFonts w:cs="Times New Roman"/>
          <w:color w:val="000000"/>
          <w:sz w:val="24"/>
          <w:szCs w:val="24"/>
        </w:rPr>
        <w:t xml:space="preserve"> As noted in chapter </w:t>
      </w:r>
      <w:r w:rsidR="00234573" w:rsidRPr="00395738">
        <w:rPr>
          <w:rFonts w:cs="Times New Roman"/>
          <w:color w:val="000000"/>
          <w:sz w:val="24"/>
          <w:szCs w:val="24"/>
        </w:rPr>
        <w:t>III</w:t>
      </w:r>
      <w:r w:rsidR="00DA6545" w:rsidRPr="00395738">
        <w:rPr>
          <w:rFonts w:cs="Times New Roman"/>
          <w:color w:val="000000"/>
          <w:sz w:val="24"/>
          <w:szCs w:val="24"/>
        </w:rPr>
        <w:t>, however, there are some ongoing initiatives by operators of CBs and CRs to facilitate cross-border credit data exchanges.</w:t>
      </w:r>
    </w:p>
    <w:p w14:paraId="290F6FB9" w14:textId="6AB5ECBC" w:rsidR="00C04252" w:rsidRPr="00395738" w:rsidRDefault="00D15C69" w:rsidP="00D15C69">
      <w:pPr>
        <w:pStyle w:val="ListParagraph"/>
        <w:numPr>
          <w:ilvl w:val="0"/>
          <w:numId w:val="1"/>
        </w:numPr>
        <w:autoSpaceDE w:val="0"/>
        <w:autoSpaceDN w:val="0"/>
        <w:adjustRightInd w:val="0"/>
        <w:spacing w:after="240" w:line="360" w:lineRule="auto"/>
        <w:contextualSpacing w:val="0"/>
        <w:jc w:val="both"/>
        <w:rPr>
          <w:rFonts w:cs="Times New Roman"/>
          <w:sz w:val="24"/>
          <w:szCs w:val="24"/>
        </w:rPr>
      </w:pPr>
      <w:r w:rsidRPr="00395738">
        <w:rPr>
          <w:rFonts w:cs="Times New Roman"/>
          <w:color w:val="000000"/>
          <w:sz w:val="24"/>
          <w:szCs w:val="24"/>
        </w:rPr>
        <w:t>At this point</w:t>
      </w:r>
      <w:r w:rsidR="00C04252" w:rsidRPr="00395738">
        <w:rPr>
          <w:rFonts w:cs="Times New Roman"/>
          <w:color w:val="000000"/>
          <w:sz w:val="24"/>
          <w:szCs w:val="24"/>
        </w:rPr>
        <w:t xml:space="preserve">, it needs to be noted once again that macro-prudential authorities’ data needs go well beyond credit data </w:t>
      </w:r>
      <w:r w:rsidR="00EF40C0" w:rsidRPr="00395738">
        <w:rPr>
          <w:rFonts w:cs="Times New Roman"/>
          <w:color w:val="000000"/>
          <w:sz w:val="24"/>
          <w:szCs w:val="24"/>
        </w:rPr>
        <w:t xml:space="preserve">in relation to lending. </w:t>
      </w:r>
      <w:r w:rsidR="008626F0" w:rsidRPr="00395738">
        <w:rPr>
          <w:rFonts w:cs="Times New Roman"/>
          <w:color w:val="000000"/>
          <w:sz w:val="24"/>
          <w:szCs w:val="24"/>
        </w:rPr>
        <w:t xml:space="preserve">An issue worth mentioning is </w:t>
      </w:r>
      <w:r w:rsidR="00B83982" w:rsidRPr="00395738">
        <w:rPr>
          <w:rFonts w:cs="Times New Roman"/>
          <w:color w:val="000000"/>
          <w:sz w:val="24"/>
          <w:szCs w:val="24"/>
        </w:rPr>
        <w:t xml:space="preserve">the extent to which credit data in </w:t>
      </w:r>
      <w:r w:rsidR="00B83982" w:rsidRPr="00395738">
        <w:rPr>
          <w:rFonts w:cs="Times New Roman"/>
          <w:sz w:val="24"/>
          <w:szCs w:val="24"/>
        </w:rPr>
        <w:t xml:space="preserve">CRSPs could be linked with </w:t>
      </w:r>
      <w:r w:rsidR="00EF40C0" w:rsidRPr="00395738">
        <w:rPr>
          <w:rFonts w:cs="Times New Roman"/>
          <w:sz w:val="24"/>
          <w:szCs w:val="24"/>
        </w:rPr>
        <w:t xml:space="preserve">other </w:t>
      </w:r>
      <w:r w:rsidR="00B83982" w:rsidRPr="00395738">
        <w:rPr>
          <w:rFonts w:cs="Times New Roman"/>
          <w:sz w:val="24"/>
          <w:szCs w:val="24"/>
        </w:rPr>
        <w:t xml:space="preserve">types of </w:t>
      </w:r>
      <w:r w:rsidR="00EF40C0" w:rsidRPr="00395738">
        <w:rPr>
          <w:rFonts w:cs="Times New Roman"/>
          <w:sz w:val="24"/>
          <w:szCs w:val="24"/>
        </w:rPr>
        <w:t>datasets</w:t>
      </w:r>
      <w:r w:rsidR="00EB5298" w:rsidRPr="00395738">
        <w:rPr>
          <w:rFonts w:cs="Times New Roman"/>
          <w:sz w:val="24"/>
          <w:szCs w:val="24"/>
        </w:rPr>
        <w:t xml:space="preserve">. Among other potential benefits this </w:t>
      </w:r>
      <w:r w:rsidR="00B83982" w:rsidRPr="00395738">
        <w:rPr>
          <w:rFonts w:cs="Times New Roman"/>
          <w:sz w:val="24"/>
          <w:szCs w:val="24"/>
        </w:rPr>
        <w:t xml:space="preserve">could </w:t>
      </w:r>
      <w:r w:rsidR="00EB5298" w:rsidRPr="00395738">
        <w:rPr>
          <w:rFonts w:cs="Times New Roman"/>
          <w:sz w:val="24"/>
          <w:szCs w:val="24"/>
        </w:rPr>
        <w:t xml:space="preserve">help in effectively identifying </w:t>
      </w:r>
      <w:r w:rsidR="007F174A" w:rsidRPr="00395738">
        <w:rPr>
          <w:rFonts w:cs="Times New Roman"/>
          <w:sz w:val="24"/>
          <w:szCs w:val="24"/>
        </w:rPr>
        <w:t xml:space="preserve">the </w:t>
      </w:r>
      <w:r w:rsidR="00B83982" w:rsidRPr="00395738">
        <w:rPr>
          <w:rFonts w:cs="Times New Roman"/>
          <w:sz w:val="24"/>
          <w:szCs w:val="24"/>
        </w:rPr>
        <w:t>various market players</w:t>
      </w:r>
      <w:r w:rsidR="007F174A" w:rsidRPr="00395738">
        <w:rPr>
          <w:rFonts w:cs="Times New Roman"/>
          <w:sz w:val="24"/>
          <w:szCs w:val="24"/>
        </w:rPr>
        <w:t xml:space="preserve"> and their mapping to financial or mixed conglomerates</w:t>
      </w:r>
      <w:r w:rsidR="00EB5298" w:rsidRPr="00395738">
        <w:rPr>
          <w:rFonts w:cs="Times New Roman"/>
          <w:sz w:val="24"/>
          <w:szCs w:val="24"/>
        </w:rPr>
        <w:t>, if applicable</w:t>
      </w:r>
      <w:r w:rsidR="007F174A" w:rsidRPr="00395738">
        <w:rPr>
          <w:rFonts w:cs="Times New Roman"/>
          <w:sz w:val="24"/>
          <w:szCs w:val="24"/>
        </w:rPr>
        <w:t>.</w:t>
      </w:r>
      <w:r w:rsidR="006653C4" w:rsidRPr="00395738">
        <w:rPr>
          <w:rStyle w:val="FootnoteReference"/>
          <w:rFonts w:cs="Times New Roman"/>
          <w:sz w:val="24"/>
          <w:szCs w:val="24"/>
        </w:rPr>
        <w:footnoteReference w:id="55"/>
      </w:r>
      <w:r w:rsidR="007F174A" w:rsidRPr="00395738">
        <w:rPr>
          <w:rFonts w:cs="Times New Roman"/>
          <w:sz w:val="24"/>
          <w:szCs w:val="24"/>
        </w:rPr>
        <w:t xml:space="preserve"> </w:t>
      </w:r>
      <w:r w:rsidR="006653C4" w:rsidRPr="00395738">
        <w:rPr>
          <w:rFonts w:cs="Times New Roman"/>
          <w:sz w:val="24"/>
          <w:szCs w:val="24"/>
        </w:rPr>
        <w:t xml:space="preserve">Technically, </w:t>
      </w:r>
      <w:r w:rsidR="007F174A" w:rsidRPr="00395738">
        <w:rPr>
          <w:rFonts w:cs="Times New Roman"/>
          <w:sz w:val="24"/>
          <w:szCs w:val="24"/>
        </w:rPr>
        <w:t>l</w:t>
      </w:r>
      <w:r w:rsidR="00CC52CA" w:rsidRPr="00395738">
        <w:rPr>
          <w:rFonts w:cs="Times New Roman"/>
          <w:sz w:val="24"/>
          <w:szCs w:val="24"/>
        </w:rPr>
        <w:t>inking databases require</w:t>
      </w:r>
      <w:r w:rsidR="007F174A" w:rsidRPr="00395738">
        <w:rPr>
          <w:rFonts w:cs="Times New Roman"/>
          <w:sz w:val="24"/>
          <w:szCs w:val="24"/>
        </w:rPr>
        <w:t>s</w:t>
      </w:r>
      <w:r w:rsidR="00CC52CA" w:rsidRPr="00395738">
        <w:rPr>
          <w:rFonts w:cs="Times New Roman"/>
          <w:sz w:val="24"/>
          <w:szCs w:val="24"/>
        </w:rPr>
        <w:t xml:space="preserve"> </w:t>
      </w:r>
      <w:r w:rsidR="007F174A" w:rsidRPr="00395738">
        <w:rPr>
          <w:rFonts w:cs="Times New Roman"/>
          <w:sz w:val="24"/>
          <w:szCs w:val="24"/>
        </w:rPr>
        <w:t xml:space="preserve">having a mechanism to </w:t>
      </w:r>
      <w:r w:rsidR="00D37F0D" w:rsidRPr="00395738">
        <w:rPr>
          <w:rFonts w:cs="Times New Roman"/>
          <w:sz w:val="24"/>
          <w:szCs w:val="24"/>
        </w:rPr>
        <w:t xml:space="preserve">be able to </w:t>
      </w:r>
      <w:r w:rsidR="007F174A" w:rsidRPr="00395738">
        <w:rPr>
          <w:rFonts w:cs="Times New Roman"/>
          <w:sz w:val="24"/>
          <w:szCs w:val="24"/>
        </w:rPr>
        <w:t xml:space="preserve">identify </w:t>
      </w:r>
      <w:r w:rsidR="001376F0" w:rsidRPr="00395738">
        <w:rPr>
          <w:rFonts w:cs="Times New Roman"/>
          <w:sz w:val="24"/>
          <w:szCs w:val="24"/>
        </w:rPr>
        <w:t xml:space="preserve">and match </w:t>
      </w:r>
      <w:r w:rsidR="007F174A" w:rsidRPr="00395738">
        <w:rPr>
          <w:rFonts w:cs="Times New Roman"/>
          <w:sz w:val="24"/>
          <w:szCs w:val="24"/>
        </w:rPr>
        <w:t xml:space="preserve">the data subjects in each database. </w:t>
      </w:r>
      <w:r w:rsidR="00EB5298" w:rsidRPr="00395738">
        <w:rPr>
          <w:rFonts w:cs="Times New Roman"/>
          <w:sz w:val="24"/>
          <w:szCs w:val="24"/>
        </w:rPr>
        <w:t xml:space="preserve">In this regard, the </w:t>
      </w:r>
      <w:r w:rsidR="0096788F" w:rsidRPr="00395738">
        <w:rPr>
          <w:rFonts w:cs="Times New Roman"/>
          <w:sz w:val="24"/>
          <w:szCs w:val="24"/>
        </w:rPr>
        <w:t xml:space="preserve">global </w:t>
      </w:r>
      <w:r w:rsidR="00EB5298" w:rsidRPr="00395738">
        <w:rPr>
          <w:rFonts w:cs="Times New Roman"/>
          <w:sz w:val="24"/>
          <w:szCs w:val="24"/>
        </w:rPr>
        <w:t>legal entity identifier (</w:t>
      </w:r>
      <w:r w:rsidR="0096788F" w:rsidRPr="00395738">
        <w:rPr>
          <w:rFonts w:cs="Times New Roman"/>
          <w:sz w:val="24"/>
          <w:szCs w:val="24"/>
        </w:rPr>
        <w:t>G</w:t>
      </w:r>
      <w:r w:rsidR="00EB5298" w:rsidRPr="00395738">
        <w:rPr>
          <w:rFonts w:cs="Times New Roman"/>
          <w:sz w:val="24"/>
          <w:szCs w:val="24"/>
        </w:rPr>
        <w:t xml:space="preserve">LEI) project that was initiated under the G20/FSB leadership could prove helpful for this purpose, not only at the domestic level but also and especially for the cross-border dimension. A description of the </w:t>
      </w:r>
      <w:r w:rsidRPr="00395738">
        <w:rPr>
          <w:rFonts w:cs="Times New Roman"/>
          <w:sz w:val="24"/>
          <w:szCs w:val="24"/>
        </w:rPr>
        <w:t>G</w:t>
      </w:r>
      <w:r w:rsidR="00EB5298" w:rsidRPr="00395738">
        <w:rPr>
          <w:rFonts w:cs="Times New Roman"/>
          <w:sz w:val="24"/>
          <w:szCs w:val="24"/>
        </w:rPr>
        <w:t>LEI</w:t>
      </w:r>
      <w:r w:rsidR="00565C7D" w:rsidRPr="00395738">
        <w:rPr>
          <w:rFonts w:cs="Times New Roman"/>
          <w:sz w:val="24"/>
          <w:szCs w:val="24"/>
        </w:rPr>
        <w:t xml:space="preserve"> </w:t>
      </w:r>
      <w:r w:rsidRPr="00395738">
        <w:rPr>
          <w:rFonts w:cs="Times New Roman"/>
          <w:sz w:val="24"/>
          <w:szCs w:val="24"/>
        </w:rPr>
        <w:t xml:space="preserve">project </w:t>
      </w:r>
      <w:r w:rsidR="00EB5298" w:rsidRPr="00395738">
        <w:rPr>
          <w:rFonts w:cs="Times New Roman"/>
          <w:sz w:val="24"/>
          <w:szCs w:val="24"/>
        </w:rPr>
        <w:t>and its</w:t>
      </w:r>
      <w:r w:rsidR="00D20C03" w:rsidRPr="00395738">
        <w:rPr>
          <w:rFonts w:cs="Times New Roman"/>
          <w:sz w:val="24"/>
          <w:szCs w:val="24"/>
        </w:rPr>
        <w:t xml:space="preserve"> current status is provided in a</w:t>
      </w:r>
      <w:r w:rsidR="00EB5298" w:rsidRPr="00395738">
        <w:rPr>
          <w:rFonts w:cs="Times New Roman"/>
          <w:sz w:val="24"/>
          <w:szCs w:val="24"/>
        </w:rPr>
        <w:t xml:space="preserve">nnex </w:t>
      </w:r>
      <w:r w:rsidR="00C925FC" w:rsidRPr="00395738">
        <w:rPr>
          <w:rFonts w:cs="Times New Roman"/>
          <w:sz w:val="24"/>
          <w:szCs w:val="24"/>
        </w:rPr>
        <w:t>3</w:t>
      </w:r>
      <w:r w:rsidR="00EB5298" w:rsidRPr="00395738">
        <w:rPr>
          <w:rFonts w:cs="Times New Roman"/>
          <w:sz w:val="24"/>
          <w:szCs w:val="24"/>
        </w:rPr>
        <w:t>.</w:t>
      </w:r>
    </w:p>
    <w:p w14:paraId="51824B47" w14:textId="0A15D068" w:rsidR="007A2714" w:rsidRPr="00395738" w:rsidRDefault="001745AA" w:rsidP="00D15C69">
      <w:pPr>
        <w:pStyle w:val="ListParagraph"/>
        <w:numPr>
          <w:ilvl w:val="0"/>
          <w:numId w:val="1"/>
        </w:numPr>
        <w:autoSpaceDE w:val="0"/>
        <w:autoSpaceDN w:val="0"/>
        <w:adjustRightInd w:val="0"/>
        <w:spacing w:after="240" w:line="360" w:lineRule="auto"/>
        <w:contextualSpacing w:val="0"/>
        <w:jc w:val="both"/>
        <w:rPr>
          <w:rFonts w:cs="Times New Roman"/>
          <w:sz w:val="24"/>
          <w:szCs w:val="24"/>
        </w:rPr>
      </w:pPr>
      <w:r w:rsidRPr="00395738">
        <w:rPr>
          <w:rFonts w:cs="Times New Roman"/>
          <w:sz w:val="24"/>
          <w:szCs w:val="24"/>
        </w:rPr>
        <w:t>Also i</w:t>
      </w:r>
      <w:r w:rsidR="007A2714" w:rsidRPr="00395738">
        <w:rPr>
          <w:rFonts w:cs="Times New Roman"/>
          <w:sz w:val="24"/>
          <w:szCs w:val="24"/>
        </w:rPr>
        <w:t>n connection with the above discussion on linkages</w:t>
      </w:r>
      <w:r w:rsidRPr="00395738">
        <w:rPr>
          <w:rFonts w:cs="Times New Roman"/>
          <w:sz w:val="24"/>
          <w:szCs w:val="24"/>
        </w:rPr>
        <w:t xml:space="preserve"> between CRSPs and other databases</w:t>
      </w:r>
      <w:r w:rsidR="007A2714" w:rsidRPr="00395738">
        <w:rPr>
          <w:rFonts w:cs="Times New Roman"/>
          <w:sz w:val="24"/>
          <w:szCs w:val="24"/>
        </w:rPr>
        <w:t>, at a more basic level CRSPs in man</w:t>
      </w:r>
      <w:r w:rsidRPr="00395738">
        <w:rPr>
          <w:rFonts w:cs="Times New Roman"/>
          <w:sz w:val="24"/>
          <w:szCs w:val="24"/>
        </w:rPr>
        <w:t>y</w:t>
      </w:r>
      <w:r w:rsidR="007A2714" w:rsidRPr="00395738">
        <w:rPr>
          <w:rFonts w:cs="Times New Roman"/>
          <w:sz w:val="24"/>
          <w:szCs w:val="24"/>
        </w:rPr>
        <w:t xml:space="preserve"> countries still fac</w:t>
      </w:r>
      <w:r w:rsidRPr="00395738">
        <w:rPr>
          <w:rFonts w:cs="Times New Roman"/>
          <w:sz w:val="24"/>
          <w:szCs w:val="24"/>
        </w:rPr>
        <w:t>e</w:t>
      </w:r>
      <w:r w:rsidR="007A2714" w:rsidRPr="00395738">
        <w:rPr>
          <w:rFonts w:cs="Times New Roman"/>
          <w:sz w:val="24"/>
          <w:szCs w:val="24"/>
        </w:rPr>
        <w:t xml:space="preserve"> difficulties to obtain and use data</w:t>
      </w:r>
      <w:r w:rsidRPr="00395738">
        <w:rPr>
          <w:rFonts w:cs="Times New Roman"/>
          <w:sz w:val="24"/>
          <w:szCs w:val="24"/>
        </w:rPr>
        <w:t xml:space="preserve"> stored in certain databases, mainly those operated by some government institutions (e.g. certain public records). This reduces the overall usage of data. Box 5 discusses recent work undertaken by the Bank of England to ascertain the availability/sufficiency of credit data in the United Kingdom</w:t>
      </w:r>
      <w:r w:rsidR="009B7E93" w:rsidRPr="00395738">
        <w:rPr>
          <w:rFonts w:cs="Times New Roman"/>
          <w:sz w:val="24"/>
          <w:szCs w:val="24"/>
        </w:rPr>
        <w:t xml:space="preserve"> (UK)</w:t>
      </w:r>
      <w:r w:rsidRPr="00395738">
        <w:rPr>
          <w:rFonts w:cs="Times New Roman"/>
          <w:sz w:val="24"/>
          <w:szCs w:val="24"/>
        </w:rPr>
        <w:t xml:space="preserve">, which </w:t>
      </w:r>
      <w:r w:rsidR="009B7E93" w:rsidRPr="00395738">
        <w:rPr>
          <w:rFonts w:cs="Times New Roman"/>
          <w:sz w:val="24"/>
          <w:szCs w:val="24"/>
        </w:rPr>
        <w:t xml:space="preserve">among other outcomes </w:t>
      </w:r>
      <w:r w:rsidRPr="00395738">
        <w:rPr>
          <w:rFonts w:cs="Times New Roman"/>
          <w:sz w:val="24"/>
          <w:szCs w:val="24"/>
        </w:rPr>
        <w:t xml:space="preserve">highlighted </w:t>
      </w:r>
      <w:r w:rsidR="00DC1913" w:rsidRPr="00395738">
        <w:rPr>
          <w:rFonts w:cs="Times New Roman"/>
          <w:sz w:val="24"/>
          <w:szCs w:val="24"/>
        </w:rPr>
        <w:t>the need to improve access of CRSPs to data sources like the ones mentioned above.</w:t>
      </w:r>
    </w:p>
    <w:p w14:paraId="21F3CC35" w14:textId="7A07E49E" w:rsidR="00DC1913" w:rsidRPr="00395738" w:rsidRDefault="00DC1913" w:rsidP="00D15C6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240" w:line="360" w:lineRule="auto"/>
        <w:ind w:left="720"/>
        <w:jc w:val="center"/>
        <w:rPr>
          <w:rFonts w:cs="Times New Roman"/>
          <w:b/>
          <w:color w:val="000000"/>
          <w:sz w:val="28"/>
          <w:szCs w:val="28"/>
        </w:rPr>
      </w:pPr>
      <w:r w:rsidRPr="00395738">
        <w:rPr>
          <w:rFonts w:cs="Times New Roman"/>
          <w:b/>
          <w:color w:val="000000"/>
          <w:sz w:val="28"/>
          <w:szCs w:val="28"/>
        </w:rPr>
        <w:lastRenderedPageBreak/>
        <w:t xml:space="preserve">Box 5: </w:t>
      </w:r>
      <w:r w:rsidR="00CF454A" w:rsidRPr="00395738">
        <w:rPr>
          <w:rFonts w:cs="Times New Roman"/>
          <w:b/>
          <w:color w:val="000000"/>
          <w:sz w:val="28"/>
          <w:szCs w:val="28"/>
        </w:rPr>
        <w:t>Bank of England work on the availability of credit data in the UK</w:t>
      </w:r>
    </w:p>
    <w:p w14:paraId="5A2ED67C" w14:textId="1BDA6AC0" w:rsidR="00CF454A" w:rsidRPr="00395738" w:rsidRDefault="00DC1913" w:rsidP="00D15C6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line="240" w:lineRule="auto"/>
        <w:ind w:left="720"/>
        <w:jc w:val="both"/>
        <w:rPr>
          <w:rFonts w:cs="Times New Roman"/>
        </w:rPr>
      </w:pPr>
      <w:r w:rsidRPr="00395738">
        <w:rPr>
          <w:rFonts w:cs="Times New Roman"/>
        </w:rPr>
        <w:t>In May 2014, the Bank of England (BOE) published a discussion paper, which aimed to look at the availability of credit data in the United Kingdom</w:t>
      </w:r>
      <w:r w:rsidR="00CF454A" w:rsidRPr="00395738">
        <w:rPr>
          <w:rFonts w:cs="Times New Roman"/>
        </w:rPr>
        <w:t xml:space="preserve"> (UK)</w:t>
      </w:r>
      <w:r w:rsidRPr="00395738">
        <w:rPr>
          <w:rFonts w:cs="Times New Roman"/>
        </w:rPr>
        <w:t xml:space="preserve">. </w:t>
      </w:r>
    </w:p>
    <w:p w14:paraId="5387A942" w14:textId="6047C86E" w:rsidR="00DC1913" w:rsidRPr="00395738" w:rsidRDefault="00DC1913" w:rsidP="00D15C6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line="240" w:lineRule="auto"/>
        <w:ind w:left="720"/>
        <w:jc w:val="both"/>
        <w:rPr>
          <w:rFonts w:cs="Times New Roman"/>
        </w:rPr>
      </w:pPr>
      <w:r w:rsidRPr="00395738">
        <w:rPr>
          <w:rFonts w:cs="Times New Roman"/>
        </w:rPr>
        <w:t xml:space="preserve">The discussion paper sought to evaluate the data which is currently available for a number of purposes connected to lending in the country, and </w:t>
      </w:r>
      <w:r w:rsidR="00D15C69" w:rsidRPr="00395738">
        <w:rPr>
          <w:rFonts w:cs="Times New Roman"/>
        </w:rPr>
        <w:t xml:space="preserve">also to </w:t>
      </w:r>
      <w:r w:rsidRPr="00395738">
        <w:rPr>
          <w:rFonts w:cs="Times New Roman"/>
        </w:rPr>
        <w:t>explore ways by which the BOE may be able to attain access to the data which is held by credit reference agencies and lenders to assist with the BOE's macro and micro prudential supervisory activities.</w:t>
      </w:r>
    </w:p>
    <w:p w14:paraId="707B987E" w14:textId="6C414B6F" w:rsidR="00DC1913" w:rsidRPr="00395738" w:rsidRDefault="00DC1913" w:rsidP="00D15C69">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20" w:line="240" w:lineRule="auto"/>
        <w:ind w:left="720"/>
        <w:jc w:val="both"/>
        <w:rPr>
          <w:rFonts w:cs="Times New Roman"/>
        </w:rPr>
      </w:pPr>
      <w:r w:rsidRPr="00395738">
        <w:rPr>
          <w:rFonts w:cs="Times New Roman"/>
        </w:rPr>
        <w:t xml:space="preserve">Following the collation of the stakeholder responses to the discussion paper, the BOE published a summary of this feedback on </w:t>
      </w:r>
      <w:r w:rsidR="00CF454A" w:rsidRPr="00395738">
        <w:rPr>
          <w:rFonts w:cs="Times New Roman"/>
        </w:rPr>
        <w:t>N</w:t>
      </w:r>
      <w:r w:rsidRPr="00395738">
        <w:rPr>
          <w:rFonts w:cs="Times New Roman"/>
        </w:rPr>
        <w:t>ovember 2014.</w:t>
      </w:r>
      <w:r w:rsidR="009B7E93" w:rsidRPr="00395738">
        <w:rPr>
          <w:rStyle w:val="FootnoteReference"/>
          <w:rFonts w:cs="Times New Roman"/>
        </w:rPr>
        <w:footnoteReference w:id="56"/>
      </w:r>
      <w:r w:rsidRPr="00395738">
        <w:rPr>
          <w:rFonts w:cs="Times New Roman"/>
        </w:rPr>
        <w:t xml:space="preserve"> Several of the key points that were raised during the consultation were related to the need to ensure improved access to publically owned information sources for credit reference agencies, and further release of data such as the VAT register to </w:t>
      </w:r>
      <w:r w:rsidR="00CF454A" w:rsidRPr="00395738">
        <w:rPr>
          <w:rFonts w:cs="Times New Roman"/>
        </w:rPr>
        <w:t>help improve credit assessments</w:t>
      </w:r>
      <w:r w:rsidRPr="00395738">
        <w:rPr>
          <w:rFonts w:cs="Times New Roman"/>
        </w:rPr>
        <w:t xml:space="preserve">. </w:t>
      </w:r>
      <w:r w:rsidR="00CF454A" w:rsidRPr="00395738">
        <w:rPr>
          <w:rFonts w:cs="Times New Roman"/>
        </w:rPr>
        <w:t xml:space="preserve">Other </w:t>
      </w:r>
      <w:r w:rsidR="00D15C69" w:rsidRPr="00395738">
        <w:rPr>
          <w:rFonts w:cs="Times New Roman"/>
        </w:rPr>
        <w:t>important</w:t>
      </w:r>
      <w:r w:rsidR="00CF454A" w:rsidRPr="00395738">
        <w:rPr>
          <w:rFonts w:cs="Times New Roman"/>
        </w:rPr>
        <w:t xml:space="preserve"> </w:t>
      </w:r>
      <w:r w:rsidR="00D15C69" w:rsidRPr="00395738">
        <w:rPr>
          <w:rFonts w:cs="Times New Roman"/>
        </w:rPr>
        <w:t xml:space="preserve">issues </w:t>
      </w:r>
      <w:r w:rsidR="00CF454A" w:rsidRPr="00395738">
        <w:rPr>
          <w:rFonts w:cs="Times New Roman"/>
        </w:rPr>
        <w:t xml:space="preserve">were improving access to credit data for policymakers and </w:t>
      </w:r>
      <w:r w:rsidR="00D15C69" w:rsidRPr="00395738">
        <w:rPr>
          <w:rFonts w:cs="Times New Roman"/>
        </w:rPr>
        <w:t xml:space="preserve">for </w:t>
      </w:r>
      <w:r w:rsidR="00CF454A" w:rsidRPr="00395738">
        <w:rPr>
          <w:rFonts w:cs="Times New Roman"/>
        </w:rPr>
        <w:t>trade credit providers</w:t>
      </w:r>
      <w:r w:rsidR="009B7E93" w:rsidRPr="00395738">
        <w:rPr>
          <w:rFonts w:cs="Times New Roman"/>
        </w:rPr>
        <w:t>,</w:t>
      </w:r>
      <w:r w:rsidR="00CF454A" w:rsidRPr="00395738">
        <w:rPr>
          <w:rFonts w:cs="Times New Roman"/>
        </w:rPr>
        <w:t xml:space="preserve"> and the concerns surround</w:t>
      </w:r>
      <w:r w:rsidR="00D15C69" w:rsidRPr="00395738">
        <w:rPr>
          <w:rFonts w:cs="Times New Roman"/>
        </w:rPr>
        <w:t>ing</w:t>
      </w:r>
      <w:r w:rsidR="00CF454A" w:rsidRPr="00395738">
        <w:rPr>
          <w:rFonts w:cs="Times New Roman"/>
        </w:rPr>
        <w:t xml:space="preserve"> the EU Data Protection Regulation and how this will impact credit reference agencies’ data.</w:t>
      </w:r>
    </w:p>
    <w:p w14:paraId="50960585" w14:textId="07E2C606" w:rsidR="00DC1913" w:rsidRPr="00395738" w:rsidRDefault="00DC1913" w:rsidP="00DC1913">
      <w:pPr>
        <w:pStyle w:val="ListParagraph"/>
        <w:autoSpaceDE w:val="0"/>
        <w:autoSpaceDN w:val="0"/>
        <w:adjustRightInd w:val="0"/>
        <w:spacing w:after="480" w:line="360" w:lineRule="auto"/>
        <w:contextualSpacing w:val="0"/>
        <w:jc w:val="both"/>
        <w:rPr>
          <w:rFonts w:cs="Times New Roman"/>
          <w:color w:val="000000"/>
          <w:sz w:val="20"/>
          <w:szCs w:val="20"/>
        </w:rPr>
      </w:pPr>
      <w:r w:rsidRPr="00395738">
        <w:rPr>
          <w:rFonts w:cs="Times New Roman"/>
          <w:color w:val="000000"/>
          <w:sz w:val="20"/>
          <w:szCs w:val="20"/>
        </w:rPr>
        <w:t xml:space="preserve">Source: Association of Consumer Credit Information Suppliers (ACCIS). </w:t>
      </w:r>
    </w:p>
    <w:p w14:paraId="503DCA3F" w14:textId="77777777" w:rsidR="00D1146D" w:rsidRPr="00395738" w:rsidRDefault="00D1146D" w:rsidP="00D1146D">
      <w:pPr>
        <w:pStyle w:val="Subtitle"/>
        <w:spacing w:before="480" w:after="240"/>
        <w:rPr>
          <w:rFonts w:asciiTheme="minorHAnsi" w:hAnsiTheme="minorHAnsi"/>
        </w:rPr>
      </w:pPr>
      <w:r w:rsidRPr="00395738">
        <w:rPr>
          <w:rFonts w:asciiTheme="minorHAnsi" w:hAnsiTheme="minorHAnsi"/>
        </w:rPr>
        <w:t>IV.4 Typical problems that macro-prudential authorities face with regard to being able to effectively use credit data in CRSPs</w:t>
      </w:r>
    </w:p>
    <w:p w14:paraId="6D84BC02" w14:textId="41D83B9D" w:rsidR="00673C5A" w:rsidRPr="00395738" w:rsidRDefault="00D1146D" w:rsidP="002152D6">
      <w:pPr>
        <w:pStyle w:val="ListParagraph"/>
        <w:numPr>
          <w:ilvl w:val="0"/>
          <w:numId w:val="1"/>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 xml:space="preserve">As with micro-prudential supervisors, a variety of legal and operational problems may prevent macro-prudential authorities from being able to use credit data available in CRSPs in an effective manner. Once again, </w:t>
      </w:r>
      <w:r w:rsidR="00673509" w:rsidRPr="00395738">
        <w:rPr>
          <w:rFonts w:cs="Times New Roman"/>
          <w:color w:val="000000"/>
          <w:sz w:val="24"/>
          <w:szCs w:val="24"/>
        </w:rPr>
        <w:t xml:space="preserve">the </w:t>
      </w:r>
      <w:r w:rsidR="00D37F0D" w:rsidRPr="00395738">
        <w:rPr>
          <w:rFonts w:cs="Times New Roman"/>
          <w:color w:val="000000"/>
          <w:sz w:val="24"/>
          <w:szCs w:val="24"/>
        </w:rPr>
        <w:t xml:space="preserve">issues </w:t>
      </w:r>
      <w:r w:rsidRPr="00395738">
        <w:rPr>
          <w:rFonts w:cs="Times New Roman"/>
          <w:color w:val="000000"/>
          <w:sz w:val="24"/>
          <w:szCs w:val="24"/>
        </w:rPr>
        <w:t xml:space="preserve">already identified </w:t>
      </w:r>
      <w:r w:rsidR="00673509" w:rsidRPr="00395738">
        <w:rPr>
          <w:rFonts w:cs="Times New Roman"/>
          <w:color w:val="000000"/>
          <w:sz w:val="24"/>
          <w:szCs w:val="24"/>
        </w:rPr>
        <w:t xml:space="preserve">in section III.4 for the case of </w:t>
      </w:r>
      <w:r w:rsidRPr="00395738">
        <w:rPr>
          <w:rFonts w:cs="Times New Roman"/>
          <w:color w:val="000000"/>
          <w:sz w:val="24"/>
          <w:szCs w:val="24"/>
        </w:rPr>
        <w:t xml:space="preserve">micro-prudential supervisors are also applicable </w:t>
      </w:r>
      <w:r w:rsidR="00DA6545" w:rsidRPr="00395738">
        <w:rPr>
          <w:rFonts w:cs="Times New Roman"/>
          <w:color w:val="000000"/>
          <w:sz w:val="24"/>
          <w:szCs w:val="24"/>
        </w:rPr>
        <w:t xml:space="preserve">in general terms </w:t>
      </w:r>
      <w:r w:rsidRPr="00395738">
        <w:rPr>
          <w:rFonts w:cs="Times New Roman"/>
          <w:color w:val="000000"/>
          <w:sz w:val="24"/>
          <w:szCs w:val="24"/>
        </w:rPr>
        <w:t>to macro-prudential authorities will not be revisited here</w:t>
      </w:r>
      <w:r w:rsidR="00DA6545" w:rsidRPr="00395738">
        <w:rPr>
          <w:rFonts w:cs="Times New Roman"/>
          <w:color w:val="000000"/>
          <w:sz w:val="24"/>
          <w:szCs w:val="24"/>
        </w:rPr>
        <w:t xml:space="preserve">. Some of the </w:t>
      </w:r>
      <w:r w:rsidR="00D15C69" w:rsidRPr="00395738">
        <w:rPr>
          <w:rFonts w:cs="Times New Roman"/>
          <w:color w:val="000000"/>
          <w:sz w:val="24"/>
          <w:szCs w:val="24"/>
        </w:rPr>
        <w:t xml:space="preserve">additional </w:t>
      </w:r>
      <w:r w:rsidR="00673509" w:rsidRPr="00395738">
        <w:rPr>
          <w:rFonts w:cs="Times New Roman"/>
          <w:color w:val="000000"/>
          <w:sz w:val="24"/>
          <w:szCs w:val="24"/>
        </w:rPr>
        <w:t xml:space="preserve">potential challenges for </w:t>
      </w:r>
      <w:r w:rsidR="00DA6545" w:rsidRPr="00395738">
        <w:rPr>
          <w:rFonts w:cs="Times New Roman"/>
          <w:color w:val="000000"/>
          <w:sz w:val="24"/>
          <w:szCs w:val="24"/>
        </w:rPr>
        <w:t>macro-prudential authorities are discussed below.</w:t>
      </w:r>
    </w:p>
    <w:p w14:paraId="182D92DD" w14:textId="77D442A5" w:rsidR="00D1146D" w:rsidRPr="00395738" w:rsidRDefault="00D1146D" w:rsidP="00D145EE">
      <w:pPr>
        <w:pStyle w:val="ListParagraph"/>
        <w:numPr>
          <w:ilvl w:val="0"/>
          <w:numId w:val="1"/>
        </w:numPr>
        <w:autoSpaceDE w:val="0"/>
        <w:autoSpaceDN w:val="0"/>
        <w:adjustRightInd w:val="0"/>
        <w:spacing w:after="180" w:line="360" w:lineRule="auto"/>
        <w:contextualSpacing w:val="0"/>
        <w:jc w:val="both"/>
        <w:rPr>
          <w:rFonts w:cs="Times New Roman"/>
          <w:color w:val="000000"/>
          <w:sz w:val="24"/>
          <w:szCs w:val="24"/>
        </w:rPr>
      </w:pPr>
      <w:r w:rsidRPr="00395738">
        <w:rPr>
          <w:rFonts w:cs="Times New Roman"/>
          <w:color w:val="000000"/>
          <w:sz w:val="24"/>
          <w:szCs w:val="24"/>
        </w:rPr>
        <w:t>Data on cross-border lending activities, as mentioned earlier, is crucial for macro-prudential authorities</w:t>
      </w:r>
      <w:r w:rsidR="00B13A92" w:rsidRPr="00395738">
        <w:rPr>
          <w:rFonts w:cs="Times New Roman"/>
          <w:color w:val="000000"/>
          <w:sz w:val="24"/>
          <w:szCs w:val="24"/>
        </w:rPr>
        <w:t>,</w:t>
      </w:r>
      <w:r w:rsidR="00B13A92" w:rsidRPr="00395738">
        <w:rPr>
          <w:rStyle w:val="FootnoteReference"/>
          <w:rFonts w:cs="Times New Roman"/>
          <w:color w:val="000000"/>
          <w:sz w:val="24"/>
          <w:szCs w:val="24"/>
        </w:rPr>
        <w:footnoteReference w:id="57"/>
      </w:r>
      <w:r w:rsidRPr="00395738">
        <w:rPr>
          <w:rFonts w:cs="Times New Roman"/>
          <w:color w:val="000000"/>
          <w:sz w:val="24"/>
          <w:szCs w:val="24"/>
        </w:rPr>
        <w:t xml:space="preserve"> </w:t>
      </w:r>
      <w:r w:rsidR="00B13A92" w:rsidRPr="00395738">
        <w:rPr>
          <w:rFonts w:cs="Times New Roman"/>
          <w:color w:val="000000"/>
          <w:sz w:val="24"/>
          <w:szCs w:val="24"/>
        </w:rPr>
        <w:t xml:space="preserve">and several important dimensions of such activities are only captured by CRSPs </w:t>
      </w:r>
      <w:r w:rsidR="00673509" w:rsidRPr="00395738">
        <w:rPr>
          <w:rFonts w:cs="Times New Roman"/>
          <w:color w:val="000000"/>
          <w:sz w:val="24"/>
          <w:szCs w:val="24"/>
        </w:rPr>
        <w:t xml:space="preserve">located in </w:t>
      </w:r>
      <w:r w:rsidR="00B13A92" w:rsidRPr="00395738">
        <w:rPr>
          <w:rFonts w:cs="Times New Roman"/>
          <w:color w:val="000000"/>
          <w:sz w:val="24"/>
          <w:szCs w:val="24"/>
        </w:rPr>
        <w:t>the jurisdiction where the lender is incorporated</w:t>
      </w:r>
      <w:r w:rsidR="00673509" w:rsidRPr="00395738">
        <w:rPr>
          <w:rFonts w:cs="Times New Roman"/>
          <w:color w:val="000000"/>
          <w:sz w:val="24"/>
          <w:szCs w:val="24"/>
        </w:rPr>
        <w:t xml:space="preserve">. CRSPs in foreign jurisdictions are </w:t>
      </w:r>
      <w:r w:rsidR="00B13A92" w:rsidRPr="00395738">
        <w:rPr>
          <w:rFonts w:cs="Times New Roman"/>
          <w:color w:val="000000"/>
          <w:sz w:val="24"/>
          <w:szCs w:val="24"/>
        </w:rPr>
        <w:t xml:space="preserve">not </w:t>
      </w:r>
      <w:r w:rsidR="00DA6545" w:rsidRPr="00395738">
        <w:rPr>
          <w:rFonts w:cs="Times New Roman"/>
          <w:color w:val="000000"/>
          <w:sz w:val="24"/>
          <w:szCs w:val="24"/>
        </w:rPr>
        <w:t xml:space="preserve">easily </w:t>
      </w:r>
      <w:r w:rsidR="00B13A92" w:rsidRPr="00395738">
        <w:rPr>
          <w:rFonts w:cs="Times New Roman"/>
          <w:color w:val="000000"/>
          <w:sz w:val="24"/>
          <w:szCs w:val="24"/>
        </w:rPr>
        <w:t xml:space="preserve">accessible to local </w:t>
      </w:r>
      <w:r w:rsidR="00D145EE" w:rsidRPr="00395738">
        <w:rPr>
          <w:rFonts w:cs="Times New Roman"/>
          <w:color w:val="000000"/>
          <w:sz w:val="24"/>
          <w:szCs w:val="24"/>
        </w:rPr>
        <w:t xml:space="preserve">macro-prudential </w:t>
      </w:r>
      <w:r w:rsidR="00B13A92" w:rsidRPr="00395738">
        <w:rPr>
          <w:rFonts w:cs="Times New Roman"/>
          <w:color w:val="000000"/>
          <w:sz w:val="24"/>
          <w:szCs w:val="24"/>
        </w:rPr>
        <w:t xml:space="preserve">authorities. </w:t>
      </w:r>
    </w:p>
    <w:p w14:paraId="64D3419B" w14:textId="77777777" w:rsidR="00406C72" w:rsidRPr="00395738" w:rsidRDefault="00D145EE" w:rsidP="00C94698">
      <w:pPr>
        <w:pStyle w:val="ListParagraph"/>
        <w:numPr>
          <w:ilvl w:val="0"/>
          <w:numId w:val="1"/>
        </w:numPr>
        <w:autoSpaceDE w:val="0"/>
        <w:autoSpaceDN w:val="0"/>
        <w:adjustRightInd w:val="0"/>
        <w:spacing w:after="180" w:line="360" w:lineRule="auto"/>
        <w:contextualSpacing w:val="0"/>
        <w:jc w:val="both"/>
        <w:rPr>
          <w:rFonts w:cs="Times New Roman"/>
          <w:color w:val="000000"/>
          <w:sz w:val="24"/>
          <w:szCs w:val="24"/>
        </w:rPr>
      </w:pPr>
      <w:r w:rsidRPr="00395738">
        <w:rPr>
          <w:rFonts w:cs="Times New Roman"/>
          <w:color w:val="000000"/>
          <w:sz w:val="24"/>
          <w:szCs w:val="24"/>
        </w:rPr>
        <w:lastRenderedPageBreak/>
        <w:t>At</w:t>
      </w:r>
      <w:r w:rsidR="00D37F0D" w:rsidRPr="00395738">
        <w:rPr>
          <w:rFonts w:cs="Times New Roman"/>
          <w:color w:val="000000"/>
          <w:sz w:val="24"/>
          <w:szCs w:val="24"/>
        </w:rPr>
        <w:t xml:space="preserve"> the operational level, i</w:t>
      </w:r>
      <w:r w:rsidR="00673509" w:rsidRPr="00395738">
        <w:rPr>
          <w:rFonts w:cs="Times New Roman"/>
          <w:color w:val="000000"/>
          <w:sz w:val="24"/>
          <w:szCs w:val="24"/>
        </w:rPr>
        <w:t>t is very likely that t</w:t>
      </w:r>
      <w:r w:rsidR="00FD46B5" w:rsidRPr="00395738">
        <w:rPr>
          <w:rFonts w:cs="Times New Roman"/>
          <w:color w:val="000000"/>
          <w:sz w:val="24"/>
          <w:szCs w:val="24"/>
        </w:rPr>
        <w:t xml:space="preserve">he implementation of a macro-prudential framework </w:t>
      </w:r>
      <w:r w:rsidR="00673509" w:rsidRPr="00395738">
        <w:rPr>
          <w:rFonts w:cs="Times New Roman"/>
          <w:color w:val="000000"/>
          <w:sz w:val="24"/>
          <w:szCs w:val="24"/>
        </w:rPr>
        <w:t xml:space="preserve">will </w:t>
      </w:r>
      <w:r w:rsidR="00FD46B5" w:rsidRPr="00395738">
        <w:rPr>
          <w:rFonts w:cs="Times New Roman"/>
          <w:color w:val="000000"/>
          <w:sz w:val="24"/>
          <w:szCs w:val="24"/>
        </w:rPr>
        <w:t xml:space="preserve">impose </w:t>
      </w:r>
      <w:r w:rsidR="005359A8" w:rsidRPr="00395738">
        <w:rPr>
          <w:rFonts w:cs="Times New Roman"/>
          <w:color w:val="000000"/>
          <w:sz w:val="24"/>
          <w:szCs w:val="24"/>
        </w:rPr>
        <w:t xml:space="preserve">new </w:t>
      </w:r>
      <w:r w:rsidR="00673509" w:rsidRPr="00395738">
        <w:rPr>
          <w:rFonts w:cs="Times New Roman"/>
          <w:color w:val="000000"/>
          <w:sz w:val="24"/>
          <w:szCs w:val="24"/>
        </w:rPr>
        <w:t xml:space="preserve">and complex </w:t>
      </w:r>
      <w:r w:rsidR="005359A8" w:rsidRPr="00395738">
        <w:rPr>
          <w:rFonts w:cs="Times New Roman"/>
          <w:color w:val="000000"/>
          <w:sz w:val="24"/>
          <w:szCs w:val="24"/>
        </w:rPr>
        <w:t xml:space="preserve">demands on </w:t>
      </w:r>
      <w:r w:rsidR="00FD46B5" w:rsidRPr="00395738">
        <w:rPr>
          <w:rFonts w:cs="Times New Roman"/>
          <w:color w:val="000000"/>
          <w:sz w:val="24"/>
          <w:szCs w:val="24"/>
        </w:rPr>
        <w:t xml:space="preserve">the functionalities of </w:t>
      </w:r>
      <w:r w:rsidR="005359A8" w:rsidRPr="00395738">
        <w:rPr>
          <w:rFonts w:cs="Times New Roman"/>
          <w:color w:val="000000"/>
          <w:sz w:val="24"/>
          <w:szCs w:val="24"/>
        </w:rPr>
        <w:t>CRs</w:t>
      </w:r>
      <w:r w:rsidR="002D1A42" w:rsidRPr="00395738">
        <w:rPr>
          <w:rFonts w:cs="Times New Roman"/>
          <w:color w:val="000000"/>
          <w:sz w:val="24"/>
          <w:szCs w:val="24"/>
        </w:rPr>
        <w:t xml:space="preserve"> and </w:t>
      </w:r>
      <w:r w:rsidRPr="00395738">
        <w:rPr>
          <w:rFonts w:cs="Times New Roman"/>
          <w:color w:val="000000"/>
          <w:sz w:val="24"/>
          <w:szCs w:val="24"/>
        </w:rPr>
        <w:t xml:space="preserve">their </w:t>
      </w:r>
      <w:r w:rsidR="002D1A42" w:rsidRPr="00395738">
        <w:rPr>
          <w:rFonts w:cs="Times New Roman"/>
          <w:color w:val="000000"/>
          <w:sz w:val="24"/>
          <w:szCs w:val="24"/>
        </w:rPr>
        <w:t>supporting human and technical infrastructure</w:t>
      </w:r>
      <w:r w:rsidR="00FD46B5" w:rsidRPr="00395738">
        <w:rPr>
          <w:rFonts w:cs="Times New Roman"/>
          <w:color w:val="000000"/>
          <w:sz w:val="24"/>
          <w:szCs w:val="24"/>
        </w:rPr>
        <w:t xml:space="preserve">. </w:t>
      </w:r>
      <w:r w:rsidR="00406C72" w:rsidRPr="00395738">
        <w:rPr>
          <w:rFonts w:cs="Times New Roman"/>
          <w:color w:val="000000"/>
          <w:sz w:val="24"/>
          <w:szCs w:val="24"/>
        </w:rPr>
        <w:t>On one hand, a</w:t>
      </w:r>
      <w:r w:rsidR="00234573" w:rsidRPr="00395738">
        <w:rPr>
          <w:rFonts w:cs="Times New Roman"/>
          <w:color w:val="000000"/>
          <w:sz w:val="24"/>
          <w:szCs w:val="24"/>
        </w:rPr>
        <w:t xml:space="preserve">s mentioned earlier, </w:t>
      </w:r>
      <w:r w:rsidR="00406C72" w:rsidRPr="00395738">
        <w:rPr>
          <w:rFonts w:cs="Times New Roman"/>
          <w:color w:val="000000"/>
          <w:sz w:val="24"/>
          <w:szCs w:val="24"/>
        </w:rPr>
        <w:t xml:space="preserve">some or probably many of the </w:t>
      </w:r>
      <w:r w:rsidR="00234573" w:rsidRPr="00395738">
        <w:rPr>
          <w:rFonts w:cs="Times New Roman"/>
          <w:color w:val="000000"/>
          <w:sz w:val="24"/>
          <w:szCs w:val="24"/>
        </w:rPr>
        <w:t xml:space="preserve">data </w:t>
      </w:r>
      <w:r w:rsidR="00406C72" w:rsidRPr="00395738">
        <w:rPr>
          <w:rFonts w:cs="Times New Roman"/>
          <w:color w:val="000000"/>
          <w:sz w:val="24"/>
          <w:szCs w:val="24"/>
        </w:rPr>
        <w:t xml:space="preserve">items in the CR will </w:t>
      </w:r>
      <w:r w:rsidR="00234573" w:rsidRPr="00395738">
        <w:rPr>
          <w:rFonts w:cs="Times New Roman"/>
          <w:color w:val="000000"/>
          <w:sz w:val="24"/>
          <w:szCs w:val="24"/>
        </w:rPr>
        <w:t>need to be updated more frequently. In addition</w:t>
      </w:r>
      <w:r w:rsidR="002D1A42" w:rsidRPr="00395738">
        <w:rPr>
          <w:rFonts w:cs="Times New Roman"/>
          <w:color w:val="000000"/>
          <w:sz w:val="24"/>
          <w:szCs w:val="24"/>
        </w:rPr>
        <w:t>, m</w:t>
      </w:r>
      <w:r w:rsidR="001A6F95" w:rsidRPr="00395738">
        <w:rPr>
          <w:rFonts w:cs="Times New Roman"/>
          <w:color w:val="000000"/>
          <w:sz w:val="24"/>
          <w:szCs w:val="24"/>
        </w:rPr>
        <w:t>any of the analyses that are especially useful for macro-prudential policymaking require the ability to break down the available data into smaller parts and bei</w:t>
      </w:r>
      <w:r w:rsidR="003C2E8A" w:rsidRPr="00395738">
        <w:rPr>
          <w:rFonts w:cs="Times New Roman"/>
          <w:color w:val="000000"/>
          <w:sz w:val="24"/>
          <w:szCs w:val="24"/>
        </w:rPr>
        <w:t xml:space="preserve">ng able to examine </w:t>
      </w:r>
      <w:r w:rsidR="001A6F95" w:rsidRPr="00395738">
        <w:rPr>
          <w:rFonts w:cs="Times New Roman"/>
          <w:color w:val="000000"/>
          <w:sz w:val="24"/>
          <w:szCs w:val="24"/>
        </w:rPr>
        <w:t xml:space="preserve">it </w:t>
      </w:r>
      <w:r w:rsidR="003C2E8A" w:rsidRPr="00395738">
        <w:rPr>
          <w:rFonts w:cs="Times New Roman"/>
          <w:color w:val="000000"/>
          <w:sz w:val="24"/>
          <w:szCs w:val="24"/>
        </w:rPr>
        <w:t xml:space="preserve">from a variety of </w:t>
      </w:r>
      <w:r w:rsidR="001A6F95" w:rsidRPr="00395738">
        <w:rPr>
          <w:rFonts w:cs="Times New Roman"/>
          <w:color w:val="000000"/>
          <w:sz w:val="24"/>
          <w:szCs w:val="24"/>
        </w:rPr>
        <w:t>angles</w:t>
      </w:r>
      <w:r w:rsidR="003C2E8A" w:rsidRPr="00395738">
        <w:rPr>
          <w:rFonts w:cs="Times New Roman"/>
          <w:color w:val="000000"/>
          <w:sz w:val="24"/>
          <w:szCs w:val="24"/>
        </w:rPr>
        <w:t xml:space="preserve">. </w:t>
      </w:r>
    </w:p>
    <w:p w14:paraId="6DB39E5B" w14:textId="75E23702" w:rsidR="00406C72" w:rsidRPr="00395738" w:rsidRDefault="00406C72" w:rsidP="00C94698">
      <w:pPr>
        <w:pStyle w:val="ListParagraph"/>
        <w:numPr>
          <w:ilvl w:val="0"/>
          <w:numId w:val="1"/>
        </w:numPr>
        <w:autoSpaceDE w:val="0"/>
        <w:autoSpaceDN w:val="0"/>
        <w:adjustRightInd w:val="0"/>
        <w:spacing w:after="180" w:line="360" w:lineRule="auto"/>
        <w:contextualSpacing w:val="0"/>
        <w:jc w:val="both"/>
        <w:rPr>
          <w:rFonts w:cs="Times New Roman"/>
          <w:color w:val="000000"/>
          <w:sz w:val="24"/>
          <w:szCs w:val="24"/>
        </w:rPr>
      </w:pPr>
      <w:r w:rsidRPr="00395738">
        <w:rPr>
          <w:rFonts w:cs="Times New Roman"/>
          <w:color w:val="000000"/>
          <w:sz w:val="24"/>
          <w:szCs w:val="24"/>
        </w:rPr>
        <w:t>With regard to the latter requirement, t</w:t>
      </w:r>
      <w:r w:rsidR="003C2E8A" w:rsidRPr="00395738">
        <w:rPr>
          <w:rFonts w:cs="Times New Roman"/>
          <w:color w:val="000000"/>
          <w:sz w:val="24"/>
          <w:szCs w:val="24"/>
        </w:rPr>
        <w:t xml:space="preserve">he </w:t>
      </w:r>
      <w:r w:rsidR="001A6F95" w:rsidRPr="00395738">
        <w:rPr>
          <w:rFonts w:cs="Times New Roman"/>
          <w:color w:val="000000"/>
          <w:sz w:val="24"/>
          <w:szCs w:val="24"/>
        </w:rPr>
        <w:t xml:space="preserve">CR – directly or through auxiliary systems and tools - should provide ample possibilities for </w:t>
      </w:r>
      <w:r w:rsidR="00824520" w:rsidRPr="00395738">
        <w:rPr>
          <w:rFonts w:cs="Times New Roman"/>
          <w:color w:val="000000"/>
          <w:sz w:val="24"/>
          <w:szCs w:val="24"/>
        </w:rPr>
        <w:t>analytical t</w:t>
      </w:r>
      <w:r w:rsidR="00D37F0D" w:rsidRPr="00395738">
        <w:rPr>
          <w:rFonts w:cs="Times New Roman"/>
          <w:color w:val="000000"/>
          <w:sz w:val="24"/>
          <w:szCs w:val="24"/>
        </w:rPr>
        <w:t xml:space="preserve">echniques </w:t>
      </w:r>
      <w:r w:rsidR="00824520" w:rsidRPr="00395738">
        <w:rPr>
          <w:rFonts w:cs="Times New Roman"/>
          <w:color w:val="000000"/>
          <w:sz w:val="24"/>
          <w:szCs w:val="24"/>
        </w:rPr>
        <w:t>such as</w:t>
      </w:r>
      <w:r w:rsidR="001A6F95" w:rsidRPr="00395738">
        <w:rPr>
          <w:rFonts w:cs="Times New Roman"/>
          <w:color w:val="000000"/>
          <w:sz w:val="24"/>
          <w:szCs w:val="24"/>
        </w:rPr>
        <w:t xml:space="preserve"> </w:t>
      </w:r>
      <w:r w:rsidR="00824520" w:rsidRPr="00395738">
        <w:rPr>
          <w:rFonts w:cs="Times New Roman"/>
          <w:color w:val="000000"/>
          <w:sz w:val="24"/>
          <w:szCs w:val="24"/>
        </w:rPr>
        <w:t>“</w:t>
      </w:r>
      <w:r w:rsidR="003C2E8A" w:rsidRPr="00395738">
        <w:rPr>
          <w:rFonts w:cs="Times New Roman"/>
          <w:color w:val="000000"/>
          <w:sz w:val="24"/>
          <w:szCs w:val="24"/>
        </w:rPr>
        <w:t>slic</w:t>
      </w:r>
      <w:r w:rsidR="001A6F95" w:rsidRPr="00395738">
        <w:rPr>
          <w:rFonts w:cs="Times New Roman"/>
          <w:color w:val="000000"/>
          <w:sz w:val="24"/>
          <w:szCs w:val="24"/>
        </w:rPr>
        <w:t>ing</w:t>
      </w:r>
      <w:r w:rsidR="00824520" w:rsidRPr="00395738">
        <w:rPr>
          <w:rFonts w:cs="Times New Roman"/>
          <w:color w:val="000000"/>
          <w:sz w:val="24"/>
          <w:szCs w:val="24"/>
        </w:rPr>
        <w:t xml:space="preserve"> and </w:t>
      </w:r>
      <w:r w:rsidR="003C2E8A" w:rsidRPr="00395738">
        <w:rPr>
          <w:rFonts w:cs="Times New Roman"/>
          <w:color w:val="000000"/>
          <w:sz w:val="24"/>
          <w:szCs w:val="24"/>
        </w:rPr>
        <w:t>dic</w:t>
      </w:r>
      <w:r w:rsidR="001A6F95" w:rsidRPr="00395738">
        <w:rPr>
          <w:rFonts w:cs="Times New Roman"/>
          <w:color w:val="000000"/>
          <w:sz w:val="24"/>
          <w:szCs w:val="24"/>
        </w:rPr>
        <w:t>ing</w:t>
      </w:r>
      <w:r w:rsidR="00824520" w:rsidRPr="00395738">
        <w:rPr>
          <w:rFonts w:cs="Times New Roman"/>
          <w:color w:val="000000"/>
          <w:sz w:val="24"/>
          <w:szCs w:val="24"/>
        </w:rPr>
        <w:t xml:space="preserve">”, </w:t>
      </w:r>
      <w:r w:rsidR="00D15C69" w:rsidRPr="00395738">
        <w:rPr>
          <w:rFonts w:cs="Times New Roman"/>
          <w:color w:val="000000"/>
          <w:sz w:val="24"/>
          <w:szCs w:val="24"/>
        </w:rPr>
        <w:t>“</w:t>
      </w:r>
      <w:r w:rsidR="00824520" w:rsidRPr="00395738">
        <w:rPr>
          <w:rFonts w:cs="Times New Roman"/>
          <w:color w:val="000000"/>
          <w:sz w:val="24"/>
          <w:szCs w:val="24"/>
        </w:rPr>
        <w:t>drilling down</w:t>
      </w:r>
      <w:r w:rsidR="00D15C69" w:rsidRPr="00395738">
        <w:rPr>
          <w:rFonts w:cs="Times New Roman"/>
          <w:color w:val="000000"/>
          <w:sz w:val="24"/>
          <w:szCs w:val="24"/>
        </w:rPr>
        <w:t>”</w:t>
      </w:r>
      <w:r w:rsidR="00824520" w:rsidRPr="00395738">
        <w:rPr>
          <w:rFonts w:cs="Times New Roman"/>
          <w:color w:val="000000"/>
          <w:sz w:val="24"/>
          <w:szCs w:val="24"/>
        </w:rPr>
        <w:t xml:space="preserve"> and </w:t>
      </w:r>
      <w:r w:rsidR="00D15C69" w:rsidRPr="00395738">
        <w:rPr>
          <w:rFonts w:cs="Times New Roman"/>
          <w:color w:val="000000"/>
          <w:sz w:val="24"/>
          <w:szCs w:val="24"/>
        </w:rPr>
        <w:t>“</w:t>
      </w:r>
      <w:r w:rsidR="00824520" w:rsidRPr="00395738">
        <w:rPr>
          <w:rFonts w:cs="Times New Roman"/>
          <w:color w:val="000000"/>
          <w:sz w:val="24"/>
          <w:szCs w:val="24"/>
        </w:rPr>
        <w:t>pivoting</w:t>
      </w:r>
      <w:r w:rsidR="00D15C69" w:rsidRPr="00395738">
        <w:rPr>
          <w:rFonts w:cs="Times New Roman"/>
          <w:color w:val="000000"/>
          <w:sz w:val="24"/>
          <w:szCs w:val="24"/>
        </w:rPr>
        <w:t>”</w:t>
      </w:r>
      <w:r w:rsidR="003C2E8A" w:rsidRPr="00395738">
        <w:rPr>
          <w:rFonts w:cs="Times New Roman"/>
          <w:color w:val="000000"/>
          <w:sz w:val="24"/>
          <w:szCs w:val="24"/>
        </w:rPr>
        <w:t xml:space="preserve"> </w:t>
      </w:r>
      <w:r w:rsidR="001A6F95" w:rsidRPr="00395738">
        <w:rPr>
          <w:rFonts w:cs="Times New Roman"/>
          <w:color w:val="000000"/>
          <w:sz w:val="24"/>
          <w:szCs w:val="24"/>
        </w:rPr>
        <w:t xml:space="preserve">of </w:t>
      </w:r>
      <w:r w:rsidR="003C2E8A" w:rsidRPr="00395738">
        <w:rPr>
          <w:rFonts w:cs="Times New Roman"/>
          <w:color w:val="000000"/>
          <w:sz w:val="24"/>
          <w:szCs w:val="24"/>
        </w:rPr>
        <w:t>available data</w:t>
      </w:r>
      <w:r w:rsidR="001A6F95" w:rsidRPr="00395738">
        <w:rPr>
          <w:rFonts w:cs="Times New Roman"/>
          <w:color w:val="000000"/>
          <w:sz w:val="24"/>
          <w:szCs w:val="24"/>
        </w:rPr>
        <w:t>.</w:t>
      </w:r>
      <w:r w:rsidR="00D145EE" w:rsidRPr="00395738">
        <w:rPr>
          <w:rFonts w:cs="Times New Roman"/>
          <w:color w:val="000000"/>
          <w:sz w:val="24"/>
          <w:szCs w:val="24"/>
        </w:rPr>
        <w:t xml:space="preserve"> The same can be said with regard to the possibilities of exploiting the data that is obtained from CBs and CCRCs for macro-prudential analytical purposes.</w:t>
      </w:r>
      <w:r w:rsidRPr="00395738">
        <w:rPr>
          <w:rFonts w:cs="Times New Roman"/>
          <w:color w:val="000000"/>
          <w:sz w:val="24"/>
          <w:szCs w:val="24"/>
        </w:rPr>
        <w:t xml:space="preserve"> </w:t>
      </w:r>
    </w:p>
    <w:p w14:paraId="5EA38BB0" w14:textId="026537D3" w:rsidR="00D93997" w:rsidRPr="00395738" w:rsidRDefault="00D145EE" w:rsidP="00C94698">
      <w:pPr>
        <w:pStyle w:val="ListParagraph"/>
        <w:numPr>
          <w:ilvl w:val="0"/>
          <w:numId w:val="1"/>
        </w:numPr>
        <w:autoSpaceDE w:val="0"/>
        <w:autoSpaceDN w:val="0"/>
        <w:adjustRightInd w:val="0"/>
        <w:spacing w:after="180" w:line="360" w:lineRule="auto"/>
        <w:contextualSpacing w:val="0"/>
        <w:jc w:val="both"/>
        <w:rPr>
          <w:rFonts w:cs="Times New Roman"/>
          <w:color w:val="000000"/>
          <w:sz w:val="24"/>
          <w:szCs w:val="24"/>
        </w:rPr>
      </w:pPr>
      <w:r w:rsidRPr="00395738">
        <w:rPr>
          <w:rFonts w:cs="Times New Roman"/>
          <w:color w:val="000000"/>
          <w:sz w:val="24"/>
          <w:szCs w:val="24"/>
        </w:rPr>
        <w:t>In this context, the analysis of debt service ratios can be mentioned as an example of the need to look at data from multiple perspectives. W</w:t>
      </w:r>
      <w:r w:rsidR="00D93997" w:rsidRPr="00395738">
        <w:rPr>
          <w:rFonts w:cs="Times New Roman"/>
          <w:color w:val="000000"/>
          <w:sz w:val="24"/>
          <w:szCs w:val="24"/>
        </w:rPr>
        <w:t xml:space="preserve">hen analyzing </w:t>
      </w:r>
      <w:r w:rsidRPr="00395738">
        <w:rPr>
          <w:rFonts w:cs="Times New Roman"/>
          <w:color w:val="000000"/>
          <w:sz w:val="24"/>
          <w:szCs w:val="24"/>
        </w:rPr>
        <w:t>such rat</w:t>
      </w:r>
      <w:r w:rsidR="00D93997" w:rsidRPr="00395738">
        <w:rPr>
          <w:rFonts w:cs="Times New Roman"/>
          <w:color w:val="000000"/>
          <w:sz w:val="24"/>
          <w:szCs w:val="24"/>
        </w:rPr>
        <w:t xml:space="preserve">ios, in addition to the data needed to actually calculate </w:t>
      </w:r>
      <w:r w:rsidRPr="00395738">
        <w:rPr>
          <w:rFonts w:cs="Times New Roman"/>
          <w:color w:val="000000"/>
          <w:sz w:val="24"/>
          <w:szCs w:val="24"/>
        </w:rPr>
        <w:t>them</w:t>
      </w:r>
      <w:r w:rsidR="00D93997" w:rsidRPr="00395738">
        <w:rPr>
          <w:rFonts w:cs="Times New Roman"/>
          <w:color w:val="000000"/>
          <w:sz w:val="24"/>
          <w:szCs w:val="24"/>
        </w:rPr>
        <w:t>,</w:t>
      </w:r>
      <w:r w:rsidR="00D93997" w:rsidRPr="00395738">
        <w:rPr>
          <w:rStyle w:val="FootnoteReference"/>
          <w:rFonts w:cs="Times New Roman"/>
          <w:color w:val="000000"/>
          <w:sz w:val="24"/>
          <w:szCs w:val="24"/>
        </w:rPr>
        <w:footnoteReference w:id="58"/>
      </w:r>
      <w:r w:rsidR="00D93997" w:rsidRPr="00395738">
        <w:rPr>
          <w:rFonts w:cs="Times New Roman"/>
          <w:color w:val="000000"/>
          <w:sz w:val="24"/>
          <w:szCs w:val="24"/>
        </w:rPr>
        <w:t xml:space="preserve"> for th</w:t>
      </w:r>
      <w:r w:rsidRPr="00395738">
        <w:rPr>
          <w:rFonts w:cs="Times New Roman"/>
          <w:color w:val="000000"/>
          <w:sz w:val="24"/>
          <w:szCs w:val="24"/>
        </w:rPr>
        <w:t>e</w:t>
      </w:r>
      <w:r w:rsidR="00D93997" w:rsidRPr="00395738">
        <w:rPr>
          <w:rFonts w:cs="Times New Roman"/>
          <w:color w:val="000000"/>
          <w:sz w:val="24"/>
          <w:szCs w:val="24"/>
        </w:rPr>
        <w:t>s</w:t>
      </w:r>
      <w:r w:rsidRPr="00395738">
        <w:rPr>
          <w:rFonts w:cs="Times New Roman"/>
          <w:color w:val="000000"/>
          <w:sz w:val="24"/>
          <w:szCs w:val="24"/>
        </w:rPr>
        <w:t>e</w:t>
      </w:r>
      <w:r w:rsidR="00D93997" w:rsidRPr="00395738">
        <w:rPr>
          <w:rFonts w:cs="Times New Roman"/>
          <w:color w:val="000000"/>
          <w:sz w:val="24"/>
          <w:szCs w:val="24"/>
        </w:rPr>
        <w:t xml:space="preserve"> indicator</w:t>
      </w:r>
      <w:r w:rsidR="00D15C69" w:rsidRPr="00395738">
        <w:rPr>
          <w:rFonts w:cs="Times New Roman"/>
          <w:color w:val="000000"/>
          <w:sz w:val="24"/>
          <w:szCs w:val="24"/>
        </w:rPr>
        <w:t>s</w:t>
      </w:r>
      <w:r w:rsidR="00D93997" w:rsidRPr="00395738">
        <w:rPr>
          <w:rFonts w:cs="Times New Roman"/>
          <w:color w:val="000000"/>
          <w:sz w:val="24"/>
          <w:szCs w:val="24"/>
        </w:rPr>
        <w:t xml:space="preserve"> to be truly useful for macro-prudential policy it should be possible to segment </w:t>
      </w:r>
      <w:r w:rsidRPr="00395738">
        <w:rPr>
          <w:rFonts w:cs="Times New Roman"/>
          <w:color w:val="000000"/>
          <w:sz w:val="24"/>
          <w:szCs w:val="24"/>
        </w:rPr>
        <w:t xml:space="preserve">them </w:t>
      </w:r>
      <w:r w:rsidR="00D93997" w:rsidRPr="00395738">
        <w:rPr>
          <w:rFonts w:cs="Times New Roman"/>
          <w:color w:val="000000"/>
          <w:sz w:val="24"/>
          <w:szCs w:val="24"/>
        </w:rPr>
        <w:t xml:space="preserve">in a number of different dimensions, for example to identify specific groups that are especially vulnerable (e.g. first time homebuyers). </w:t>
      </w:r>
    </w:p>
    <w:p w14:paraId="433755E1" w14:textId="3487815D" w:rsidR="00406C72" w:rsidRPr="00395738" w:rsidRDefault="002D1A42" w:rsidP="008E3EEA">
      <w:pPr>
        <w:pStyle w:val="ListParagraph"/>
        <w:numPr>
          <w:ilvl w:val="0"/>
          <w:numId w:val="1"/>
        </w:numPr>
        <w:autoSpaceDE w:val="0"/>
        <w:autoSpaceDN w:val="0"/>
        <w:adjustRightInd w:val="0"/>
        <w:spacing w:after="120" w:line="360" w:lineRule="auto"/>
        <w:contextualSpacing w:val="0"/>
        <w:jc w:val="both"/>
        <w:rPr>
          <w:rFonts w:ascii="Times New Roman" w:hAnsi="Times New Roman" w:cs="Times New Roman"/>
        </w:rPr>
      </w:pPr>
      <w:r w:rsidRPr="00395738">
        <w:rPr>
          <w:rFonts w:cs="Times New Roman"/>
          <w:color w:val="000000"/>
          <w:sz w:val="24"/>
          <w:szCs w:val="24"/>
        </w:rPr>
        <w:t xml:space="preserve">In summary, at the operational level there is an increasing demand </w:t>
      </w:r>
      <w:r w:rsidR="00406C72" w:rsidRPr="00395738">
        <w:rPr>
          <w:rFonts w:cs="Times New Roman"/>
          <w:color w:val="000000"/>
          <w:sz w:val="24"/>
          <w:szCs w:val="24"/>
        </w:rPr>
        <w:t xml:space="preserve">for </w:t>
      </w:r>
      <w:r w:rsidRPr="00395738">
        <w:rPr>
          <w:rFonts w:cs="Times New Roman"/>
          <w:color w:val="000000"/>
          <w:sz w:val="24"/>
          <w:szCs w:val="24"/>
        </w:rPr>
        <w:t>granular data</w:t>
      </w:r>
      <w:r w:rsidR="00406C72" w:rsidRPr="00395738">
        <w:rPr>
          <w:rFonts w:cs="Times New Roman"/>
          <w:color w:val="000000"/>
          <w:sz w:val="24"/>
          <w:szCs w:val="24"/>
        </w:rPr>
        <w:t xml:space="preserve"> and for more frequent updating of such data, all of this</w:t>
      </w:r>
      <w:r w:rsidRPr="00395738">
        <w:rPr>
          <w:rFonts w:cs="Times New Roman"/>
          <w:color w:val="000000"/>
          <w:sz w:val="24"/>
          <w:szCs w:val="24"/>
        </w:rPr>
        <w:t xml:space="preserve"> together with an unprecedented requirement for flexibility to use </w:t>
      </w:r>
      <w:r w:rsidR="00D93997" w:rsidRPr="00395738">
        <w:rPr>
          <w:rFonts w:cs="Times New Roman"/>
          <w:color w:val="000000"/>
          <w:sz w:val="24"/>
          <w:szCs w:val="24"/>
        </w:rPr>
        <w:t xml:space="preserve">the </w:t>
      </w:r>
      <w:r w:rsidRPr="00395738">
        <w:rPr>
          <w:rFonts w:cs="Times New Roman"/>
          <w:color w:val="000000"/>
          <w:sz w:val="24"/>
          <w:szCs w:val="24"/>
        </w:rPr>
        <w:t xml:space="preserve">data. </w:t>
      </w:r>
      <w:r w:rsidR="00C70418" w:rsidRPr="00395738">
        <w:rPr>
          <w:rFonts w:cs="Times New Roman"/>
          <w:color w:val="000000"/>
          <w:sz w:val="24"/>
          <w:szCs w:val="24"/>
        </w:rPr>
        <w:t>F</w:t>
      </w:r>
      <w:r w:rsidR="00D37F0D" w:rsidRPr="00395738">
        <w:rPr>
          <w:rFonts w:cs="Times New Roman"/>
          <w:color w:val="000000"/>
          <w:sz w:val="24"/>
          <w:szCs w:val="24"/>
        </w:rPr>
        <w:t xml:space="preserve">ew </w:t>
      </w:r>
      <w:r w:rsidR="001A6F95" w:rsidRPr="00395738">
        <w:rPr>
          <w:rFonts w:cs="Times New Roman"/>
          <w:color w:val="000000"/>
          <w:sz w:val="24"/>
          <w:szCs w:val="24"/>
        </w:rPr>
        <w:t xml:space="preserve">CRs </w:t>
      </w:r>
      <w:r w:rsidR="00D37F0D" w:rsidRPr="00395738">
        <w:rPr>
          <w:rFonts w:cs="Times New Roman"/>
          <w:color w:val="000000"/>
          <w:sz w:val="24"/>
          <w:szCs w:val="24"/>
        </w:rPr>
        <w:t xml:space="preserve">worldwide </w:t>
      </w:r>
      <w:r w:rsidR="001A6F95" w:rsidRPr="00395738">
        <w:rPr>
          <w:rFonts w:cs="Times New Roman"/>
          <w:color w:val="000000"/>
          <w:sz w:val="24"/>
          <w:szCs w:val="24"/>
        </w:rPr>
        <w:t xml:space="preserve">are </w:t>
      </w:r>
      <w:r w:rsidR="00D37F0D" w:rsidRPr="00395738">
        <w:rPr>
          <w:rFonts w:cs="Times New Roman"/>
          <w:color w:val="000000"/>
          <w:sz w:val="24"/>
          <w:szCs w:val="24"/>
        </w:rPr>
        <w:t xml:space="preserve">currently </w:t>
      </w:r>
      <w:r w:rsidR="001A6F95" w:rsidRPr="00395738">
        <w:rPr>
          <w:rFonts w:cs="Times New Roman"/>
          <w:color w:val="000000"/>
          <w:sz w:val="24"/>
          <w:szCs w:val="24"/>
        </w:rPr>
        <w:t>geared to this level of analysis</w:t>
      </w:r>
      <w:r w:rsidR="00C70418" w:rsidRPr="00395738">
        <w:rPr>
          <w:rFonts w:cs="Times New Roman"/>
          <w:color w:val="000000"/>
          <w:sz w:val="24"/>
          <w:szCs w:val="24"/>
        </w:rPr>
        <w:t xml:space="preserve">, although </w:t>
      </w:r>
      <w:r w:rsidR="007A113E" w:rsidRPr="00395738">
        <w:rPr>
          <w:rFonts w:cs="Times New Roman"/>
          <w:color w:val="000000"/>
          <w:sz w:val="24"/>
          <w:szCs w:val="24"/>
        </w:rPr>
        <w:t xml:space="preserve">ongoing </w:t>
      </w:r>
      <w:r w:rsidR="00C70418" w:rsidRPr="00395738">
        <w:rPr>
          <w:rFonts w:cs="Times New Roman"/>
          <w:color w:val="000000"/>
          <w:sz w:val="24"/>
          <w:szCs w:val="24"/>
        </w:rPr>
        <w:t>projects like AnaCredit in the EU will change this scenario in the medium term</w:t>
      </w:r>
      <w:r w:rsidR="001A6F95" w:rsidRPr="00395738">
        <w:rPr>
          <w:rFonts w:cs="Times New Roman"/>
          <w:color w:val="000000"/>
          <w:sz w:val="24"/>
          <w:szCs w:val="24"/>
        </w:rPr>
        <w:t>.</w:t>
      </w:r>
    </w:p>
    <w:p w14:paraId="088A6686" w14:textId="3CE67919" w:rsidR="008B68F0" w:rsidRPr="00395738" w:rsidRDefault="008B68F0" w:rsidP="008E3EEA">
      <w:pPr>
        <w:pStyle w:val="ListParagraph"/>
        <w:numPr>
          <w:ilvl w:val="0"/>
          <w:numId w:val="1"/>
        </w:numPr>
        <w:autoSpaceDE w:val="0"/>
        <w:autoSpaceDN w:val="0"/>
        <w:adjustRightInd w:val="0"/>
        <w:spacing w:after="120" w:line="360" w:lineRule="auto"/>
        <w:contextualSpacing w:val="0"/>
        <w:jc w:val="both"/>
        <w:rPr>
          <w:rFonts w:ascii="Times New Roman" w:hAnsi="Times New Roman" w:cs="Times New Roman"/>
        </w:rPr>
      </w:pPr>
      <w:r w:rsidRPr="00395738">
        <w:rPr>
          <w:rFonts w:ascii="Times New Roman" w:hAnsi="Times New Roman" w:cs="Times New Roman"/>
        </w:rPr>
        <w:br w:type="page"/>
      </w:r>
    </w:p>
    <w:p w14:paraId="528DBDE1" w14:textId="78EE78E6" w:rsidR="00EA784E" w:rsidRPr="00395738" w:rsidRDefault="00EA784E" w:rsidP="00EA784E">
      <w:pPr>
        <w:pStyle w:val="Heading1"/>
        <w:numPr>
          <w:ilvl w:val="0"/>
          <w:numId w:val="2"/>
        </w:numPr>
        <w:spacing w:after="480"/>
      </w:pPr>
      <w:bookmarkStart w:id="6" w:name="_Toc427686026"/>
      <w:r w:rsidRPr="00395738">
        <w:lastRenderedPageBreak/>
        <w:t xml:space="preserve">Data needs </w:t>
      </w:r>
      <w:r w:rsidR="005649A7" w:rsidRPr="00395738">
        <w:t>f</w:t>
      </w:r>
      <w:r w:rsidRPr="00395738">
        <w:t xml:space="preserve">or </w:t>
      </w:r>
      <w:r w:rsidR="00055DFA" w:rsidRPr="00395738">
        <w:t xml:space="preserve">financial sector </w:t>
      </w:r>
      <w:r w:rsidRPr="00395738">
        <w:t>r</w:t>
      </w:r>
      <w:r w:rsidR="00B874B7" w:rsidRPr="00395738">
        <w:t>egulation</w:t>
      </w:r>
      <w:r w:rsidR="005649A7" w:rsidRPr="00395738">
        <w:t>-making</w:t>
      </w:r>
      <w:r w:rsidRPr="00395738">
        <w:t>: The role of credit reporting service providers</w:t>
      </w:r>
      <w:bookmarkEnd w:id="6"/>
    </w:p>
    <w:p w14:paraId="14135D5F" w14:textId="2B934F1C" w:rsidR="00EA784E" w:rsidRPr="00395738" w:rsidRDefault="00EA784E" w:rsidP="00EA784E">
      <w:pPr>
        <w:pStyle w:val="Subtitle"/>
        <w:spacing w:before="480" w:after="240"/>
        <w:rPr>
          <w:rFonts w:asciiTheme="minorHAnsi" w:hAnsiTheme="minorHAnsi"/>
        </w:rPr>
      </w:pPr>
      <w:r w:rsidRPr="00395738">
        <w:rPr>
          <w:rFonts w:asciiTheme="minorHAnsi" w:hAnsiTheme="minorHAnsi"/>
        </w:rPr>
        <w:t>V.1 Credit data, credit reporting and financial sector regulation</w:t>
      </w:r>
    </w:p>
    <w:p w14:paraId="47FA5CBE" w14:textId="1F28C252" w:rsidR="002E312F" w:rsidRPr="00395738" w:rsidRDefault="009C5905" w:rsidP="00055DFA">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While i</w:t>
      </w:r>
      <w:r w:rsidR="00D145EE" w:rsidRPr="00395738">
        <w:rPr>
          <w:rFonts w:cs="Times New Roman"/>
          <w:color w:val="000000"/>
          <w:sz w:val="24"/>
          <w:szCs w:val="24"/>
        </w:rPr>
        <w:t>t is not the objective of this report to describe or discuss financial sector regulation in detail</w:t>
      </w:r>
      <w:r w:rsidRPr="00395738">
        <w:rPr>
          <w:rFonts w:cs="Times New Roman"/>
          <w:color w:val="000000"/>
          <w:sz w:val="24"/>
          <w:szCs w:val="24"/>
        </w:rPr>
        <w:t>, in order to establish a clear</w:t>
      </w:r>
      <w:r w:rsidR="00221423" w:rsidRPr="00395738">
        <w:rPr>
          <w:rFonts w:cs="Times New Roman"/>
          <w:color w:val="000000"/>
          <w:sz w:val="24"/>
          <w:szCs w:val="24"/>
        </w:rPr>
        <w:t>er connection between chapters III</w:t>
      </w:r>
      <w:r w:rsidRPr="00395738">
        <w:rPr>
          <w:rFonts w:cs="Times New Roman"/>
          <w:color w:val="000000"/>
          <w:sz w:val="24"/>
          <w:szCs w:val="24"/>
        </w:rPr>
        <w:t xml:space="preserve">, </w:t>
      </w:r>
      <w:r w:rsidR="00221423" w:rsidRPr="00395738">
        <w:rPr>
          <w:rFonts w:cs="Times New Roman"/>
          <w:color w:val="000000"/>
          <w:sz w:val="24"/>
          <w:szCs w:val="24"/>
        </w:rPr>
        <w:t>IV</w:t>
      </w:r>
      <w:r w:rsidRPr="00395738">
        <w:rPr>
          <w:rFonts w:cs="Times New Roman"/>
          <w:color w:val="000000"/>
          <w:sz w:val="24"/>
          <w:szCs w:val="24"/>
        </w:rPr>
        <w:t xml:space="preserve"> and </w:t>
      </w:r>
      <w:r w:rsidR="00221423" w:rsidRPr="00395738">
        <w:rPr>
          <w:rFonts w:cs="Times New Roman"/>
          <w:color w:val="000000"/>
          <w:sz w:val="24"/>
          <w:szCs w:val="24"/>
        </w:rPr>
        <w:t>V</w:t>
      </w:r>
      <w:r w:rsidRPr="00395738">
        <w:rPr>
          <w:rFonts w:cs="Times New Roman"/>
          <w:color w:val="000000"/>
          <w:sz w:val="24"/>
          <w:szCs w:val="24"/>
        </w:rPr>
        <w:t xml:space="preserve"> of this report t</w:t>
      </w:r>
      <w:r w:rsidR="00E55683" w:rsidRPr="00395738">
        <w:rPr>
          <w:rFonts w:cs="Times New Roman"/>
          <w:color w:val="000000"/>
          <w:sz w:val="24"/>
          <w:szCs w:val="24"/>
        </w:rPr>
        <w:t xml:space="preserve">his section </w:t>
      </w:r>
      <w:r w:rsidR="0028512B" w:rsidRPr="00395738">
        <w:rPr>
          <w:rFonts w:cs="Times New Roman"/>
          <w:color w:val="000000"/>
          <w:sz w:val="24"/>
          <w:szCs w:val="24"/>
        </w:rPr>
        <w:t xml:space="preserve">begins with </w:t>
      </w:r>
      <w:r w:rsidR="00E55683" w:rsidRPr="00395738">
        <w:rPr>
          <w:rFonts w:cs="Times New Roman"/>
          <w:color w:val="000000"/>
          <w:sz w:val="24"/>
          <w:szCs w:val="24"/>
        </w:rPr>
        <w:t>a brief introduction to financial sector regulation</w:t>
      </w:r>
      <w:r w:rsidR="00221423" w:rsidRPr="00395738">
        <w:rPr>
          <w:rFonts w:cs="Times New Roman"/>
          <w:color w:val="000000"/>
          <w:sz w:val="24"/>
          <w:szCs w:val="24"/>
        </w:rPr>
        <w:t>-making</w:t>
      </w:r>
      <w:r w:rsidR="00E55683" w:rsidRPr="00395738">
        <w:rPr>
          <w:rFonts w:cs="Times New Roman"/>
          <w:color w:val="000000"/>
          <w:sz w:val="24"/>
          <w:szCs w:val="24"/>
        </w:rPr>
        <w:t xml:space="preserve"> and its links with the supervisory function</w:t>
      </w:r>
      <w:r w:rsidR="002E312F" w:rsidRPr="00395738">
        <w:rPr>
          <w:rFonts w:cs="Times New Roman"/>
          <w:color w:val="000000"/>
          <w:sz w:val="24"/>
          <w:szCs w:val="24"/>
        </w:rPr>
        <w:t xml:space="preserve">. This is followed by a discussion on the </w:t>
      </w:r>
      <w:r w:rsidR="00677ADC" w:rsidRPr="00395738">
        <w:rPr>
          <w:rFonts w:cs="Times New Roman"/>
          <w:color w:val="000000"/>
          <w:sz w:val="24"/>
          <w:szCs w:val="24"/>
        </w:rPr>
        <w:t xml:space="preserve">usage of credit data </w:t>
      </w:r>
      <w:r w:rsidR="002E312F" w:rsidRPr="00395738">
        <w:rPr>
          <w:rFonts w:cs="Times New Roman"/>
          <w:color w:val="000000"/>
          <w:sz w:val="24"/>
          <w:szCs w:val="24"/>
        </w:rPr>
        <w:t xml:space="preserve">for regulatory purposes and the evolution of the underlying data needs, both </w:t>
      </w:r>
      <w:r w:rsidR="00EC35F2" w:rsidRPr="00395738">
        <w:rPr>
          <w:rFonts w:cs="Times New Roman"/>
          <w:color w:val="000000"/>
          <w:sz w:val="24"/>
          <w:szCs w:val="24"/>
        </w:rPr>
        <w:t>of which are part of t</w:t>
      </w:r>
      <w:r w:rsidR="002E312F" w:rsidRPr="00395738">
        <w:rPr>
          <w:rFonts w:cs="Times New Roman"/>
          <w:color w:val="000000"/>
          <w:sz w:val="24"/>
          <w:szCs w:val="24"/>
        </w:rPr>
        <w:t xml:space="preserve">he </w:t>
      </w:r>
      <w:r w:rsidR="00EC35F2" w:rsidRPr="00395738">
        <w:rPr>
          <w:rFonts w:cs="Times New Roman"/>
          <w:color w:val="000000"/>
          <w:sz w:val="24"/>
          <w:szCs w:val="24"/>
        </w:rPr>
        <w:t xml:space="preserve">main </w:t>
      </w:r>
      <w:r w:rsidR="002E312F" w:rsidRPr="00395738">
        <w:rPr>
          <w:rFonts w:cs="Times New Roman"/>
          <w:color w:val="000000"/>
          <w:sz w:val="24"/>
          <w:szCs w:val="24"/>
        </w:rPr>
        <w:t>focus of this report.</w:t>
      </w:r>
    </w:p>
    <w:p w14:paraId="5FCC633E" w14:textId="07C01125" w:rsidR="003469FA" w:rsidRPr="00395738" w:rsidRDefault="003D64BD" w:rsidP="002C364D">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In essence, f</w:t>
      </w:r>
      <w:r w:rsidR="00055DFA" w:rsidRPr="00395738">
        <w:rPr>
          <w:rFonts w:cs="Times New Roman"/>
          <w:color w:val="000000"/>
          <w:sz w:val="24"/>
          <w:szCs w:val="24"/>
        </w:rPr>
        <w:t xml:space="preserve">inancial </w:t>
      </w:r>
      <w:r w:rsidRPr="00395738">
        <w:rPr>
          <w:rFonts w:cs="Times New Roman"/>
          <w:color w:val="000000"/>
          <w:sz w:val="24"/>
          <w:szCs w:val="24"/>
        </w:rPr>
        <w:t xml:space="preserve">sector </w:t>
      </w:r>
      <w:r w:rsidR="00055DFA" w:rsidRPr="00395738">
        <w:rPr>
          <w:rFonts w:cs="Times New Roman"/>
          <w:color w:val="000000"/>
          <w:sz w:val="24"/>
          <w:szCs w:val="24"/>
        </w:rPr>
        <w:t xml:space="preserve">regulation </w:t>
      </w:r>
      <w:r w:rsidRPr="00395738">
        <w:rPr>
          <w:rFonts w:cs="Times New Roman"/>
          <w:color w:val="000000"/>
          <w:sz w:val="24"/>
          <w:szCs w:val="24"/>
        </w:rPr>
        <w:t xml:space="preserve">consists of written rules </w:t>
      </w:r>
      <w:r w:rsidR="00055DFA" w:rsidRPr="00395738">
        <w:rPr>
          <w:rFonts w:cs="Times New Roman"/>
          <w:color w:val="000000"/>
          <w:sz w:val="24"/>
          <w:szCs w:val="24"/>
        </w:rPr>
        <w:t xml:space="preserve">which subject </w:t>
      </w:r>
      <w:hyperlink r:id="rId11" w:tooltip="Financial institution" w:history="1">
        <w:r w:rsidR="00055DFA" w:rsidRPr="00395738">
          <w:rPr>
            <w:rFonts w:cs="Times New Roman"/>
            <w:color w:val="000000"/>
            <w:sz w:val="24"/>
            <w:szCs w:val="24"/>
          </w:rPr>
          <w:t>financial institutions</w:t>
        </w:r>
      </w:hyperlink>
      <w:r w:rsidR="00055DFA" w:rsidRPr="00395738">
        <w:rPr>
          <w:rFonts w:cs="Times New Roman"/>
          <w:color w:val="000000"/>
          <w:sz w:val="24"/>
          <w:szCs w:val="24"/>
        </w:rPr>
        <w:t xml:space="preserve"> to certain requirements, restrictions and guidelines. </w:t>
      </w:r>
      <w:r w:rsidRPr="00395738">
        <w:rPr>
          <w:rFonts w:cs="Times New Roman"/>
          <w:color w:val="000000"/>
          <w:sz w:val="24"/>
          <w:szCs w:val="24"/>
        </w:rPr>
        <w:t xml:space="preserve">In most countries financial sector regulation is </w:t>
      </w:r>
      <w:r w:rsidR="00E55683" w:rsidRPr="00395738">
        <w:rPr>
          <w:rFonts w:cs="Times New Roman"/>
          <w:color w:val="000000"/>
          <w:sz w:val="24"/>
          <w:szCs w:val="24"/>
        </w:rPr>
        <w:t xml:space="preserve">fundamentally </w:t>
      </w:r>
      <w:r w:rsidRPr="00395738">
        <w:rPr>
          <w:rFonts w:cs="Times New Roman"/>
          <w:color w:val="000000"/>
          <w:sz w:val="24"/>
          <w:szCs w:val="24"/>
        </w:rPr>
        <w:t xml:space="preserve">designed around three main topics: financial stability, consumer protection, and competition </w:t>
      </w:r>
      <w:r w:rsidR="00E55683" w:rsidRPr="00395738">
        <w:rPr>
          <w:rFonts w:cs="Times New Roman"/>
          <w:color w:val="000000"/>
          <w:sz w:val="24"/>
          <w:szCs w:val="24"/>
        </w:rPr>
        <w:t>in the market place</w:t>
      </w:r>
      <w:r w:rsidRPr="00395738">
        <w:rPr>
          <w:rFonts w:cs="Times New Roman"/>
          <w:color w:val="000000"/>
          <w:sz w:val="24"/>
          <w:szCs w:val="24"/>
        </w:rPr>
        <w:t xml:space="preserve">. </w:t>
      </w:r>
    </w:p>
    <w:p w14:paraId="09A37038" w14:textId="4C25BC8A" w:rsidR="003469FA" w:rsidRPr="00395738" w:rsidRDefault="003D64BD" w:rsidP="002C364D">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One of the main roles of micro and macro-prudential supervisors is the </w:t>
      </w:r>
      <w:r w:rsidR="002E312F" w:rsidRPr="00395738">
        <w:rPr>
          <w:rFonts w:cs="Times New Roman"/>
          <w:color w:val="000000"/>
          <w:sz w:val="24"/>
          <w:szCs w:val="24"/>
        </w:rPr>
        <w:t>enforcement of these rules</w:t>
      </w:r>
      <w:r w:rsidRPr="00395738">
        <w:rPr>
          <w:rFonts w:cs="Times New Roman"/>
          <w:color w:val="000000"/>
          <w:sz w:val="24"/>
          <w:szCs w:val="24"/>
        </w:rPr>
        <w:t xml:space="preserve">. Moreover, many </w:t>
      </w:r>
      <w:r w:rsidR="002E312F" w:rsidRPr="00395738">
        <w:rPr>
          <w:rFonts w:cs="Times New Roman"/>
          <w:color w:val="000000"/>
          <w:sz w:val="24"/>
          <w:szCs w:val="24"/>
        </w:rPr>
        <w:t xml:space="preserve">supervisors </w:t>
      </w:r>
      <w:r w:rsidRPr="00395738">
        <w:rPr>
          <w:rFonts w:cs="Times New Roman"/>
          <w:color w:val="000000"/>
          <w:sz w:val="24"/>
          <w:szCs w:val="24"/>
        </w:rPr>
        <w:t xml:space="preserve">have </w:t>
      </w:r>
      <w:r w:rsidR="002E312F" w:rsidRPr="00395738">
        <w:rPr>
          <w:rFonts w:cs="Times New Roman"/>
          <w:color w:val="000000"/>
          <w:sz w:val="24"/>
          <w:szCs w:val="24"/>
        </w:rPr>
        <w:t>r</w:t>
      </w:r>
      <w:r w:rsidRPr="00395738">
        <w:rPr>
          <w:rFonts w:cs="Times New Roman"/>
          <w:color w:val="000000"/>
          <w:sz w:val="24"/>
          <w:szCs w:val="24"/>
        </w:rPr>
        <w:t>egulatory powers</w:t>
      </w:r>
      <w:r w:rsidR="00221423" w:rsidRPr="00395738">
        <w:rPr>
          <w:rFonts w:cs="Times New Roman"/>
          <w:color w:val="000000"/>
          <w:sz w:val="24"/>
          <w:szCs w:val="24"/>
        </w:rPr>
        <w:t xml:space="preserve"> (</w:t>
      </w:r>
      <w:r w:rsidRPr="00395738">
        <w:rPr>
          <w:rFonts w:cs="Times New Roman"/>
          <w:color w:val="000000"/>
          <w:sz w:val="24"/>
          <w:szCs w:val="24"/>
        </w:rPr>
        <w:t xml:space="preserve">i.e. </w:t>
      </w:r>
      <w:r w:rsidR="002E312F" w:rsidRPr="00395738">
        <w:rPr>
          <w:rFonts w:cs="Times New Roman"/>
          <w:color w:val="000000"/>
          <w:sz w:val="24"/>
          <w:szCs w:val="24"/>
        </w:rPr>
        <w:t xml:space="preserve">powers </w:t>
      </w:r>
      <w:r w:rsidRPr="00395738">
        <w:rPr>
          <w:rFonts w:cs="Times New Roman"/>
          <w:color w:val="000000"/>
          <w:sz w:val="24"/>
          <w:szCs w:val="24"/>
        </w:rPr>
        <w:t xml:space="preserve">to </w:t>
      </w:r>
      <w:r w:rsidR="002E312F" w:rsidRPr="00395738">
        <w:rPr>
          <w:rFonts w:cs="Times New Roman"/>
          <w:color w:val="000000"/>
          <w:sz w:val="24"/>
          <w:szCs w:val="24"/>
        </w:rPr>
        <w:t>refin</w:t>
      </w:r>
      <w:r w:rsidRPr="00395738">
        <w:rPr>
          <w:rFonts w:cs="Times New Roman"/>
          <w:color w:val="000000"/>
          <w:sz w:val="24"/>
          <w:szCs w:val="24"/>
        </w:rPr>
        <w:t>e</w:t>
      </w:r>
      <w:r w:rsidR="002E312F" w:rsidRPr="00395738">
        <w:rPr>
          <w:rFonts w:cs="Times New Roman"/>
          <w:color w:val="000000"/>
          <w:sz w:val="24"/>
          <w:szCs w:val="24"/>
        </w:rPr>
        <w:t xml:space="preserve"> legislation through ordinances or the like</w:t>
      </w:r>
      <w:r w:rsidR="00221423" w:rsidRPr="00395738">
        <w:rPr>
          <w:rFonts w:cs="Times New Roman"/>
          <w:color w:val="000000"/>
          <w:sz w:val="24"/>
          <w:szCs w:val="24"/>
        </w:rPr>
        <w:t>)</w:t>
      </w:r>
      <w:r w:rsidRPr="00395738">
        <w:rPr>
          <w:rFonts w:cs="Times New Roman"/>
          <w:color w:val="000000"/>
          <w:sz w:val="24"/>
          <w:szCs w:val="24"/>
        </w:rPr>
        <w:t>.</w:t>
      </w:r>
      <w:r w:rsidR="00A449D4" w:rsidRPr="00395738">
        <w:rPr>
          <w:rFonts w:cs="Times New Roman"/>
          <w:color w:val="000000"/>
          <w:sz w:val="24"/>
          <w:szCs w:val="24"/>
        </w:rPr>
        <w:t xml:space="preserve"> In this context, financial supervisors around the world are increasingly relying on data to better understand financial sector issues and </w:t>
      </w:r>
      <w:r w:rsidR="00E55683" w:rsidRPr="00395738">
        <w:rPr>
          <w:rFonts w:cs="Times New Roman"/>
          <w:color w:val="000000"/>
          <w:sz w:val="24"/>
          <w:szCs w:val="24"/>
        </w:rPr>
        <w:t xml:space="preserve">to </w:t>
      </w:r>
      <w:r w:rsidR="00A449D4" w:rsidRPr="00395738">
        <w:rPr>
          <w:rFonts w:cs="Times New Roman"/>
          <w:color w:val="000000"/>
          <w:sz w:val="24"/>
          <w:szCs w:val="24"/>
        </w:rPr>
        <w:t xml:space="preserve">decide whether </w:t>
      </w:r>
      <w:r w:rsidR="00E55683" w:rsidRPr="00395738">
        <w:rPr>
          <w:rFonts w:cs="Times New Roman"/>
          <w:color w:val="000000"/>
          <w:sz w:val="24"/>
          <w:szCs w:val="24"/>
        </w:rPr>
        <w:t>“</w:t>
      </w:r>
      <w:r w:rsidR="00A449D4" w:rsidRPr="00395738">
        <w:rPr>
          <w:rFonts w:cs="Times New Roman"/>
          <w:color w:val="000000"/>
          <w:sz w:val="24"/>
          <w:szCs w:val="24"/>
        </w:rPr>
        <w:t>new</w:t>
      </w:r>
      <w:r w:rsidR="00E55683" w:rsidRPr="00395738">
        <w:rPr>
          <w:rFonts w:cs="Times New Roman"/>
          <w:color w:val="000000"/>
          <w:sz w:val="24"/>
          <w:szCs w:val="24"/>
        </w:rPr>
        <w:t>”</w:t>
      </w:r>
      <w:r w:rsidR="00A449D4" w:rsidRPr="00395738">
        <w:rPr>
          <w:rFonts w:cs="Times New Roman"/>
          <w:color w:val="000000"/>
          <w:sz w:val="24"/>
          <w:szCs w:val="24"/>
        </w:rPr>
        <w:t xml:space="preserve"> regulations are needed</w:t>
      </w:r>
      <w:r w:rsidR="00E55683" w:rsidRPr="00395738">
        <w:rPr>
          <w:rFonts w:cs="Times New Roman"/>
          <w:color w:val="000000"/>
          <w:sz w:val="24"/>
          <w:szCs w:val="24"/>
        </w:rPr>
        <w:t>,</w:t>
      </w:r>
      <w:r w:rsidR="00A449D4" w:rsidRPr="00395738">
        <w:rPr>
          <w:rFonts w:cs="Times New Roman"/>
          <w:color w:val="000000"/>
          <w:sz w:val="24"/>
          <w:szCs w:val="24"/>
        </w:rPr>
        <w:t xml:space="preserve"> either to regulate a certain aspect for the first time or to improve existing regulations. </w:t>
      </w:r>
    </w:p>
    <w:p w14:paraId="12970B14" w14:textId="06BCAA7D" w:rsidR="00055DFA" w:rsidRPr="00395738" w:rsidRDefault="003469FA" w:rsidP="008E3EEA">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In most countries there is extensive financial sector regulation that targets credit risk, and more specifically the credit risk embedded in lending activities. </w:t>
      </w:r>
      <w:r w:rsidR="003B3278" w:rsidRPr="00395738">
        <w:rPr>
          <w:rFonts w:cs="Times New Roman"/>
          <w:color w:val="000000"/>
          <w:sz w:val="24"/>
          <w:szCs w:val="24"/>
        </w:rPr>
        <w:t>The u</w:t>
      </w:r>
      <w:r w:rsidRPr="00395738">
        <w:rPr>
          <w:rFonts w:cs="Times New Roman"/>
          <w:color w:val="000000"/>
          <w:sz w:val="24"/>
          <w:szCs w:val="24"/>
        </w:rPr>
        <w:t xml:space="preserve">sage of credit and credit-related data </w:t>
      </w:r>
      <w:r w:rsidR="003B3278" w:rsidRPr="00395738">
        <w:rPr>
          <w:rFonts w:cs="Times New Roman"/>
          <w:color w:val="000000"/>
          <w:sz w:val="24"/>
          <w:szCs w:val="24"/>
        </w:rPr>
        <w:t xml:space="preserve">has naturally played an important role </w:t>
      </w:r>
      <w:r w:rsidRPr="00395738">
        <w:rPr>
          <w:rFonts w:cs="Times New Roman"/>
          <w:color w:val="000000"/>
          <w:sz w:val="24"/>
          <w:szCs w:val="24"/>
        </w:rPr>
        <w:t>in the making of these regulations</w:t>
      </w:r>
      <w:r w:rsidR="003B3278" w:rsidRPr="00395738">
        <w:rPr>
          <w:rFonts w:cs="Times New Roman"/>
          <w:color w:val="000000"/>
          <w:sz w:val="24"/>
          <w:szCs w:val="24"/>
        </w:rPr>
        <w:t>. However, just like it is the case with micro- and macro-prudential supervision, at present in many jurisdictions there is an unprecedented demand for granular credit data to assist in regulation-making</w:t>
      </w:r>
      <w:r w:rsidRPr="00395738">
        <w:rPr>
          <w:rFonts w:cs="Times New Roman"/>
          <w:color w:val="000000"/>
          <w:sz w:val="24"/>
          <w:szCs w:val="24"/>
        </w:rPr>
        <w:t>.</w:t>
      </w:r>
      <w:r w:rsidR="00135DF4" w:rsidRPr="00395738">
        <w:rPr>
          <w:rFonts w:cs="Times New Roman"/>
          <w:color w:val="000000"/>
          <w:sz w:val="24"/>
          <w:szCs w:val="24"/>
        </w:rPr>
        <w:t xml:space="preserve"> </w:t>
      </w:r>
      <w:r w:rsidR="00221423" w:rsidRPr="00395738">
        <w:rPr>
          <w:rFonts w:cs="Times New Roman"/>
          <w:color w:val="000000"/>
          <w:sz w:val="24"/>
          <w:szCs w:val="24"/>
        </w:rPr>
        <w:t>F</w:t>
      </w:r>
      <w:r w:rsidR="00515FEE" w:rsidRPr="00395738">
        <w:rPr>
          <w:rFonts w:cs="Times New Roman"/>
          <w:color w:val="000000"/>
          <w:sz w:val="24"/>
          <w:szCs w:val="24"/>
        </w:rPr>
        <w:t xml:space="preserve">inancial authorities have come to realize that credit data in CRSPs is especially useful to achieve better regulation </w:t>
      </w:r>
      <w:r w:rsidR="008779EB" w:rsidRPr="00395738">
        <w:rPr>
          <w:rFonts w:cs="Times New Roman"/>
          <w:color w:val="000000"/>
          <w:sz w:val="24"/>
          <w:szCs w:val="24"/>
        </w:rPr>
        <w:t>o</w:t>
      </w:r>
      <w:r w:rsidR="00515FEE" w:rsidRPr="00395738">
        <w:rPr>
          <w:rFonts w:cs="Times New Roman"/>
          <w:color w:val="000000"/>
          <w:sz w:val="24"/>
          <w:szCs w:val="24"/>
        </w:rPr>
        <w:t>n a variety of topics</w:t>
      </w:r>
      <w:r w:rsidR="00221423" w:rsidRPr="00395738">
        <w:rPr>
          <w:rFonts w:cs="Times New Roman"/>
          <w:color w:val="000000"/>
          <w:sz w:val="24"/>
          <w:szCs w:val="24"/>
        </w:rPr>
        <w:t>/areas.</w:t>
      </w:r>
    </w:p>
    <w:p w14:paraId="601C4256" w14:textId="34B242B3" w:rsidR="009018A3" w:rsidRPr="00395738" w:rsidRDefault="009018A3" w:rsidP="009018A3">
      <w:pPr>
        <w:pStyle w:val="Subtitle"/>
        <w:spacing w:before="480" w:after="240"/>
        <w:rPr>
          <w:rFonts w:asciiTheme="minorHAnsi" w:hAnsiTheme="minorHAnsi"/>
        </w:rPr>
      </w:pPr>
      <w:r w:rsidRPr="00395738">
        <w:rPr>
          <w:rFonts w:asciiTheme="minorHAnsi" w:hAnsiTheme="minorHAnsi"/>
        </w:rPr>
        <w:lastRenderedPageBreak/>
        <w:t xml:space="preserve">V.2 Credit data needs </w:t>
      </w:r>
      <w:r w:rsidR="00BE0325" w:rsidRPr="00395738">
        <w:rPr>
          <w:rFonts w:asciiTheme="minorHAnsi" w:hAnsiTheme="minorHAnsi"/>
        </w:rPr>
        <w:t xml:space="preserve">of financial sector regulators: </w:t>
      </w:r>
      <w:r w:rsidRPr="00395738">
        <w:rPr>
          <w:rFonts w:asciiTheme="minorHAnsi" w:hAnsiTheme="minorHAnsi"/>
        </w:rPr>
        <w:t xml:space="preserve">Core analytical tasks </w:t>
      </w:r>
      <w:r w:rsidR="00563617" w:rsidRPr="00395738">
        <w:rPr>
          <w:rFonts w:asciiTheme="minorHAnsi" w:hAnsiTheme="minorHAnsi"/>
        </w:rPr>
        <w:t>in designing new or improved regulations</w:t>
      </w:r>
    </w:p>
    <w:p w14:paraId="4B9BE9E1" w14:textId="246C68CF" w:rsidR="00113950" w:rsidRPr="00395738" w:rsidRDefault="00065FE7" w:rsidP="002C364D">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With c</w:t>
      </w:r>
      <w:r w:rsidR="007E741A" w:rsidRPr="00395738">
        <w:rPr>
          <w:rFonts w:cs="Times New Roman"/>
          <w:color w:val="000000"/>
          <w:sz w:val="24"/>
          <w:szCs w:val="24"/>
        </w:rPr>
        <w:t xml:space="preserve">redit risk </w:t>
      </w:r>
      <w:r w:rsidR="008779EB" w:rsidRPr="00395738">
        <w:rPr>
          <w:rFonts w:cs="Times New Roman"/>
          <w:color w:val="000000"/>
          <w:sz w:val="24"/>
          <w:szCs w:val="24"/>
        </w:rPr>
        <w:t xml:space="preserve">being </w:t>
      </w:r>
      <w:r w:rsidR="007E741A" w:rsidRPr="00395738">
        <w:rPr>
          <w:rFonts w:cs="Times New Roman"/>
          <w:color w:val="000000"/>
          <w:sz w:val="24"/>
          <w:szCs w:val="24"/>
        </w:rPr>
        <w:t xml:space="preserve">one of the most relevant – if not the most relevant - risks in financial sector activity, as earlier discussed, credit data is </w:t>
      </w:r>
      <w:r w:rsidR="008779EB" w:rsidRPr="00395738">
        <w:rPr>
          <w:rFonts w:cs="Times New Roman"/>
          <w:color w:val="000000"/>
          <w:sz w:val="24"/>
          <w:szCs w:val="24"/>
        </w:rPr>
        <w:t>essential</w:t>
      </w:r>
      <w:r w:rsidR="00BA38A4" w:rsidRPr="00395738">
        <w:rPr>
          <w:rFonts w:cs="Times New Roman"/>
          <w:color w:val="000000"/>
          <w:sz w:val="24"/>
          <w:szCs w:val="24"/>
        </w:rPr>
        <w:t xml:space="preserve"> </w:t>
      </w:r>
      <w:r w:rsidR="007E741A" w:rsidRPr="00395738">
        <w:rPr>
          <w:rFonts w:cs="Times New Roman"/>
          <w:color w:val="000000"/>
          <w:sz w:val="24"/>
          <w:szCs w:val="24"/>
        </w:rPr>
        <w:t xml:space="preserve">as an input for the design and calibration of </w:t>
      </w:r>
      <w:r w:rsidR="0093755D" w:rsidRPr="00395738">
        <w:rPr>
          <w:rFonts w:cs="Times New Roman"/>
          <w:color w:val="000000"/>
          <w:sz w:val="24"/>
          <w:szCs w:val="24"/>
        </w:rPr>
        <w:t xml:space="preserve">many financial sector </w:t>
      </w:r>
      <w:r w:rsidR="007E741A" w:rsidRPr="00395738">
        <w:rPr>
          <w:rFonts w:cs="Times New Roman"/>
          <w:color w:val="000000"/>
          <w:sz w:val="24"/>
          <w:szCs w:val="24"/>
        </w:rPr>
        <w:t>regulations</w:t>
      </w:r>
      <w:r w:rsidR="0093755D" w:rsidRPr="00395738">
        <w:rPr>
          <w:rFonts w:cs="Times New Roman"/>
          <w:color w:val="000000"/>
          <w:sz w:val="24"/>
          <w:szCs w:val="24"/>
        </w:rPr>
        <w:t xml:space="preserve">. </w:t>
      </w:r>
      <w:r w:rsidR="006B5959" w:rsidRPr="00395738">
        <w:rPr>
          <w:rFonts w:cs="Times New Roman"/>
          <w:color w:val="000000"/>
          <w:sz w:val="24"/>
          <w:szCs w:val="24"/>
        </w:rPr>
        <w:t xml:space="preserve">This section focuses on </w:t>
      </w:r>
      <w:r w:rsidR="0051113B" w:rsidRPr="00395738">
        <w:rPr>
          <w:rFonts w:cs="Times New Roman"/>
          <w:color w:val="000000"/>
          <w:sz w:val="24"/>
          <w:szCs w:val="24"/>
        </w:rPr>
        <w:t xml:space="preserve">a number of </w:t>
      </w:r>
      <w:r w:rsidR="006B5959" w:rsidRPr="00395738">
        <w:rPr>
          <w:rFonts w:cs="Times New Roman"/>
          <w:color w:val="000000"/>
          <w:sz w:val="24"/>
          <w:szCs w:val="24"/>
        </w:rPr>
        <w:t xml:space="preserve">key regulatory areas for which supervisors and other financial authorities are increasingly relying </w:t>
      </w:r>
      <w:r w:rsidR="00E55683" w:rsidRPr="00395738">
        <w:rPr>
          <w:rFonts w:cs="Times New Roman"/>
          <w:color w:val="000000"/>
          <w:sz w:val="24"/>
          <w:szCs w:val="24"/>
        </w:rPr>
        <w:t>o</w:t>
      </w:r>
      <w:r w:rsidR="006B5959" w:rsidRPr="00395738">
        <w:rPr>
          <w:rFonts w:cs="Times New Roman"/>
          <w:color w:val="000000"/>
          <w:sz w:val="24"/>
          <w:szCs w:val="24"/>
        </w:rPr>
        <w:t xml:space="preserve">n the usage of credit data obtained from structured sources, </w:t>
      </w:r>
      <w:r w:rsidR="00724BF2" w:rsidRPr="00395738">
        <w:rPr>
          <w:rFonts w:cs="Times New Roman"/>
          <w:color w:val="000000"/>
          <w:sz w:val="24"/>
          <w:szCs w:val="24"/>
        </w:rPr>
        <w:t>such as</w:t>
      </w:r>
      <w:r w:rsidR="006B5959" w:rsidRPr="00395738">
        <w:rPr>
          <w:rFonts w:cs="Times New Roman"/>
          <w:color w:val="000000"/>
          <w:sz w:val="24"/>
          <w:szCs w:val="24"/>
        </w:rPr>
        <w:t xml:space="preserve"> CRSPs.</w:t>
      </w:r>
    </w:p>
    <w:p w14:paraId="198E7DA8" w14:textId="03F80D19" w:rsidR="008977E7" w:rsidRPr="00395738" w:rsidRDefault="0051113B" w:rsidP="00D85A54">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On the m</w:t>
      </w:r>
      <w:r w:rsidR="005D7C64" w:rsidRPr="00395738">
        <w:rPr>
          <w:rFonts w:cs="Times New Roman"/>
          <w:color w:val="000000"/>
          <w:sz w:val="24"/>
          <w:szCs w:val="24"/>
        </w:rPr>
        <w:t xml:space="preserve">icro-prudential </w:t>
      </w:r>
      <w:r w:rsidRPr="00395738">
        <w:rPr>
          <w:rFonts w:cs="Times New Roman"/>
          <w:color w:val="000000"/>
          <w:sz w:val="24"/>
          <w:szCs w:val="24"/>
        </w:rPr>
        <w:t xml:space="preserve">side, </w:t>
      </w:r>
      <w:r w:rsidR="008977E7" w:rsidRPr="00395738">
        <w:rPr>
          <w:rFonts w:cs="Times New Roman"/>
          <w:color w:val="000000"/>
          <w:sz w:val="24"/>
          <w:szCs w:val="24"/>
        </w:rPr>
        <w:t>t</w:t>
      </w:r>
      <w:r w:rsidR="00C81F0A" w:rsidRPr="00395738">
        <w:rPr>
          <w:rFonts w:cs="Times New Roman"/>
          <w:color w:val="000000"/>
          <w:sz w:val="24"/>
          <w:szCs w:val="24"/>
        </w:rPr>
        <w:t xml:space="preserve">he use of internal </w:t>
      </w:r>
      <w:r w:rsidR="0084113F" w:rsidRPr="00395738">
        <w:rPr>
          <w:rFonts w:cs="Times New Roman"/>
          <w:color w:val="000000"/>
          <w:sz w:val="24"/>
          <w:szCs w:val="24"/>
        </w:rPr>
        <w:t xml:space="preserve">credit </w:t>
      </w:r>
      <w:r w:rsidR="00C81F0A" w:rsidRPr="00395738">
        <w:rPr>
          <w:rFonts w:cs="Times New Roman"/>
          <w:color w:val="000000"/>
          <w:sz w:val="24"/>
          <w:szCs w:val="24"/>
        </w:rPr>
        <w:t>rating</w:t>
      </w:r>
      <w:r w:rsidR="0084113F" w:rsidRPr="00395738">
        <w:rPr>
          <w:rFonts w:cs="Times New Roman"/>
          <w:color w:val="000000"/>
          <w:sz w:val="24"/>
          <w:szCs w:val="24"/>
        </w:rPr>
        <w:t>s</w:t>
      </w:r>
      <w:r w:rsidR="00C81F0A" w:rsidRPr="00395738">
        <w:rPr>
          <w:rFonts w:cs="Times New Roman"/>
          <w:color w:val="000000"/>
          <w:sz w:val="24"/>
          <w:szCs w:val="24"/>
        </w:rPr>
        <w:t xml:space="preserve"> </w:t>
      </w:r>
      <w:r w:rsidR="008977E7" w:rsidRPr="00395738">
        <w:rPr>
          <w:rFonts w:cs="Times New Roman"/>
          <w:color w:val="000000"/>
          <w:sz w:val="24"/>
          <w:szCs w:val="24"/>
        </w:rPr>
        <w:t xml:space="preserve">is being increasingly promoted </w:t>
      </w:r>
      <w:r w:rsidR="00C81F0A" w:rsidRPr="00395738">
        <w:rPr>
          <w:rFonts w:cs="Times New Roman"/>
          <w:color w:val="000000"/>
          <w:sz w:val="24"/>
          <w:szCs w:val="24"/>
        </w:rPr>
        <w:t>for regulatory purposes, in part to reduce the dependency on external credit ratings provide</w:t>
      </w:r>
      <w:r w:rsidR="00065FE7" w:rsidRPr="00395738">
        <w:rPr>
          <w:rFonts w:cs="Times New Roman"/>
          <w:color w:val="000000"/>
          <w:sz w:val="24"/>
          <w:szCs w:val="24"/>
        </w:rPr>
        <w:t>d</w:t>
      </w:r>
      <w:r w:rsidR="00C81F0A" w:rsidRPr="00395738">
        <w:rPr>
          <w:rFonts w:cs="Times New Roman"/>
          <w:color w:val="000000"/>
          <w:sz w:val="24"/>
          <w:szCs w:val="24"/>
        </w:rPr>
        <w:t xml:space="preserve"> by credit rating agencies. </w:t>
      </w:r>
      <w:r w:rsidR="0084113F" w:rsidRPr="00395738">
        <w:rPr>
          <w:rFonts w:cs="Times New Roman"/>
          <w:color w:val="000000"/>
          <w:sz w:val="24"/>
          <w:szCs w:val="24"/>
        </w:rPr>
        <w:t xml:space="preserve">More robust results are being obtained through the use of credit data in CRs, CBs and CCRCs as compared to the situation in which a financial institution obtains a rating based solely on </w:t>
      </w:r>
      <w:r w:rsidR="00A06B91" w:rsidRPr="00395738">
        <w:rPr>
          <w:rFonts w:cs="Times New Roman"/>
          <w:color w:val="000000"/>
          <w:sz w:val="24"/>
          <w:szCs w:val="24"/>
        </w:rPr>
        <w:t>its internal</w:t>
      </w:r>
      <w:r w:rsidR="0084113F" w:rsidRPr="00395738">
        <w:rPr>
          <w:rFonts w:cs="Times New Roman"/>
          <w:color w:val="000000"/>
          <w:sz w:val="24"/>
          <w:szCs w:val="24"/>
        </w:rPr>
        <w:t xml:space="preserve"> database. </w:t>
      </w:r>
      <w:r w:rsidR="00C81F0A" w:rsidRPr="00395738">
        <w:rPr>
          <w:rFonts w:cs="Times New Roman"/>
          <w:color w:val="000000"/>
          <w:sz w:val="24"/>
          <w:szCs w:val="24"/>
        </w:rPr>
        <w:t>Th</w:t>
      </w:r>
      <w:r w:rsidR="0084113F" w:rsidRPr="00395738">
        <w:rPr>
          <w:rFonts w:cs="Times New Roman"/>
          <w:color w:val="000000"/>
          <w:sz w:val="24"/>
          <w:szCs w:val="24"/>
        </w:rPr>
        <w:t>e</w:t>
      </w:r>
      <w:r w:rsidR="00C81F0A" w:rsidRPr="00395738">
        <w:rPr>
          <w:rFonts w:cs="Times New Roman"/>
          <w:color w:val="000000"/>
          <w:sz w:val="24"/>
          <w:szCs w:val="24"/>
        </w:rPr>
        <w:t>s</w:t>
      </w:r>
      <w:r w:rsidR="0084113F" w:rsidRPr="00395738">
        <w:rPr>
          <w:rFonts w:cs="Times New Roman"/>
          <w:color w:val="000000"/>
          <w:sz w:val="24"/>
          <w:szCs w:val="24"/>
        </w:rPr>
        <w:t>e more robust results are</w:t>
      </w:r>
      <w:r w:rsidR="00C81F0A" w:rsidRPr="00395738">
        <w:rPr>
          <w:rFonts w:cs="Times New Roman"/>
          <w:color w:val="000000"/>
          <w:sz w:val="24"/>
          <w:szCs w:val="24"/>
        </w:rPr>
        <w:t xml:space="preserve"> possible </w:t>
      </w:r>
      <w:r w:rsidR="00A06B91" w:rsidRPr="00395738">
        <w:rPr>
          <w:rFonts w:cs="Times New Roman"/>
          <w:color w:val="000000"/>
          <w:sz w:val="24"/>
          <w:szCs w:val="24"/>
        </w:rPr>
        <w:t xml:space="preserve">largely </w:t>
      </w:r>
      <w:r w:rsidR="00C1098B" w:rsidRPr="00395738">
        <w:rPr>
          <w:rFonts w:cs="Times New Roman"/>
          <w:color w:val="000000"/>
          <w:sz w:val="24"/>
          <w:szCs w:val="24"/>
        </w:rPr>
        <w:t xml:space="preserve">because </w:t>
      </w:r>
      <w:r w:rsidR="0084113F" w:rsidRPr="00395738">
        <w:rPr>
          <w:rFonts w:cs="Times New Roman"/>
          <w:color w:val="000000"/>
          <w:sz w:val="24"/>
          <w:szCs w:val="24"/>
        </w:rPr>
        <w:t xml:space="preserve">data in </w:t>
      </w:r>
      <w:r w:rsidR="00C81F0A" w:rsidRPr="00395738">
        <w:rPr>
          <w:rFonts w:cs="Times New Roman"/>
          <w:color w:val="000000"/>
          <w:sz w:val="24"/>
          <w:szCs w:val="24"/>
        </w:rPr>
        <w:t>C</w:t>
      </w:r>
      <w:r w:rsidR="0084113F" w:rsidRPr="00395738">
        <w:rPr>
          <w:rFonts w:cs="Times New Roman"/>
          <w:color w:val="000000"/>
          <w:sz w:val="24"/>
          <w:szCs w:val="24"/>
        </w:rPr>
        <w:t xml:space="preserve">RSPs </w:t>
      </w:r>
      <w:r w:rsidR="00A06B91" w:rsidRPr="00395738">
        <w:rPr>
          <w:rFonts w:cs="Times New Roman"/>
          <w:color w:val="000000"/>
          <w:sz w:val="24"/>
          <w:szCs w:val="24"/>
        </w:rPr>
        <w:t xml:space="preserve">reflects the situation of debtors at a broader level within the system </w:t>
      </w:r>
      <w:r w:rsidR="00724BF2" w:rsidRPr="00395738">
        <w:rPr>
          <w:rFonts w:cs="Times New Roman"/>
          <w:color w:val="000000"/>
          <w:sz w:val="24"/>
          <w:szCs w:val="24"/>
        </w:rPr>
        <w:t>(i.e. also with other lenders).</w:t>
      </w:r>
      <w:r w:rsidR="00724BF2" w:rsidRPr="00395738">
        <w:rPr>
          <w:rStyle w:val="FootnoteReference"/>
          <w:rFonts w:cs="Times New Roman"/>
          <w:color w:val="000000"/>
          <w:sz w:val="24"/>
          <w:szCs w:val="24"/>
        </w:rPr>
        <w:footnoteReference w:id="59"/>
      </w:r>
    </w:p>
    <w:p w14:paraId="60C92D1E" w14:textId="21A2D416" w:rsidR="00C81F0A" w:rsidRPr="00395738" w:rsidRDefault="008977E7" w:rsidP="00900D34">
      <w:pPr>
        <w:pStyle w:val="ListParagraph"/>
        <w:numPr>
          <w:ilvl w:val="0"/>
          <w:numId w:val="1"/>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Some of the specific regulatory tools in this regard include:</w:t>
      </w:r>
    </w:p>
    <w:p w14:paraId="76920EA5" w14:textId="6E8F0A54" w:rsidR="005D7C64" w:rsidRPr="00395738" w:rsidRDefault="008B52A7" w:rsidP="008B4E03">
      <w:pPr>
        <w:pStyle w:val="ListParagraph"/>
        <w:numPr>
          <w:ilvl w:val="0"/>
          <w:numId w:val="6"/>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S</w:t>
      </w:r>
      <w:r w:rsidR="005D7C64" w:rsidRPr="00395738">
        <w:rPr>
          <w:rFonts w:cs="Times New Roman"/>
          <w:color w:val="000000"/>
          <w:sz w:val="24"/>
          <w:szCs w:val="24"/>
        </w:rPr>
        <w:t>upervisory validation of loan parameters</w:t>
      </w:r>
      <w:r w:rsidR="00442E0F" w:rsidRPr="00395738">
        <w:rPr>
          <w:rFonts w:cs="Times New Roman"/>
          <w:color w:val="000000"/>
          <w:sz w:val="24"/>
          <w:szCs w:val="24"/>
        </w:rPr>
        <w:t xml:space="preserve"> such as probability of default (PD)</w:t>
      </w:r>
      <w:r w:rsidR="001711BC" w:rsidRPr="00395738">
        <w:rPr>
          <w:rFonts w:cs="Times New Roman"/>
          <w:color w:val="000000"/>
          <w:sz w:val="24"/>
          <w:szCs w:val="24"/>
        </w:rPr>
        <w:t xml:space="preserve"> and loss given default (LGD)</w:t>
      </w:r>
      <w:r w:rsidRPr="00395738">
        <w:rPr>
          <w:rFonts w:cs="Times New Roman"/>
          <w:color w:val="000000"/>
          <w:sz w:val="24"/>
          <w:szCs w:val="24"/>
        </w:rPr>
        <w:t>,</w:t>
      </w:r>
      <w:r w:rsidR="005D7C64" w:rsidRPr="00395738">
        <w:rPr>
          <w:rFonts w:cs="Times New Roman"/>
          <w:color w:val="000000"/>
          <w:sz w:val="24"/>
          <w:szCs w:val="24"/>
        </w:rPr>
        <w:t xml:space="preserve"> </w:t>
      </w:r>
      <w:r w:rsidR="008977E7" w:rsidRPr="00395738">
        <w:rPr>
          <w:rFonts w:cs="Times New Roman"/>
          <w:color w:val="000000"/>
          <w:sz w:val="24"/>
          <w:szCs w:val="24"/>
        </w:rPr>
        <w:t xml:space="preserve">which are being estimated by banks and other financial institutions through internal ratings-based (IRB) </w:t>
      </w:r>
      <w:r w:rsidRPr="00395738">
        <w:rPr>
          <w:rFonts w:cs="Times New Roman"/>
          <w:color w:val="000000"/>
          <w:sz w:val="24"/>
          <w:szCs w:val="24"/>
        </w:rPr>
        <w:t>models in order to determine their regulatory capital requirements</w:t>
      </w:r>
      <w:r w:rsidRPr="00395738">
        <w:rPr>
          <w:rStyle w:val="FootnoteReference"/>
          <w:rFonts w:cs="Times New Roman"/>
          <w:color w:val="000000"/>
          <w:sz w:val="24"/>
          <w:szCs w:val="24"/>
        </w:rPr>
        <w:footnoteReference w:id="60"/>
      </w:r>
    </w:p>
    <w:p w14:paraId="773CBD87" w14:textId="4A7BA74A" w:rsidR="006C26DD" w:rsidRPr="00395738" w:rsidRDefault="006B5959" w:rsidP="001711BC">
      <w:pPr>
        <w:pStyle w:val="ListParagraph"/>
        <w:numPr>
          <w:ilvl w:val="0"/>
          <w:numId w:val="6"/>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For loan loss provisioning, </w:t>
      </w:r>
      <w:r w:rsidR="00442E0F" w:rsidRPr="00395738">
        <w:rPr>
          <w:rFonts w:cs="Times New Roman"/>
          <w:color w:val="000000"/>
          <w:sz w:val="24"/>
          <w:szCs w:val="24"/>
        </w:rPr>
        <w:t>the traditional model based on “i</w:t>
      </w:r>
      <w:r w:rsidRPr="00395738">
        <w:rPr>
          <w:rFonts w:cs="Times New Roman"/>
          <w:color w:val="000000"/>
          <w:sz w:val="24"/>
          <w:szCs w:val="24"/>
        </w:rPr>
        <w:t>ncurred loss</w:t>
      </w:r>
      <w:r w:rsidR="00442E0F" w:rsidRPr="00395738">
        <w:rPr>
          <w:rFonts w:cs="Times New Roman"/>
          <w:color w:val="000000"/>
          <w:sz w:val="24"/>
          <w:szCs w:val="24"/>
        </w:rPr>
        <w:t>”</w:t>
      </w:r>
      <w:r w:rsidRPr="00395738">
        <w:rPr>
          <w:rFonts w:cs="Times New Roman"/>
          <w:color w:val="000000"/>
          <w:sz w:val="24"/>
          <w:szCs w:val="24"/>
        </w:rPr>
        <w:t xml:space="preserve"> </w:t>
      </w:r>
      <w:r w:rsidR="00442E0F" w:rsidRPr="00395738">
        <w:rPr>
          <w:rFonts w:cs="Times New Roman"/>
          <w:color w:val="000000"/>
          <w:sz w:val="24"/>
          <w:szCs w:val="24"/>
        </w:rPr>
        <w:t xml:space="preserve">is being replaced </w:t>
      </w:r>
      <w:r w:rsidRPr="00395738">
        <w:rPr>
          <w:rFonts w:cs="Times New Roman"/>
          <w:color w:val="000000"/>
          <w:sz w:val="24"/>
          <w:szCs w:val="24"/>
        </w:rPr>
        <w:t>with a forward-looking</w:t>
      </w:r>
      <w:r w:rsidR="00AF36F9" w:rsidRPr="00395738">
        <w:rPr>
          <w:rFonts w:cs="Times New Roman"/>
          <w:color w:val="000000"/>
          <w:sz w:val="24"/>
          <w:szCs w:val="24"/>
        </w:rPr>
        <w:t xml:space="preserve">, </w:t>
      </w:r>
      <w:r w:rsidR="00442E0F" w:rsidRPr="00395738">
        <w:rPr>
          <w:rFonts w:cs="Times New Roman"/>
          <w:color w:val="000000"/>
          <w:sz w:val="24"/>
          <w:szCs w:val="24"/>
        </w:rPr>
        <w:t>“</w:t>
      </w:r>
      <w:r w:rsidRPr="00395738">
        <w:rPr>
          <w:rFonts w:cs="Times New Roman"/>
          <w:color w:val="000000"/>
          <w:sz w:val="24"/>
          <w:szCs w:val="24"/>
        </w:rPr>
        <w:t>expected loss</w:t>
      </w:r>
      <w:r w:rsidR="00442E0F" w:rsidRPr="00395738">
        <w:rPr>
          <w:rFonts w:cs="Times New Roman"/>
          <w:color w:val="000000"/>
          <w:sz w:val="24"/>
          <w:szCs w:val="24"/>
        </w:rPr>
        <w:t>”</w:t>
      </w:r>
      <w:r w:rsidR="008B52A7" w:rsidRPr="00395738">
        <w:rPr>
          <w:rFonts w:cs="Times New Roman"/>
          <w:color w:val="000000"/>
          <w:sz w:val="24"/>
          <w:szCs w:val="24"/>
        </w:rPr>
        <w:t xml:space="preserve"> (EL)</w:t>
      </w:r>
      <w:r w:rsidR="00442E0F" w:rsidRPr="00395738">
        <w:rPr>
          <w:rFonts w:cs="Times New Roman"/>
          <w:color w:val="000000"/>
          <w:sz w:val="24"/>
          <w:szCs w:val="24"/>
        </w:rPr>
        <w:t>-</w:t>
      </w:r>
      <w:r w:rsidRPr="00395738">
        <w:rPr>
          <w:rFonts w:cs="Times New Roman"/>
          <w:color w:val="000000"/>
          <w:sz w:val="24"/>
          <w:szCs w:val="24"/>
        </w:rPr>
        <w:t xml:space="preserve">based model. </w:t>
      </w:r>
      <w:r w:rsidR="008B52A7" w:rsidRPr="00395738">
        <w:rPr>
          <w:rFonts w:cs="Times New Roman"/>
          <w:color w:val="000000"/>
          <w:sz w:val="24"/>
          <w:szCs w:val="24"/>
        </w:rPr>
        <w:t>In this context, r</w:t>
      </w:r>
      <w:r w:rsidR="008977E7" w:rsidRPr="00395738">
        <w:rPr>
          <w:rFonts w:cs="Times New Roman"/>
          <w:color w:val="000000"/>
          <w:sz w:val="24"/>
          <w:szCs w:val="24"/>
        </w:rPr>
        <w:t xml:space="preserve">egulations are requiring that </w:t>
      </w:r>
      <w:r w:rsidR="008B52A7" w:rsidRPr="00395738">
        <w:rPr>
          <w:rFonts w:cs="Times New Roman"/>
          <w:color w:val="000000"/>
          <w:sz w:val="24"/>
          <w:szCs w:val="24"/>
        </w:rPr>
        <w:t>the definition of a “</w:t>
      </w:r>
      <w:r w:rsidR="006C26DD" w:rsidRPr="00395738">
        <w:rPr>
          <w:rFonts w:cs="Times New Roman"/>
          <w:color w:val="000000"/>
          <w:sz w:val="24"/>
          <w:szCs w:val="24"/>
        </w:rPr>
        <w:t>default</w:t>
      </w:r>
      <w:r w:rsidR="008B52A7" w:rsidRPr="00395738">
        <w:rPr>
          <w:rFonts w:cs="Times New Roman"/>
          <w:color w:val="000000"/>
          <w:sz w:val="24"/>
          <w:szCs w:val="24"/>
        </w:rPr>
        <w:t>”</w:t>
      </w:r>
      <w:r w:rsidR="006C26DD" w:rsidRPr="00395738">
        <w:rPr>
          <w:rFonts w:cs="Times New Roman"/>
          <w:color w:val="000000"/>
          <w:sz w:val="24"/>
          <w:szCs w:val="24"/>
        </w:rPr>
        <w:t xml:space="preserve"> </w:t>
      </w:r>
      <w:r w:rsidR="008B52A7" w:rsidRPr="00395738">
        <w:rPr>
          <w:rFonts w:cs="Times New Roman"/>
          <w:color w:val="000000"/>
          <w:sz w:val="24"/>
          <w:szCs w:val="24"/>
        </w:rPr>
        <w:t>include not only</w:t>
      </w:r>
      <w:r w:rsidR="006C26DD" w:rsidRPr="00395738">
        <w:rPr>
          <w:rFonts w:cs="Times New Roman"/>
          <w:color w:val="000000"/>
          <w:sz w:val="24"/>
          <w:szCs w:val="24"/>
        </w:rPr>
        <w:t xml:space="preserve"> </w:t>
      </w:r>
      <w:r w:rsidR="00C1098B" w:rsidRPr="00395738">
        <w:rPr>
          <w:rFonts w:cs="Times New Roman"/>
          <w:color w:val="000000"/>
          <w:sz w:val="24"/>
          <w:szCs w:val="24"/>
        </w:rPr>
        <w:t xml:space="preserve">the </w:t>
      </w:r>
      <w:r w:rsidR="006C26DD" w:rsidRPr="00395738">
        <w:rPr>
          <w:rFonts w:cs="Times New Roman"/>
          <w:color w:val="000000"/>
          <w:sz w:val="24"/>
          <w:szCs w:val="24"/>
        </w:rPr>
        <w:t xml:space="preserve">default events </w:t>
      </w:r>
      <w:r w:rsidR="008B52A7" w:rsidRPr="00395738">
        <w:rPr>
          <w:rFonts w:cs="Times New Roman"/>
          <w:color w:val="000000"/>
          <w:sz w:val="24"/>
          <w:szCs w:val="24"/>
        </w:rPr>
        <w:t>of a certain counterparty with the relevant lender</w:t>
      </w:r>
      <w:r w:rsidR="006C26DD" w:rsidRPr="00395738">
        <w:rPr>
          <w:rFonts w:cs="Times New Roman"/>
          <w:color w:val="000000"/>
          <w:sz w:val="24"/>
          <w:szCs w:val="24"/>
        </w:rPr>
        <w:t xml:space="preserve">, but also with any </w:t>
      </w:r>
      <w:r w:rsidR="008B52A7" w:rsidRPr="00395738">
        <w:rPr>
          <w:rFonts w:cs="Times New Roman"/>
          <w:color w:val="000000"/>
          <w:sz w:val="24"/>
          <w:szCs w:val="24"/>
        </w:rPr>
        <w:t xml:space="preserve">other </w:t>
      </w:r>
      <w:r w:rsidR="006C26DD" w:rsidRPr="00395738">
        <w:rPr>
          <w:rFonts w:cs="Times New Roman"/>
          <w:color w:val="000000"/>
          <w:sz w:val="24"/>
          <w:szCs w:val="24"/>
        </w:rPr>
        <w:t>institution that has granted credit to th</w:t>
      </w:r>
      <w:r w:rsidR="008B4E03" w:rsidRPr="00395738">
        <w:rPr>
          <w:rFonts w:cs="Times New Roman"/>
          <w:color w:val="000000"/>
          <w:sz w:val="24"/>
          <w:szCs w:val="24"/>
        </w:rPr>
        <w:t>at</w:t>
      </w:r>
      <w:r w:rsidR="006C26DD" w:rsidRPr="00395738">
        <w:rPr>
          <w:rFonts w:cs="Times New Roman"/>
          <w:color w:val="000000"/>
          <w:sz w:val="24"/>
          <w:szCs w:val="24"/>
        </w:rPr>
        <w:t xml:space="preserve"> counterparty</w:t>
      </w:r>
      <w:r w:rsidR="001711BC" w:rsidRPr="00395738">
        <w:rPr>
          <w:rFonts w:cs="Times New Roman"/>
          <w:color w:val="000000"/>
          <w:sz w:val="24"/>
          <w:szCs w:val="24"/>
        </w:rPr>
        <w:t>.</w:t>
      </w:r>
    </w:p>
    <w:p w14:paraId="0A0B7D35" w14:textId="566BFC05" w:rsidR="00A06B91" w:rsidRPr="00395738" w:rsidRDefault="001711BC" w:rsidP="001711BC">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lastRenderedPageBreak/>
        <w:t xml:space="preserve">Also in the micro-prudential space, credit data </w:t>
      </w:r>
      <w:r w:rsidR="00900D34" w:rsidRPr="00395738">
        <w:rPr>
          <w:rFonts w:cs="Times New Roman"/>
          <w:color w:val="000000"/>
          <w:sz w:val="24"/>
          <w:szCs w:val="24"/>
        </w:rPr>
        <w:t xml:space="preserve">can assist in calibrating </w:t>
      </w:r>
      <w:r w:rsidR="00A06B91" w:rsidRPr="00395738">
        <w:rPr>
          <w:rFonts w:cs="Times New Roman"/>
          <w:color w:val="000000"/>
          <w:sz w:val="24"/>
          <w:szCs w:val="24"/>
        </w:rPr>
        <w:t>regulatory measures intended for individual banks/other credit institutions in which abnormal risk levels and/or practices have been identified</w:t>
      </w:r>
      <w:r w:rsidRPr="00395738">
        <w:rPr>
          <w:rFonts w:cs="Times New Roman"/>
          <w:color w:val="000000"/>
          <w:sz w:val="24"/>
          <w:szCs w:val="24"/>
        </w:rPr>
        <w:t xml:space="preserve"> through stress tests or other means.</w:t>
      </w:r>
    </w:p>
    <w:p w14:paraId="0344E8D1" w14:textId="26CF0B83" w:rsidR="00900D34" w:rsidRPr="00395738" w:rsidRDefault="00900D34" w:rsidP="0074287B">
      <w:pPr>
        <w:pStyle w:val="ListParagraph"/>
        <w:numPr>
          <w:ilvl w:val="0"/>
          <w:numId w:val="1"/>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With regard to m</w:t>
      </w:r>
      <w:r w:rsidR="00591B4F" w:rsidRPr="00395738">
        <w:rPr>
          <w:rFonts w:cs="Times New Roman"/>
          <w:color w:val="000000"/>
          <w:sz w:val="24"/>
          <w:szCs w:val="24"/>
        </w:rPr>
        <w:t>acro-prudenti</w:t>
      </w:r>
      <w:r w:rsidR="00AF36F9" w:rsidRPr="00395738">
        <w:rPr>
          <w:rFonts w:cs="Times New Roman"/>
          <w:color w:val="000000"/>
          <w:sz w:val="24"/>
          <w:szCs w:val="24"/>
        </w:rPr>
        <w:t>a</w:t>
      </w:r>
      <w:r w:rsidR="00591B4F" w:rsidRPr="00395738">
        <w:rPr>
          <w:rFonts w:cs="Times New Roman"/>
          <w:color w:val="000000"/>
          <w:sz w:val="24"/>
          <w:szCs w:val="24"/>
        </w:rPr>
        <w:t xml:space="preserve">l </w:t>
      </w:r>
      <w:r w:rsidRPr="00395738">
        <w:rPr>
          <w:rFonts w:cs="Times New Roman"/>
          <w:color w:val="000000"/>
          <w:sz w:val="24"/>
          <w:szCs w:val="24"/>
        </w:rPr>
        <w:t>aspects</w:t>
      </w:r>
      <w:r w:rsidR="00591B4F" w:rsidRPr="00395738">
        <w:rPr>
          <w:rFonts w:cs="Times New Roman"/>
          <w:color w:val="000000"/>
          <w:sz w:val="24"/>
          <w:szCs w:val="24"/>
        </w:rPr>
        <w:t>,</w:t>
      </w:r>
      <w:r w:rsidR="00C1098B" w:rsidRPr="00395738">
        <w:rPr>
          <w:rFonts w:cs="Times New Roman"/>
          <w:color w:val="000000"/>
          <w:sz w:val="24"/>
          <w:szCs w:val="24"/>
        </w:rPr>
        <w:t xml:space="preserve"> credit data has proved crucial and is therefore </w:t>
      </w:r>
      <w:r w:rsidRPr="00395738">
        <w:rPr>
          <w:rFonts w:cs="Times New Roman"/>
          <w:color w:val="000000"/>
          <w:sz w:val="24"/>
          <w:szCs w:val="24"/>
        </w:rPr>
        <w:t xml:space="preserve">increasingly used </w:t>
      </w:r>
      <w:r w:rsidR="0074287B" w:rsidRPr="00395738">
        <w:rPr>
          <w:rFonts w:cs="Times New Roman"/>
          <w:color w:val="000000"/>
          <w:sz w:val="24"/>
          <w:szCs w:val="24"/>
        </w:rPr>
        <w:t xml:space="preserve">for </w:t>
      </w:r>
      <w:r w:rsidR="00D93997" w:rsidRPr="00395738">
        <w:rPr>
          <w:rFonts w:cs="Times New Roman"/>
          <w:color w:val="000000"/>
          <w:sz w:val="24"/>
          <w:szCs w:val="24"/>
        </w:rPr>
        <w:t>the d</w:t>
      </w:r>
      <w:r w:rsidR="0074287B" w:rsidRPr="00395738">
        <w:rPr>
          <w:rFonts w:cs="Times New Roman"/>
          <w:color w:val="000000"/>
          <w:sz w:val="24"/>
          <w:szCs w:val="24"/>
        </w:rPr>
        <w:t>esign and calibration</w:t>
      </w:r>
      <w:r w:rsidR="00D93997" w:rsidRPr="00395738">
        <w:rPr>
          <w:rFonts w:cs="Times New Roman"/>
          <w:color w:val="000000"/>
          <w:sz w:val="24"/>
          <w:szCs w:val="24"/>
        </w:rPr>
        <w:t xml:space="preserve"> of </w:t>
      </w:r>
      <w:r w:rsidR="00C1098B" w:rsidRPr="00395738">
        <w:rPr>
          <w:rFonts w:cs="Times New Roman"/>
          <w:color w:val="000000"/>
          <w:sz w:val="24"/>
          <w:szCs w:val="24"/>
        </w:rPr>
        <w:t>policy measures (i.e. pr</w:t>
      </w:r>
      <w:r w:rsidR="00D93997" w:rsidRPr="00395738">
        <w:rPr>
          <w:rFonts w:cs="Times New Roman"/>
          <w:color w:val="000000"/>
          <w:sz w:val="24"/>
          <w:szCs w:val="24"/>
        </w:rPr>
        <w:t>udential instruments and tools</w:t>
      </w:r>
      <w:r w:rsidR="00C1098B" w:rsidRPr="00395738">
        <w:rPr>
          <w:rFonts w:cs="Times New Roman"/>
          <w:color w:val="000000"/>
          <w:sz w:val="24"/>
          <w:szCs w:val="24"/>
        </w:rPr>
        <w:t>) aimed at mitigating systemic risk</w:t>
      </w:r>
      <w:r w:rsidR="00D93997" w:rsidRPr="00395738">
        <w:rPr>
          <w:rFonts w:cs="Times New Roman"/>
          <w:color w:val="000000"/>
          <w:sz w:val="24"/>
          <w:szCs w:val="24"/>
        </w:rPr>
        <w:t xml:space="preserve">. </w:t>
      </w:r>
      <w:r w:rsidRPr="00395738">
        <w:rPr>
          <w:rFonts w:cs="Times New Roman"/>
          <w:color w:val="000000"/>
          <w:sz w:val="24"/>
          <w:szCs w:val="24"/>
        </w:rPr>
        <w:t>Exam</w:t>
      </w:r>
      <w:r w:rsidR="00D93997" w:rsidRPr="00395738">
        <w:rPr>
          <w:rFonts w:cs="Times New Roman"/>
          <w:color w:val="000000"/>
          <w:sz w:val="24"/>
          <w:szCs w:val="24"/>
        </w:rPr>
        <w:t>p</w:t>
      </w:r>
      <w:r w:rsidRPr="00395738">
        <w:rPr>
          <w:rFonts w:cs="Times New Roman"/>
          <w:color w:val="000000"/>
          <w:sz w:val="24"/>
          <w:szCs w:val="24"/>
        </w:rPr>
        <w:t>les include:</w:t>
      </w:r>
    </w:p>
    <w:p w14:paraId="54F294EA" w14:textId="6FF96EE3" w:rsidR="0074287B" w:rsidRPr="00395738" w:rsidRDefault="00900D34" w:rsidP="00900D34">
      <w:pPr>
        <w:pStyle w:val="ListParagraph"/>
        <w:numPr>
          <w:ilvl w:val="0"/>
          <w:numId w:val="6"/>
        </w:numPr>
        <w:autoSpaceDE w:val="0"/>
        <w:autoSpaceDN w:val="0"/>
        <w:adjustRightInd w:val="0"/>
        <w:spacing w:after="0" w:line="360" w:lineRule="auto"/>
        <w:contextualSpacing w:val="0"/>
        <w:jc w:val="both"/>
        <w:rPr>
          <w:rFonts w:cs="Times New Roman"/>
          <w:color w:val="000000"/>
          <w:sz w:val="24"/>
          <w:szCs w:val="24"/>
        </w:rPr>
      </w:pPr>
      <w:r w:rsidRPr="00395738">
        <w:rPr>
          <w:rFonts w:cs="Times New Roman"/>
          <w:color w:val="000000"/>
          <w:sz w:val="24"/>
          <w:szCs w:val="24"/>
        </w:rPr>
        <w:t>S</w:t>
      </w:r>
      <w:r w:rsidR="0074287B" w:rsidRPr="00395738">
        <w:rPr>
          <w:rFonts w:cs="Times New Roman"/>
          <w:color w:val="000000"/>
          <w:sz w:val="24"/>
          <w:szCs w:val="24"/>
        </w:rPr>
        <w:t>etting quantitative limits on loan-to-value (LTV</w:t>
      </w:r>
      <w:r w:rsidR="00C1098B" w:rsidRPr="00395738">
        <w:rPr>
          <w:rFonts w:cs="Times New Roman"/>
          <w:color w:val="000000"/>
          <w:sz w:val="24"/>
          <w:szCs w:val="24"/>
        </w:rPr>
        <w:t>)</w:t>
      </w:r>
      <w:r w:rsidR="00D93997" w:rsidRPr="00395738">
        <w:rPr>
          <w:rFonts w:cs="Times New Roman"/>
          <w:color w:val="000000"/>
          <w:sz w:val="24"/>
          <w:szCs w:val="24"/>
        </w:rPr>
        <w:t xml:space="preserve"> and/or </w:t>
      </w:r>
      <w:r w:rsidR="0074287B" w:rsidRPr="00395738">
        <w:rPr>
          <w:rFonts w:cs="Times New Roman"/>
          <w:color w:val="000000"/>
          <w:sz w:val="24"/>
          <w:szCs w:val="24"/>
        </w:rPr>
        <w:t xml:space="preserve">loan-to-income (LTI) ratios </w:t>
      </w:r>
      <w:r w:rsidR="00D93997" w:rsidRPr="00395738">
        <w:rPr>
          <w:rFonts w:cs="Times New Roman"/>
          <w:color w:val="000000"/>
          <w:sz w:val="24"/>
          <w:szCs w:val="24"/>
        </w:rPr>
        <w:t>in order to c</w:t>
      </w:r>
      <w:r w:rsidR="0074287B" w:rsidRPr="00395738">
        <w:rPr>
          <w:rFonts w:cs="Times New Roman"/>
          <w:color w:val="000000"/>
          <w:sz w:val="24"/>
          <w:szCs w:val="24"/>
        </w:rPr>
        <w:t>reate buffers at the level of borrowers. To determine the specific loan types (e.g. mortgage loans only, other loans collateralized with movable property, etc.) to which the limit(s) will apply, as well as the limit itself, multiple analyses will be required of LTV/LTI data series and other variables to measure the potential impacts of such limits</w:t>
      </w:r>
    </w:p>
    <w:p w14:paraId="79D85062" w14:textId="3C09973A" w:rsidR="00900D34" w:rsidRPr="00395738" w:rsidRDefault="00900D34" w:rsidP="00371AF1">
      <w:pPr>
        <w:pStyle w:val="ListParagraph"/>
        <w:numPr>
          <w:ilvl w:val="0"/>
          <w:numId w:val="6"/>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I</w:t>
      </w:r>
      <w:r w:rsidR="003B3278" w:rsidRPr="00395738">
        <w:rPr>
          <w:rFonts w:cs="Times New Roman"/>
          <w:color w:val="000000"/>
          <w:sz w:val="24"/>
          <w:szCs w:val="24"/>
        </w:rPr>
        <w:t>n addition to or in lieu of the countercyclical capital buffer (CCB), some macro-prudential authorities may use sectoral capital requirements (SCR) as an instrument to tackle cyclical risks.</w:t>
      </w:r>
      <w:r w:rsidR="00371AF1" w:rsidRPr="00395738">
        <w:rPr>
          <w:rStyle w:val="FootnoteReference"/>
          <w:rFonts w:cs="Times New Roman"/>
          <w:color w:val="000000"/>
          <w:sz w:val="24"/>
          <w:szCs w:val="24"/>
        </w:rPr>
        <w:footnoteReference w:id="61"/>
      </w:r>
      <w:r w:rsidR="003B3278" w:rsidRPr="00395738">
        <w:rPr>
          <w:rFonts w:cs="Times New Roman"/>
          <w:color w:val="000000"/>
          <w:sz w:val="24"/>
          <w:szCs w:val="24"/>
        </w:rPr>
        <w:t xml:space="preserve"> In terms of data requirements, </w:t>
      </w:r>
      <w:r w:rsidR="00D93997" w:rsidRPr="00395738">
        <w:rPr>
          <w:rFonts w:cs="Times New Roman"/>
          <w:color w:val="000000"/>
          <w:sz w:val="24"/>
          <w:szCs w:val="24"/>
        </w:rPr>
        <w:t xml:space="preserve">while </w:t>
      </w:r>
      <w:r w:rsidR="003B3278" w:rsidRPr="00395738">
        <w:rPr>
          <w:rFonts w:cs="Times New Roman"/>
          <w:color w:val="000000"/>
          <w:sz w:val="24"/>
          <w:szCs w:val="24"/>
        </w:rPr>
        <w:t>the CCB is generally highly aggregated</w:t>
      </w:r>
      <w:r w:rsidR="00D93997" w:rsidRPr="00395738">
        <w:rPr>
          <w:rFonts w:cs="Times New Roman"/>
          <w:color w:val="000000"/>
          <w:sz w:val="24"/>
          <w:szCs w:val="24"/>
        </w:rPr>
        <w:t>,</w:t>
      </w:r>
      <w:r w:rsidR="003B3278" w:rsidRPr="00395738">
        <w:rPr>
          <w:rFonts w:cs="Times New Roman"/>
          <w:color w:val="000000"/>
          <w:sz w:val="24"/>
          <w:szCs w:val="24"/>
        </w:rPr>
        <w:t xml:space="preserve"> the SCR may require the same data items to be broken</w:t>
      </w:r>
      <w:r w:rsidR="00724BF2" w:rsidRPr="00395738">
        <w:rPr>
          <w:rFonts w:cs="Times New Roman"/>
          <w:color w:val="000000"/>
          <w:sz w:val="24"/>
          <w:szCs w:val="24"/>
        </w:rPr>
        <w:t>-</w:t>
      </w:r>
      <w:r w:rsidR="003B3278" w:rsidRPr="00395738">
        <w:rPr>
          <w:rFonts w:cs="Times New Roman"/>
          <w:color w:val="000000"/>
          <w:sz w:val="24"/>
          <w:szCs w:val="24"/>
        </w:rPr>
        <w:t xml:space="preserve">down by various dimensions. For example, SCR would require looking at residential mortgages, commercial mortgages and loans to other sectors. It may also need looking </w:t>
      </w:r>
      <w:r w:rsidR="00D93997" w:rsidRPr="00395738">
        <w:rPr>
          <w:rFonts w:cs="Times New Roman"/>
          <w:color w:val="000000"/>
          <w:sz w:val="24"/>
          <w:szCs w:val="24"/>
        </w:rPr>
        <w:t>at high LTV or high LTI ratios.</w:t>
      </w:r>
    </w:p>
    <w:p w14:paraId="319B3168" w14:textId="182D9C05" w:rsidR="007E741A" w:rsidRPr="00395738" w:rsidRDefault="00AF36F9" w:rsidP="007E741A">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Also i</w:t>
      </w:r>
      <w:r w:rsidR="007E741A" w:rsidRPr="00395738">
        <w:rPr>
          <w:rFonts w:cs="Times New Roman"/>
          <w:color w:val="000000"/>
          <w:sz w:val="24"/>
          <w:szCs w:val="24"/>
        </w:rPr>
        <w:t xml:space="preserve">n the macro-prudential context, credit data </w:t>
      </w:r>
      <w:r w:rsidR="00371AF1" w:rsidRPr="00395738">
        <w:rPr>
          <w:rFonts w:cs="Times New Roman"/>
          <w:color w:val="000000"/>
          <w:sz w:val="24"/>
          <w:szCs w:val="24"/>
        </w:rPr>
        <w:t xml:space="preserve">from CRSPs, especially from CBs and CCRCs, </w:t>
      </w:r>
      <w:r w:rsidR="007E741A" w:rsidRPr="00395738">
        <w:rPr>
          <w:rFonts w:cs="Times New Roman"/>
          <w:color w:val="000000"/>
          <w:sz w:val="24"/>
          <w:szCs w:val="24"/>
        </w:rPr>
        <w:t>c</w:t>
      </w:r>
      <w:r w:rsidR="00371AF1" w:rsidRPr="00395738">
        <w:rPr>
          <w:rFonts w:cs="Times New Roman"/>
          <w:color w:val="000000"/>
          <w:sz w:val="24"/>
          <w:szCs w:val="24"/>
        </w:rPr>
        <w:t xml:space="preserve">an be useful for </w:t>
      </w:r>
      <w:r w:rsidR="007E741A" w:rsidRPr="00395738">
        <w:rPr>
          <w:rFonts w:cs="Times New Roman"/>
          <w:color w:val="000000"/>
          <w:sz w:val="24"/>
          <w:szCs w:val="24"/>
        </w:rPr>
        <w:t xml:space="preserve">authorities </w:t>
      </w:r>
      <w:r w:rsidR="00371AF1" w:rsidRPr="00395738">
        <w:rPr>
          <w:rFonts w:cs="Times New Roman"/>
          <w:color w:val="000000"/>
          <w:sz w:val="24"/>
          <w:szCs w:val="24"/>
        </w:rPr>
        <w:t xml:space="preserve">in designing regulations in connection with </w:t>
      </w:r>
      <w:r w:rsidR="007E741A" w:rsidRPr="00395738">
        <w:rPr>
          <w:rFonts w:cs="Times New Roman"/>
          <w:color w:val="000000"/>
          <w:sz w:val="24"/>
          <w:szCs w:val="24"/>
        </w:rPr>
        <w:t xml:space="preserve">loans </w:t>
      </w:r>
      <w:r w:rsidR="00371AF1" w:rsidRPr="00395738">
        <w:rPr>
          <w:rFonts w:cs="Times New Roman"/>
          <w:color w:val="000000"/>
          <w:sz w:val="24"/>
          <w:szCs w:val="24"/>
        </w:rPr>
        <w:t xml:space="preserve">or other forms of credit granted </w:t>
      </w:r>
      <w:r w:rsidR="007E741A" w:rsidRPr="00395738">
        <w:rPr>
          <w:rFonts w:cs="Times New Roman"/>
          <w:color w:val="000000"/>
          <w:sz w:val="24"/>
          <w:szCs w:val="24"/>
        </w:rPr>
        <w:t xml:space="preserve">by non-bank financial institutions </w:t>
      </w:r>
      <w:r w:rsidR="00371AF1" w:rsidRPr="00395738">
        <w:rPr>
          <w:rFonts w:cs="Times New Roman"/>
          <w:color w:val="000000"/>
          <w:sz w:val="24"/>
          <w:szCs w:val="24"/>
        </w:rPr>
        <w:t xml:space="preserve">and non-financial institutions </w:t>
      </w:r>
      <w:r w:rsidR="007E741A" w:rsidRPr="00395738">
        <w:rPr>
          <w:rFonts w:cs="Times New Roman"/>
          <w:color w:val="000000"/>
          <w:sz w:val="24"/>
          <w:szCs w:val="24"/>
        </w:rPr>
        <w:t>(</w:t>
      </w:r>
      <w:r w:rsidR="00045FFD" w:rsidRPr="00395738">
        <w:rPr>
          <w:rFonts w:cs="Times New Roman"/>
          <w:color w:val="000000"/>
          <w:sz w:val="24"/>
          <w:szCs w:val="24"/>
        </w:rPr>
        <w:t xml:space="preserve">i.e. so-called </w:t>
      </w:r>
      <w:r w:rsidR="007E741A" w:rsidRPr="00395738">
        <w:rPr>
          <w:rFonts w:cs="Times New Roman"/>
          <w:color w:val="000000"/>
          <w:sz w:val="24"/>
          <w:szCs w:val="24"/>
        </w:rPr>
        <w:t>shadow banking).</w:t>
      </w:r>
    </w:p>
    <w:p w14:paraId="7C8D425B" w14:textId="7E07A3E0" w:rsidR="002C364D" w:rsidRPr="00395738" w:rsidRDefault="002C364D" w:rsidP="002C364D">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While this report focuses on the </w:t>
      </w:r>
      <w:r w:rsidR="00724BF2" w:rsidRPr="00395738">
        <w:rPr>
          <w:rFonts w:cs="Times New Roman"/>
          <w:color w:val="000000"/>
          <w:sz w:val="24"/>
          <w:szCs w:val="24"/>
        </w:rPr>
        <w:t xml:space="preserve">prudential </w:t>
      </w:r>
      <w:r w:rsidRPr="00395738">
        <w:rPr>
          <w:rFonts w:cs="Times New Roman"/>
          <w:color w:val="000000"/>
          <w:sz w:val="24"/>
          <w:szCs w:val="24"/>
        </w:rPr>
        <w:t xml:space="preserve">regulation of financial institutions, it needs to be noted that credit data is also frequently referred to </w:t>
      </w:r>
      <w:r w:rsidR="00371AF1" w:rsidRPr="00395738">
        <w:rPr>
          <w:rFonts w:cs="Times New Roman"/>
          <w:color w:val="000000"/>
          <w:sz w:val="24"/>
          <w:szCs w:val="24"/>
        </w:rPr>
        <w:t xml:space="preserve">or is used as an input </w:t>
      </w:r>
      <w:r w:rsidRPr="00395738">
        <w:rPr>
          <w:rFonts w:cs="Times New Roman"/>
          <w:color w:val="000000"/>
          <w:sz w:val="24"/>
          <w:szCs w:val="24"/>
        </w:rPr>
        <w:t xml:space="preserve">in other types of regulations, like those that deal with </w:t>
      </w:r>
      <w:r w:rsidR="00371AF1" w:rsidRPr="00395738">
        <w:rPr>
          <w:rFonts w:cs="Times New Roman"/>
          <w:color w:val="000000"/>
          <w:sz w:val="24"/>
          <w:szCs w:val="24"/>
        </w:rPr>
        <w:t xml:space="preserve">specific </w:t>
      </w:r>
      <w:r w:rsidRPr="00395738">
        <w:rPr>
          <w:rFonts w:cs="Times New Roman"/>
          <w:color w:val="000000"/>
          <w:sz w:val="24"/>
          <w:szCs w:val="24"/>
        </w:rPr>
        <w:t>financial services</w:t>
      </w:r>
      <w:r w:rsidR="008B53D2" w:rsidRPr="00395738">
        <w:rPr>
          <w:rFonts w:cs="Times New Roman"/>
          <w:color w:val="000000"/>
          <w:sz w:val="24"/>
          <w:szCs w:val="24"/>
        </w:rPr>
        <w:t xml:space="preserve"> or specific product </w:t>
      </w:r>
      <w:r w:rsidR="008B53D2" w:rsidRPr="00395738">
        <w:rPr>
          <w:rFonts w:cs="Times New Roman"/>
          <w:color w:val="000000"/>
          <w:sz w:val="24"/>
          <w:szCs w:val="24"/>
        </w:rPr>
        <w:lastRenderedPageBreak/>
        <w:t>categories</w:t>
      </w:r>
      <w:r w:rsidR="00045FFD" w:rsidRPr="00395738">
        <w:rPr>
          <w:rFonts w:cs="Times New Roman"/>
          <w:color w:val="000000"/>
          <w:sz w:val="24"/>
          <w:szCs w:val="24"/>
        </w:rPr>
        <w:t>,</w:t>
      </w:r>
      <w:r w:rsidR="00724BF2" w:rsidRPr="00395738">
        <w:rPr>
          <w:rFonts w:cs="Times New Roman"/>
          <w:color w:val="000000"/>
          <w:sz w:val="24"/>
          <w:szCs w:val="24"/>
        </w:rPr>
        <w:t xml:space="preserve"> or </w:t>
      </w:r>
      <w:r w:rsidR="00045FFD" w:rsidRPr="00395738">
        <w:rPr>
          <w:rFonts w:cs="Times New Roman"/>
          <w:color w:val="000000"/>
          <w:sz w:val="24"/>
          <w:szCs w:val="24"/>
        </w:rPr>
        <w:t xml:space="preserve">with </w:t>
      </w:r>
      <w:r w:rsidR="00724BF2" w:rsidRPr="00395738">
        <w:rPr>
          <w:rFonts w:cs="Times New Roman"/>
          <w:color w:val="000000"/>
          <w:sz w:val="24"/>
          <w:szCs w:val="24"/>
        </w:rPr>
        <w:t>regulatory compliance for consumer protection, among others</w:t>
      </w:r>
      <w:r w:rsidRPr="00395738">
        <w:rPr>
          <w:rFonts w:cs="Times New Roman"/>
          <w:color w:val="000000"/>
          <w:sz w:val="24"/>
          <w:szCs w:val="24"/>
        </w:rPr>
        <w:t>. For example, in the EU the new Mortgage Credit Directive 2014/17/EU encourages the use of credit databases (public and private) for creditworthiness assessment and requires Member States to ensure non-discriminatory access to credit databases. In other cases, credit data is seen as one of the tools that can be included in financial regulation to achieve certain policy objectives.</w:t>
      </w:r>
      <w:r w:rsidRPr="00395738">
        <w:rPr>
          <w:rStyle w:val="FootnoteReference"/>
          <w:rFonts w:cs="Times New Roman"/>
          <w:color w:val="000000"/>
          <w:sz w:val="24"/>
          <w:szCs w:val="24"/>
        </w:rPr>
        <w:footnoteReference w:id="62"/>
      </w:r>
    </w:p>
    <w:p w14:paraId="67A4432A" w14:textId="45247606" w:rsidR="00E27223" w:rsidRPr="00395738" w:rsidRDefault="00AF36F9" w:rsidP="00E27223">
      <w:pPr>
        <w:pStyle w:val="Subtitle"/>
        <w:spacing w:before="480" w:after="240"/>
        <w:rPr>
          <w:rFonts w:asciiTheme="minorHAnsi" w:hAnsiTheme="minorHAnsi"/>
        </w:rPr>
      </w:pPr>
      <w:r w:rsidRPr="00395738">
        <w:rPr>
          <w:rFonts w:asciiTheme="minorHAnsi" w:hAnsiTheme="minorHAnsi"/>
        </w:rPr>
        <w:t xml:space="preserve">V.3 </w:t>
      </w:r>
      <w:r w:rsidR="00E27223" w:rsidRPr="00395738">
        <w:rPr>
          <w:rFonts w:asciiTheme="minorHAnsi" w:hAnsiTheme="minorHAnsi"/>
        </w:rPr>
        <w:t>P</w:t>
      </w:r>
      <w:r w:rsidRPr="00395738">
        <w:rPr>
          <w:rFonts w:asciiTheme="minorHAnsi" w:hAnsiTheme="minorHAnsi"/>
        </w:rPr>
        <w:t xml:space="preserve">roblems that CRSPs face for making available credit data </w:t>
      </w:r>
      <w:r w:rsidR="00E27223" w:rsidRPr="00395738">
        <w:rPr>
          <w:rFonts w:asciiTheme="minorHAnsi" w:hAnsiTheme="minorHAnsi"/>
        </w:rPr>
        <w:t xml:space="preserve">required by regulators, and problems regulators face with regard to being able to effectively use </w:t>
      </w:r>
      <w:r w:rsidR="00045FFD" w:rsidRPr="00395738">
        <w:rPr>
          <w:rFonts w:asciiTheme="minorHAnsi" w:hAnsiTheme="minorHAnsi"/>
        </w:rPr>
        <w:t>this data</w:t>
      </w:r>
    </w:p>
    <w:p w14:paraId="202DEF50" w14:textId="15FFDA0F" w:rsidR="00F52774" w:rsidRPr="00395738" w:rsidRDefault="008779EB" w:rsidP="00F52774">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Where </w:t>
      </w:r>
      <w:r w:rsidR="00F964F8" w:rsidRPr="00395738">
        <w:rPr>
          <w:rFonts w:cs="Times New Roman"/>
          <w:color w:val="000000"/>
          <w:sz w:val="24"/>
          <w:szCs w:val="24"/>
        </w:rPr>
        <w:t xml:space="preserve">credit risk </w:t>
      </w:r>
      <w:r w:rsidR="008B53D2" w:rsidRPr="00395738">
        <w:rPr>
          <w:rFonts w:cs="Times New Roman"/>
          <w:color w:val="000000"/>
          <w:sz w:val="24"/>
          <w:szCs w:val="24"/>
        </w:rPr>
        <w:t>is concerned</w:t>
      </w:r>
      <w:r w:rsidR="00F964F8" w:rsidRPr="00395738">
        <w:rPr>
          <w:rFonts w:cs="Times New Roman"/>
          <w:color w:val="000000"/>
          <w:sz w:val="24"/>
          <w:szCs w:val="24"/>
        </w:rPr>
        <w:t xml:space="preserve">, </w:t>
      </w:r>
      <w:r w:rsidR="008B53D2" w:rsidRPr="00395738">
        <w:rPr>
          <w:rFonts w:cs="Times New Roman"/>
          <w:color w:val="000000"/>
          <w:sz w:val="24"/>
          <w:szCs w:val="24"/>
        </w:rPr>
        <w:t>whil</w:t>
      </w:r>
      <w:r w:rsidRPr="00395738">
        <w:rPr>
          <w:rFonts w:cs="Times New Roman"/>
          <w:color w:val="000000"/>
          <w:sz w:val="24"/>
          <w:szCs w:val="24"/>
        </w:rPr>
        <w:t>st</w:t>
      </w:r>
      <w:r w:rsidR="008B53D2" w:rsidRPr="00395738">
        <w:rPr>
          <w:rFonts w:cs="Times New Roman"/>
          <w:color w:val="000000"/>
          <w:sz w:val="24"/>
          <w:szCs w:val="24"/>
        </w:rPr>
        <w:t xml:space="preserve"> the types of </w:t>
      </w:r>
      <w:r w:rsidR="008B53D2" w:rsidRPr="00395738">
        <w:rPr>
          <w:rFonts w:cs="Times New Roman"/>
          <w:i/>
          <w:color w:val="000000"/>
          <w:sz w:val="24"/>
          <w:szCs w:val="24"/>
        </w:rPr>
        <w:t xml:space="preserve">analytical tasks </w:t>
      </w:r>
      <w:r w:rsidR="008B53D2" w:rsidRPr="00395738">
        <w:rPr>
          <w:rFonts w:cs="Times New Roman"/>
          <w:color w:val="000000"/>
          <w:sz w:val="24"/>
          <w:szCs w:val="24"/>
        </w:rPr>
        <w:t xml:space="preserve">performed by regulators, micro-prudential supervisors and macro-prudential authorities will differ due to the specificity of their respective duties and responsibilities, </w:t>
      </w:r>
      <w:r w:rsidR="00F964F8" w:rsidRPr="00395738">
        <w:rPr>
          <w:rFonts w:cs="Times New Roman"/>
          <w:color w:val="000000"/>
          <w:sz w:val="24"/>
          <w:szCs w:val="24"/>
        </w:rPr>
        <w:t>t</w:t>
      </w:r>
      <w:r w:rsidR="00E27223" w:rsidRPr="00395738">
        <w:rPr>
          <w:rFonts w:cs="Times New Roman"/>
          <w:color w:val="000000"/>
          <w:sz w:val="24"/>
          <w:szCs w:val="24"/>
        </w:rPr>
        <w:t xml:space="preserve">he underlying </w:t>
      </w:r>
      <w:r w:rsidR="00E27223" w:rsidRPr="00395738">
        <w:rPr>
          <w:rFonts w:cs="Times New Roman"/>
          <w:i/>
          <w:color w:val="000000"/>
          <w:sz w:val="24"/>
          <w:szCs w:val="24"/>
        </w:rPr>
        <w:t>credit data items</w:t>
      </w:r>
      <w:r w:rsidR="00E27223" w:rsidRPr="00395738">
        <w:rPr>
          <w:rFonts w:cs="Times New Roman"/>
          <w:color w:val="000000"/>
          <w:sz w:val="24"/>
          <w:szCs w:val="24"/>
        </w:rPr>
        <w:t xml:space="preserve"> </w:t>
      </w:r>
      <w:r w:rsidR="008B53D2" w:rsidRPr="00395738">
        <w:rPr>
          <w:rFonts w:cs="Times New Roman"/>
          <w:color w:val="000000"/>
          <w:sz w:val="24"/>
          <w:szCs w:val="24"/>
        </w:rPr>
        <w:t xml:space="preserve">used in all such analyses are </w:t>
      </w:r>
      <w:r w:rsidR="00F964F8" w:rsidRPr="00395738">
        <w:rPr>
          <w:rFonts w:cs="Times New Roman"/>
          <w:color w:val="000000"/>
          <w:sz w:val="24"/>
          <w:szCs w:val="24"/>
        </w:rPr>
        <w:t xml:space="preserve">in </w:t>
      </w:r>
      <w:r w:rsidR="008B53D2" w:rsidRPr="00395738">
        <w:rPr>
          <w:rFonts w:cs="Times New Roman"/>
          <w:color w:val="000000"/>
          <w:sz w:val="24"/>
          <w:szCs w:val="24"/>
        </w:rPr>
        <w:t>essence the same.</w:t>
      </w:r>
      <w:r w:rsidR="00F52774" w:rsidRPr="00395738">
        <w:rPr>
          <w:rFonts w:cs="Times New Roman"/>
          <w:color w:val="000000"/>
          <w:sz w:val="24"/>
          <w:szCs w:val="24"/>
        </w:rPr>
        <w:t xml:space="preserve"> More specifically, for regulation-making purposes in the micro-prudential environment, regulators are interested in </w:t>
      </w:r>
      <w:r w:rsidR="008B53D2" w:rsidRPr="00395738">
        <w:rPr>
          <w:rFonts w:cs="Times New Roman"/>
          <w:color w:val="000000"/>
          <w:sz w:val="24"/>
          <w:szCs w:val="24"/>
        </w:rPr>
        <w:t>basic</w:t>
      </w:r>
      <w:r w:rsidR="00F52774" w:rsidRPr="00395738">
        <w:rPr>
          <w:rFonts w:cs="Times New Roman"/>
          <w:color w:val="000000"/>
          <w:sz w:val="24"/>
          <w:szCs w:val="24"/>
        </w:rPr>
        <w:t xml:space="preserve">ally the same credit data items </w:t>
      </w:r>
      <w:r w:rsidR="008B53D2" w:rsidRPr="00395738">
        <w:rPr>
          <w:rFonts w:cs="Times New Roman"/>
          <w:color w:val="000000"/>
          <w:sz w:val="24"/>
          <w:szCs w:val="24"/>
        </w:rPr>
        <w:t>as</w:t>
      </w:r>
      <w:r w:rsidR="00F52774" w:rsidRPr="00395738">
        <w:rPr>
          <w:rFonts w:cs="Times New Roman"/>
          <w:color w:val="000000"/>
          <w:sz w:val="24"/>
          <w:szCs w:val="24"/>
        </w:rPr>
        <w:t xml:space="preserve"> micro-prudential supervisors. Likewise, for regulations intended to tackle macro-prudential aspects with regard to credit risks, the underlying credit data items needed by regulators are practically the same as those used by macro-prudential authorities when performing their analyses.</w:t>
      </w:r>
      <w:r w:rsidR="008B53D2" w:rsidRPr="00395738">
        <w:rPr>
          <w:rStyle w:val="FootnoteReference"/>
          <w:rFonts w:cs="Times New Roman"/>
          <w:color w:val="000000"/>
          <w:sz w:val="24"/>
          <w:szCs w:val="24"/>
        </w:rPr>
        <w:footnoteReference w:id="63"/>
      </w:r>
    </w:p>
    <w:p w14:paraId="01819015" w14:textId="1A4134F0" w:rsidR="00E55527" w:rsidRPr="00395738" w:rsidRDefault="00F52774" w:rsidP="00045FFD">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A</w:t>
      </w:r>
      <w:r w:rsidR="00EC35F2" w:rsidRPr="00395738">
        <w:rPr>
          <w:rFonts w:cs="Times New Roman"/>
          <w:color w:val="000000"/>
          <w:sz w:val="24"/>
          <w:szCs w:val="24"/>
        </w:rPr>
        <w:t>s a result</w:t>
      </w:r>
      <w:r w:rsidRPr="00395738">
        <w:rPr>
          <w:rFonts w:cs="Times New Roman"/>
          <w:color w:val="000000"/>
          <w:sz w:val="24"/>
          <w:szCs w:val="24"/>
        </w:rPr>
        <w:t xml:space="preserve"> of these similarities</w:t>
      </w:r>
      <w:r w:rsidR="00EC35F2" w:rsidRPr="00395738">
        <w:rPr>
          <w:rFonts w:cs="Times New Roman"/>
          <w:color w:val="000000"/>
          <w:sz w:val="24"/>
          <w:szCs w:val="24"/>
        </w:rPr>
        <w:t>, t</w:t>
      </w:r>
      <w:r w:rsidR="00E27223" w:rsidRPr="00395738">
        <w:rPr>
          <w:rFonts w:cs="Times New Roman"/>
          <w:color w:val="000000"/>
          <w:sz w:val="24"/>
          <w:szCs w:val="24"/>
        </w:rPr>
        <w:t xml:space="preserve">he </w:t>
      </w:r>
      <w:r w:rsidRPr="00395738">
        <w:rPr>
          <w:rFonts w:cs="Times New Roman"/>
          <w:color w:val="000000"/>
          <w:sz w:val="24"/>
          <w:szCs w:val="24"/>
        </w:rPr>
        <w:t xml:space="preserve">typical </w:t>
      </w:r>
      <w:r w:rsidR="00E27223" w:rsidRPr="00395738">
        <w:rPr>
          <w:rFonts w:cs="Times New Roman"/>
          <w:color w:val="000000"/>
          <w:sz w:val="24"/>
          <w:szCs w:val="24"/>
        </w:rPr>
        <w:t xml:space="preserve">problems </w:t>
      </w:r>
      <w:r w:rsidRPr="00395738">
        <w:rPr>
          <w:rFonts w:cs="Times New Roman"/>
          <w:color w:val="000000"/>
          <w:sz w:val="24"/>
          <w:szCs w:val="24"/>
        </w:rPr>
        <w:t xml:space="preserve">that </w:t>
      </w:r>
      <w:r w:rsidR="00EC35F2" w:rsidRPr="00395738">
        <w:rPr>
          <w:rFonts w:cs="Times New Roman"/>
          <w:color w:val="000000"/>
          <w:sz w:val="24"/>
          <w:szCs w:val="24"/>
        </w:rPr>
        <w:t xml:space="preserve">CRSPs face </w:t>
      </w:r>
      <w:r w:rsidRPr="00395738">
        <w:rPr>
          <w:rFonts w:cs="Times New Roman"/>
          <w:color w:val="000000"/>
          <w:sz w:val="24"/>
          <w:szCs w:val="24"/>
        </w:rPr>
        <w:t xml:space="preserve">to </w:t>
      </w:r>
      <w:r w:rsidR="00EC35F2" w:rsidRPr="00395738">
        <w:rPr>
          <w:rFonts w:cs="Times New Roman"/>
          <w:color w:val="000000"/>
          <w:sz w:val="24"/>
          <w:szCs w:val="24"/>
        </w:rPr>
        <w:t xml:space="preserve">make available the necessary </w:t>
      </w:r>
      <w:r w:rsidRPr="00395738">
        <w:rPr>
          <w:rFonts w:cs="Times New Roman"/>
          <w:color w:val="000000"/>
          <w:sz w:val="24"/>
          <w:szCs w:val="24"/>
        </w:rPr>
        <w:t xml:space="preserve">data for micro and macro-prudential supervision and which </w:t>
      </w:r>
      <w:r w:rsidR="00EC35F2" w:rsidRPr="00395738">
        <w:rPr>
          <w:rFonts w:cs="Times New Roman"/>
          <w:color w:val="000000"/>
          <w:sz w:val="24"/>
          <w:szCs w:val="24"/>
        </w:rPr>
        <w:t xml:space="preserve">were identified </w:t>
      </w:r>
      <w:r w:rsidRPr="00395738">
        <w:rPr>
          <w:rFonts w:cs="Times New Roman"/>
          <w:color w:val="000000"/>
          <w:sz w:val="24"/>
          <w:szCs w:val="24"/>
        </w:rPr>
        <w:t xml:space="preserve">respectively </w:t>
      </w:r>
      <w:r w:rsidR="00EC35F2" w:rsidRPr="00395738">
        <w:rPr>
          <w:rFonts w:cs="Times New Roman"/>
          <w:color w:val="000000"/>
          <w:sz w:val="24"/>
          <w:szCs w:val="24"/>
        </w:rPr>
        <w:t>in sections III.3 and IV.3</w:t>
      </w:r>
      <w:r w:rsidRPr="00395738">
        <w:rPr>
          <w:rFonts w:cs="Times New Roman"/>
          <w:color w:val="000000"/>
          <w:sz w:val="24"/>
          <w:szCs w:val="24"/>
        </w:rPr>
        <w:t xml:space="preserve"> are also applicable to the case of financial sector regulators</w:t>
      </w:r>
      <w:r w:rsidR="00EC35F2" w:rsidRPr="00395738">
        <w:rPr>
          <w:rFonts w:cs="Times New Roman"/>
          <w:color w:val="000000"/>
          <w:sz w:val="24"/>
          <w:szCs w:val="24"/>
        </w:rPr>
        <w:t xml:space="preserve">. So are the legal, operational and other problems that prevent </w:t>
      </w:r>
      <w:r w:rsidRPr="00395738">
        <w:rPr>
          <w:rFonts w:cs="Times New Roman"/>
          <w:color w:val="000000"/>
          <w:sz w:val="24"/>
          <w:szCs w:val="24"/>
        </w:rPr>
        <w:t xml:space="preserve">micro- </w:t>
      </w:r>
      <w:r w:rsidRPr="00395738">
        <w:rPr>
          <w:rFonts w:cs="Times New Roman"/>
          <w:color w:val="000000"/>
          <w:sz w:val="24"/>
          <w:szCs w:val="24"/>
        </w:rPr>
        <w:lastRenderedPageBreak/>
        <w:t xml:space="preserve">and macro-prudential authorities </w:t>
      </w:r>
      <w:r w:rsidR="00FA733A" w:rsidRPr="00395738">
        <w:rPr>
          <w:rFonts w:cs="Times New Roman"/>
          <w:color w:val="000000"/>
          <w:sz w:val="24"/>
          <w:szCs w:val="24"/>
        </w:rPr>
        <w:t>from being able to use credit data available in CRSPs effective</w:t>
      </w:r>
      <w:r w:rsidR="009D44A5" w:rsidRPr="00395738">
        <w:rPr>
          <w:rFonts w:cs="Times New Roman"/>
          <w:color w:val="000000"/>
          <w:sz w:val="24"/>
          <w:szCs w:val="24"/>
        </w:rPr>
        <w:t>ly</w:t>
      </w:r>
      <w:r w:rsidRPr="00395738">
        <w:rPr>
          <w:rFonts w:cs="Times New Roman"/>
          <w:color w:val="000000"/>
          <w:sz w:val="24"/>
          <w:szCs w:val="24"/>
        </w:rPr>
        <w:t xml:space="preserve"> and which were identified in sections I</w:t>
      </w:r>
      <w:r w:rsidR="00045FFD" w:rsidRPr="00395738">
        <w:rPr>
          <w:rFonts w:cs="Times New Roman"/>
          <w:color w:val="000000"/>
          <w:sz w:val="24"/>
          <w:szCs w:val="24"/>
        </w:rPr>
        <w:t>II</w:t>
      </w:r>
      <w:r w:rsidRPr="00395738">
        <w:rPr>
          <w:rFonts w:cs="Times New Roman"/>
          <w:color w:val="000000"/>
          <w:sz w:val="24"/>
          <w:szCs w:val="24"/>
        </w:rPr>
        <w:t>.</w:t>
      </w:r>
      <w:r w:rsidR="00E55527" w:rsidRPr="00395738">
        <w:rPr>
          <w:rFonts w:cs="Times New Roman"/>
          <w:color w:val="000000"/>
          <w:sz w:val="24"/>
          <w:szCs w:val="24"/>
        </w:rPr>
        <w:t>4</w:t>
      </w:r>
      <w:r w:rsidRPr="00395738">
        <w:rPr>
          <w:rFonts w:cs="Times New Roman"/>
          <w:color w:val="000000"/>
          <w:sz w:val="24"/>
          <w:szCs w:val="24"/>
        </w:rPr>
        <w:t xml:space="preserve"> and IV.4 of this report</w:t>
      </w:r>
      <w:r w:rsidR="00FA733A" w:rsidRPr="00395738">
        <w:rPr>
          <w:rFonts w:cs="Times New Roman"/>
          <w:color w:val="000000"/>
          <w:sz w:val="24"/>
          <w:szCs w:val="24"/>
        </w:rPr>
        <w:t xml:space="preserve">. </w:t>
      </w:r>
    </w:p>
    <w:p w14:paraId="3CBB7F70" w14:textId="5298A537" w:rsidR="00E55527" w:rsidRPr="00395738" w:rsidRDefault="00F52774" w:rsidP="009C7844">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Both types of problems therefore do not merit additional discussion in this chapter. </w:t>
      </w:r>
      <w:r w:rsidR="00E55527" w:rsidRPr="00395738">
        <w:rPr>
          <w:rFonts w:cs="Times New Roman"/>
          <w:color w:val="000000"/>
          <w:sz w:val="24"/>
          <w:szCs w:val="24"/>
        </w:rPr>
        <w:t>It is nevertheless worth emphasizing that for financial sector regulation-making, as it has already been identified for micro and macro-prudential supervision, there is an ever</w:t>
      </w:r>
      <w:r w:rsidR="008779EB" w:rsidRPr="00395738">
        <w:rPr>
          <w:rFonts w:cs="Times New Roman"/>
          <w:color w:val="000000"/>
          <w:sz w:val="24"/>
          <w:szCs w:val="24"/>
        </w:rPr>
        <w:t xml:space="preserve"> </w:t>
      </w:r>
      <w:r w:rsidR="00E55527" w:rsidRPr="00395738">
        <w:rPr>
          <w:rFonts w:cs="Times New Roman"/>
          <w:color w:val="000000"/>
          <w:sz w:val="24"/>
          <w:szCs w:val="24"/>
        </w:rPr>
        <w:t xml:space="preserve">growing need for granular data </w:t>
      </w:r>
      <w:r w:rsidR="000C6CD7" w:rsidRPr="00395738">
        <w:rPr>
          <w:rFonts w:cs="Times New Roman"/>
          <w:color w:val="000000"/>
          <w:sz w:val="24"/>
          <w:szCs w:val="24"/>
        </w:rPr>
        <w:t xml:space="preserve">on the one hand, and </w:t>
      </w:r>
      <w:r w:rsidR="00E06841" w:rsidRPr="00395738">
        <w:rPr>
          <w:rFonts w:cs="Times New Roman"/>
          <w:color w:val="000000"/>
          <w:sz w:val="24"/>
          <w:szCs w:val="24"/>
        </w:rPr>
        <w:t xml:space="preserve">on the other </w:t>
      </w:r>
      <w:r w:rsidR="000C6CD7" w:rsidRPr="00395738">
        <w:rPr>
          <w:rFonts w:cs="Times New Roman"/>
          <w:color w:val="000000"/>
          <w:sz w:val="24"/>
          <w:szCs w:val="24"/>
        </w:rPr>
        <w:t>for data that allows analyzing lending activities from a systemic perspective</w:t>
      </w:r>
      <w:r w:rsidR="00105778" w:rsidRPr="00395738">
        <w:rPr>
          <w:rFonts w:cs="Times New Roman"/>
          <w:color w:val="000000"/>
          <w:sz w:val="24"/>
          <w:szCs w:val="24"/>
        </w:rPr>
        <w:t>, both types requiring more frequent updating</w:t>
      </w:r>
      <w:r w:rsidR="00045FFD" w:rsidRPr="00395738">
        <w:rPr>
          <w:rFonts w:cs="Times New Roman"/>
          <w:color w:val="000000"/>
          <w:sz w:val="24"/>
          <w:szCs w:val="24"/>
        </w:rPr>
        <w:t xml:space="preserve"> of data</w:t>
      </w:r>
      <w:r w:rsidR="00E06841" w:rsidRPr="00395738">
        <w:rPr>
          <w:rFonts w:cs="Times New Roman"/>
          <w:color w:val="000000"/>
          <w:sz w:val="24"/>
          <w:szCs w:val="24"/>
        </w:rPr>
        <w:t>. In addition, there is a</w:t>
      </w:r>
      <w:r w:rsidR="00E55527" w:rsidRPr="00395738">
        <w:rPr>
          <w:rFonts w:cs="Times New Roman"/>
          <w:color w:val="000000"/>
          <w:sz w:val="24"/>
          <w:szCs w:val="24"/>
        </w:rPr>
        <w:t xml:space="preserve"> requirement to be able to use all </w:t>
      </w:r>
      <w:r w:rsidR="00E06841" w:rsidRPr="00395738">
        <w:rPr>
          <w:rFonts w:cs="Times New Roman"/>
          <w:color w:val="000000"/>
          <w:sz w:val="24"/>
          <w:szCs w:val="24"/>
        </w:rPr>
        <w:t xml:space="preserve">such </w:t>
      </w:r>
      <w:r w:rsidR="00E55527" w:rsidRPr="00395738">
        <w:rPr>
          <w:rFonts w:cs="Times New Roman"/>
          <w:color w:val="000000"/>
          <w:sz w:val="24"/>
          <w:szCs w:val="24"/>
        </w:rPr>
        <w:t>data with unprecedented levels of flexibility</w:t>
      </w:r>
      <w:r w:rsidR="00DC287B" w:rsidRPr="00395738">
        <w:rPr>
          <w:rFonts w:cs="Times New Roman"/>
          <w:color w:val="000000"/>
          <w:sz w:val="24"/>
          <w:szCs w:val="24"/>
        </w:rPr>
        <w:t xml:space="preserve"> and of break down possibilities</w:t>
      </w:r>
      <w:r w:rsidR="009D44A5" w:rsidRPr="00395738">
        <w:rPr>
          <w:rFonts w:cs="Times New Roman"/>
          <w:color w:val="000000"/>
          <w:sz w:val="24"/>
          <w:szCs w:val="24"/>
        </w:rPr>
        <w:t>, like for the calibration of regulations and other policy instruments and tools</w:t>
      </w:r>
      <w:r w:rsidR="00E55527" w:rsidRPr="00395738">
        <w:rPr>
          <w:rFonts w:cs="Times New Roman"/>
          <w:color w:val="000000"/>
          <w:sz w:val="24"/>
          <w:szCs w:val="24"/>
        </w:rPr>
        <w:t xml:space="preserve">. </w:t>
      </w:r>
      <w:r w:rsidR="009D44A5" w:rsidRPr="00395738">
        <w:rPr>
          <w:rFonts w:cs="Times New Roman"/>
          <w:color w:val="000000"/>
          <w:sz w:val="24"/>
          <w:szCs w:val="24"/>
        </w:rPr>
        <w:t>Hence, w</w:t>
      </w:r>
      <w:r w:rsidR="00341603" w:rsidRPr="00395738">
        <w:rPr>
          <w:rFonts w:cs="Times New Roman"/>
          <w:color w:val="000000"/>
          <w:sz w:val="24"/>
          <w:szCs w:val="24"/>
        </w:rPr>
        <w:t xml:space="preserve">hile already important in many jurisdictions, the prominence of </w:t>
      </w:r>
      <w:r w:rsidR="00E55527" w:rsidRPr="00395738">
        <w:rPr>
          <w:rFonts w:cs="Times New Roman"/>
          <w:color w:val="000000"/>
          <w:sz w:val="24"/>
          <w:szCs w:val="24"/>
        </w:rPr>
        <w:t>CR</w:t>
      </w:r>
      <w:r w:rsidR="00341603" w:rsidRPr="00395738">
        <w:rPr>
          <w:rFonts w:cs="Times New Roman"/>
          <w:color w:val="000000"/>
          <w:sz w:val="24"/>
          <w:szCs w:val="24"/>
        </w:rPr>
        <w:t>s, CBs and CCRCs in fulfilling these needs can only be expected to increase</w:t>
      </w:r>
      <w:r w:rsidR="00E55527" w:rsidRPr="00395738">
        <w:rPr>
          <w:rFonts w:cs="Times New Roman"/>
          <w:color w:val="000000"/>
          <w:sz w:val="24"/>
          <w:szCs w:val="24"/>
        </w:rPr>
        <w:t xml:space="preserve">. </w:t>
      </w:r>
    </w:p>
    <w:p w14:paraId="70CB8EA7" w14:textId="4C2C80FF" w:rsidR="00FB0A84" w:rsidRPr="00395738" w:rsidRDefault="00FB0A84">
      <w:pPr>
        <w:rPr>
          <w:rFonts w:ascii="Times New Roman" w:hAnsi="Times New Roman" w:cs="Times New Roman"/>
        </w:rPr>
      </w:pPr>
      <w:r w:rsidRPr="00395738">
        <w:rPr>
          <w:rFonts w:ascii="Times New Roman" w:hAnsi="Times New Roman" w:cs="Times New Roman"/>
        </w:rPr>
        <w:br w:type="page"/>
      </w:r>
    </w:p>
    <w:p w14:paraId="408BD4A8" w14:textId="00569930" w:rsidR="00BA644D" w:rsidRPr="00395738" w:rsidRDefault="00D02245" w:rsidP="00FB0A84">
      <w:pPr>
        <w:pStyle w:val="Heading1"/>
        <w:numPr>
          <w:ilvl w:val="0"/>
          <w:numId w:val="2"/>
        </w:numPr>
        <w:spacing w:after="480"/>
      </w:pPr>
      <w:bookmarkStart w:id="7" w:name="_Toc427686027"/>
      <w:r w:rsidRPr="00395738">
        <w:lastRenderedPageBreak/>
        <w:t>Conclu</w:t>
      </w:r>
      <w:r w:rsidR="0021353F" w:rsidRPr="00395738">
        <w:t>ding Remarks, Trends and Key Challenges</w:t>
      </w:r>
      <w:bookmarkEnd w:id="7"/>
    </w:p>
    <w:p w14:paraId="0B0986B1" w14:textId="1A378DF9" w:rsidR="00644250" w:rsidRPr="00395738" w:rsidRDefault="00337CD1" w:rsidP="00EC272F">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The </w:t>
      </w:r>
      <w:r w:rsidR="005D1505" w:rsidRPr="00395738">
        <w:rPr>
          <w:rFonts w:cs="Times New Roman"/>
          <w:color w:val="000000"/>
          <w:sz w:val="24"/>
          <w:szCs w:val="24"/>
        </w:rPr>
        <w:t xml:space="preserve">main </w:t>
      </w:r>
      <w:r w:rsidRPr="00395738">
        <w:rPr>
          <w:rFonts w:cs="Times New Roman"/>
          <w:color w:val="000000"/>
          <w:sz w:val="24"/>
          <w:szCs w:val="24"/>
        </w:rPr>
        <w:t xml:space="preserve">purpose of this report has been to </w:t>
      </w:r>
      <w:r w:rsidR="00A37507" w:rsidRPr="00395738">
        <w:rPr>
          <w:rFonts w:cs="Times New Roman"/>
          <w:color w:val="000000"/>
          <w:sz w:val="24"/>
          <w:szCs w:val="24"/>
        </w:rPr>
        <w:t xml:space="preserve">discuss </w:t>
      </w:r>
      <w:r w:rsidR="000215F2" w:rsidRPr="00395738">
        <w:rPr>
          <w:rFonts w:cs="Times New Roman"/>
          <w:color w:val="000000"/>
          <w:sz w:val="24"/>
          <w:szCs w:val="24"/>
        </w:rPr>
        <w:t xml:space="preserve">the ways in which </w:t>
      </w:r>
      <w:r w:rsidRPr="00395738">
        <w:rPr>
          <w:rFonts w:cs="Times New Roman"/>
          <w:color w:val="000000"/>
          <w:sz w:val="24"/>
          <w:szCs w:val="24"/>
        </w:rPr>
        <w:t xml:space="preserve">credit reporting </w:t>
      </w:r>
      <w:r w:rsidR="000215F2" w:rsidRPr="00395738">
        <w:rPr>
          <w:rFonts w:cs="Times New Roman"/>
          <w:color w:val="000000"/>
          <w:sz w:val="24"/>
          <w:szCs w:val="24"/>
        </w:rPr>
        <w:t xml:space="preserve">systems </w:t>
      </w:r>
      <w:r w:rsidRPr="00395738">
        <w:rPr>
          <w:rFonts w:cs="Times New Roman"/>
          <w:color w:val="000000"/>
          <w:sz w:val="24"/>
          <w:szCs w:val="24"/>
        </w:rPr>
        <w:t>support financial sector regulation and supervision</w:t>
      </w:r>
      <w:r w:rsidR="00F55DC9" w:rsidRPr="00395738">
        <w:rPr>
          <w:rFonts w:cs="Times New Roman"/>
          <w:color w:val="000000"/>
          <w:sz w:val="24"/>
          <w:szCs w:val="24"/>
        </w:rPr>
        <w:t xml:space="preserve">. Special emphasis has been placed </w:t>
      </w:r>
      <w:r w:rsidRPr="00395738">
        <w:rPr>
          <w:rFonts w:cs="Times New Roman"/>
          <w:color w:val="000000"/>
          <w:sz w:val="24"/>
          <w:szCs w:val="24"/>
        </w:rPr>
        <w:t xml:space="preserve">on the potential difficulties </w:t>
      </w:r>
      <w:r w:rsidR="005D1505" w:rsidRPr="00395738">
        <w:rPr>
          <w:rFonts w:cs="Times New Roman"/>
          <w:color w:val="000000"/>
          <w:sz w:val="24"/>
          <w:szCs w:val="24"/>
        </w:rPr>
        <w:t xml:space="preserve">that </w:t>
      </w:r>
      <w:r w:rsidRPr="00395738">
        <w:rPr>
          <w:rFonts w:cs="Times New Roman"/>
          <w:color w:val="000000"/>
          <w:sz w:val="24"/>
          <w:szCs w:val="24"/>
        </w:rPr>
        <w:t>CRSPs may face in satisfying the respective data needs of financial supervisors</w:t>
      </w:r>
      <w:r w:rsidR="000431C0" w:rsidRPr="00395738">
        <w:rPr>
          <w:rFonts w:cs="Times New Roman"/>
          <w:color w:val="000000"/>
          <w:sz w:val="24"/>
          <w:szCs w:val="24"/>
        </w:rPr>
        <w:t xml:space="preserve">, regulators </w:t>
      </w:r>
      <w:r w:rsidRPr="00395738">
        <w:rPr>
          <w:rFonts w:cs="Times New Roman"/>
          <w:color w:val="000000"/>
          <w:sz w:val="24"/>
          <w:szCs w:val="24"/>
        </w:rPr>
        <w:t>and other authorities</w:t>
      </w:r>
      <w:r w:rsidR="000431C0" w:rsidRPr="00395738">
        <w:rPr>
          <w:rFonts w:cs="Times New Roman"/>
          <w:color w:val="000000"/>
          <w:sz w:val="24"/>
          <w:szCs w:val="24"/>
        </w:rPr>
        <w:t xml:space="preserve"> </w:t>
      </w:r>
      <w:r w:rsidR="005D1505" w:rsidRPr="00395738">
        <w:rPr>
          <w:rFonts w:cs="Times New Roman"/>
          <w:color w:val="000000"/>
          <w:sz w:val="24"/>
          <w:szCs w:val="24"/>
        </w:rPr>
        <w:t xml:space="preserve">with financial stability responsibilities </w:t>
      </w:r>
      <w:r w:rsidR="000431C0" w:rsidRPr="00395738">
        <w:rPr>
          <w:rFonts w:cs="Times New Roman"/>
          <w:color w:val="000000"/>
          <w:sz w:val="24"/>
          <w:szCs w:val="24"/>
        </w:rPr>
        <w:t>(referred to collectively as “financial sector authorities” in the remainder of this report)</w:t>
      </w:r>
      <w:r w:rsidR="00BC0D34" w:rsidRPr="00395738">
        <w:rPr>
          <w:rFonts w:cs="Times New Roman"/>
          <w:color w:val="000000"/>
          <w:sz w:val="24"/>
          <w:szCs w:val="24"/>
        </w:rPr>
        <w:t>,</w:t>
      </w:r>
      <w:r w:rsidR="00F55DC9" w:rsidRPr="00395738">
        <w:rPr>
          <w:rFonts w:cs="Times New Roman"/>
          <w:color w:val="000000"/>
          <w:sz w:val="24"/>
          <w:szCs w:val="24"/>
        </w:rPr>
        <w:t xml:space="preserve"> and the potential problems th</w:t>
      </w:r>
      <w:r w:rsidR="000215F2" w:rsidRPr="00395738">
        <w:rPr>
          <w:rFonts w:cs="Times New Roman"/>
          <w:color w:val="000000"/>
          <w:sz w:val="24"/>
          <w:szCs w:val="24"/>
        </w:rPr>
        <w:t xml:space="preserve">at </w:t>
      </w:r>
      <w:r w:rsidR="009C139A" w:rsidRPr="00395738">
        <w:rPr>
          <w:rFonts w:cs="Times New Roman"/>
          <w:color w:val="000000"/>
          <w:sz w:val="24"/>
          <w:szCs w:val="24"/>
        </w:rPr>
        <w:t>all such authorities m</w:t>
      </w:r>
      <w:r w:rsidR="00F55DC9" w:rsidRPr="00395738">
        <w:rPr>
          <w:rFonts w:cs="Times New Roman"/>
          <w:color w:val="000000"/>
          <w:sz w:val="24"/>
          <w:szCs w:val="24"/>
        </w:rPr>
        <w:t xml:space="preserve">ay </w:t>
      </w:r>
      <w:r w:rsidR="00801AEB" w:rsidRPr="00395738">
        <w:rPr>
          <w:rFonts w:cs="Times New Roman"/>
          <w:color w:val="000000"/>
          <w:sz w:val="24"/>
          <w:szCs w:val="24"/>
        </w:rPr>
        <w:t xml:space="preserve">encounter to be </w:t>
      </w:r>
      <w:r w:rsidR="00F55DC9" w:rsidRPr="00395738">
        <w:rPr>
          <w:rFonts w:cs="Times New Roman"/>
          <w:color w:val="000000"/>
          <w:sz w:val="24"/>
          <w:szCs w:val="24"/>
        </w:rPr>
        <w:t>able to use available data in an effective manner</w:t>
      </w:r>
      <w:r w:rsidRPr="00395738">
        <w:rPr>
          <w:rFonts w:cs="Times New Roman"/>
          <w:color w:val="000000"/>
          <w:sz w:val="24"/>
          <w:szCs w:val="24"/>
        </w:rPr>
        <w:t>.</w:t>
      </w:r>
      <w:r w:rsidR="0021353F" w:rsidRPr="00395738">
        <w:rPr>
          <w:rFonts w:cs="Times New Roman"/>
          <w:color w:val="000000"/>
          <w:sz w:val="24"/>
          <w:szCs w:val="24"/>
        </w:rPr>
        <w:t xml:space="preserve"> </w:t>
      </w:r>
    </w:p>
    <w:p w14:paraId="77BF9A1F" w14:textId="7AA0F31D" w:rsidR="0021353F" w:rsidRPr="00395738" w:rsidRDefault="0021353F" w:rsidP="00C94698">
      <w:pPr>
        <w:pStyle w:val="ListParagraph"/>
        <w:numPr>
          <w:ilvl w:val="0"/>
          <w:numId w:val="1"/>
        </w:numPr>
        <w:autoSpaceDE w:val="0"/>
        <w:autoSpaceDN w:val="0"/>
        <w:adjustRightInd w:val="0"/>
        <w:spacing w:after="240" w:line="360" w:lineRule="auto"/>
        <w:contextualSpacing w:val="0"/>
        <w:jc w:val="both"/>
        <w:rPr>
          <w:rFonts w:cs="Times New Roman"/>
          <w:color w:val="000000"/>
          <w:sz w:val="24"/>
          <w:szCs w:val="24"/>
        </w:rPr>
      </w:pPr>
      <w:r w:rsidRPr="00395738">
        <w:rPr>
          <w:rFonts w:cs="Times New Roman"/>
          <w:color w:val="000000"/>
          <w:sz w:val="24"/>
          <w:szCs w:val="24"/>
        </w:rPr>
        <w:t xml:space="preserve">This </w:t>
      </w:r>
      <w:r w:rsidR="000215F2" w:rsidRPr="00395738">
        <w:rPr>
          <w:rFonts w:cs="Times New Roman"/>
          <w:color w:val="000000"/>
          <w:sz w:val="24"/>
          <w:szCs w:val="24"/>
        </w:rPr>
        <w:t xml:space="preserve">concluding </w:t>
      </w:r>
      <w:r w:rsidRPr="00395738">
        <w:rPr>
          <w:rFonts w:cs="Times New Roman"/>
          <w:color w:val="000000"/>
          <w:sz w:val="24"/>
          <w:szCs w:val="24"/>
        </w:rPr>
        <w:t xml:space="preserve">chapter summarizes the key trends being observed in credit reporting activities in connection with the provision of data to financial sector authorities, and identifies the key challenges associated with each of those trends. A number of actions to face these challenges is also proposed. </w:t>
      </w:r>
      <w:r w:rsidR="009C139A" w:rsidRPr="00395738">
        <w:rPr>
          <w:rFonts w:cs="Times New Roman"/>
          <w:color w:val="000000"/>
          <w:sz w:val="24"/>
          <w:szCs w:val="24"/>
        </w:rPr>
        <w:t xml:space="preserve">At a more general level, </w:t>
      </w:r>
      <w:r w:rsidRPr="00395738">
        <w:rPr>
          <w:rFonts w:cs="Times New Roman"/>
          <w:color w:val="000000"/>
          <w:sz w:val="24"/>
          <w:szCs w:val="24"/>
        </w:rPr>
        <w:t>the G</w:t>
      </w:r>
      <w:r w:rsidR="009C139A" w:rsidRPr="00395738">
        <w:rPr>
          <w:rFonts w:cs="Times New Roman"/>
          <w:color w:val="000000"/>
          <w:sz w:val="24"/>
          <w:szCs w:val="24"/>
        </w:rPr>
        <w:t xml:space="preserve">PCR </w:t>
      </w:r>
      <w:r w:rsidRPr="00395738">
        <w:rPr>
          <w:rFonts w:cs="Times New Roman"/>
          <w:color w:val="000000"/>
          <w:sz w:val="24"/>
          <w:szCs w:val="24"/>
        </w:rPr>
        <w:t xml:space="preserve">can be used to determine whether the national credit reporting system </w:t>
      </w:r>
      <w:r w:rsidR="009C139A" w:rsidRPr="00395738">
        <w:rPr>
          <w:rFonts w:cs="Times New Roman"/>
          <w:color w:val="000000"/>
          <w:sz w:val="24"/>
          <w:szCs w:val="24"/>
        </w:rPr>
        <w:t xml:space="preserve">possesses all the essential features </w:t>
      </w:r>
      <w:r w:rsidR="00801AEB" w:rsidRPr="00395738">
        <w:rPr>
          <w:rFonts w:cs="Times New Roman"/>
          <w:color w:val="000000"/>
          <w:sz w:val="24"/>
          <w:szCs w:val="24"/>
        </w:rPr>
        <w:t xml:space="preserve">that characterize a well-developed system, </w:t>
      </w:r>
      <w:r w:rsidRPr="00395738">
        <w:rPr>
          <w:rFonts w:cs="Times New Roman"/>
          <w:color w:val="000000"/>
          <w:sz w:val="24"/>
          <w:szCs w:val="24"/>
        </w:rPr>
        <w:t>so that it can be leveraged to the fullest extent possible for financial sector regulat</w:t>
      </w:r>
      <w:r w:rsidR="00045FFD" w:rsidRPr="00395738">
        <w:rPr>
          <w:rFonts w:cs="Times New Roman"/>
          <w:color w:val="000000"/>
          <w:sz w:val="24"/>
          <w:szCs w:val="24"/>
        </w:rPr>
        <w:t xml:space="preserve">ory </w:t>
      </w:r>
      <w:r w:rsidRPr="00395738">
        <w:rPr>
          <w:rFonts w:cs="Times New Roman"/>
          <w:color w:val="000000"/>
          <w:sz w:val="24"/>
          <w:szCs w:val="24"/>
        </w:rPr>
        <w:t>and supervis</w:t>
      </w:r>
      <w:r w:rsidR="00045FFD" w:rsidRPr="00395738">
        <w:rPr>
          <w:rFonts w:cs="Times New Roman"/>
          <w:color w:val="000000"/>
          <w:sz w:val="24"/>
          <w:szCs w:val="24"/>
        </w:rPr>
        <w:t>ory purposes</w:t>
      </w:r>
      <w:r w:rsidRPr="00395738">
        <w:rPr>
          <w:rFonts w:cs="Times New Roman"/>
          <w:color w:val="000000"/>
          <w:sz w:val="24"/>
          <w:szCs w:val="24"/>
        </w:rPr>
        <w:t xml:space="preserve"> </w:t>
      </w:r>
      <w:r w:rsidR="009C139A" w:rsidRPr="00395738">
        <w:rPr>
          <w:rFonts w:cs="Times New Roman"/>
          <w:color w:val="000000"/>
          <w:sz w:val="24"/>
          <w:szCs w:val="24"/>
        </w:rPr>
        <w:t>–</w:t>
      </w:r>
      <w:r w:rsidRPr="00395738">
        <w:rPr>
          <w:rFonts w:cs="Times New Roman"/>
          <w:color w:val="000000"/>
          <w:sz w:val="24"/>
          <w:szCs w:val="24"/>
        </w:rPr>
        <w:t xml:space="preserve"> </w:t>
      </w:r>
      <w:r w:rsidR="009C139A" w:rsidRPr="00395738">
        <w:rPr>
          <w:rFonts w:cs="Times New Roman"/>
          <w:color w:val="000000"/>
          <w:sz w:val="24"/>
          <w:szCs w:val="24"/>
        </w:rPr>
        <w:t xml:space="preserve">in addition to </w:t>
      </w:r>
      <w:r w:rsidR="004A6A14" w:rsidRPr="00395738">
        <w:rPr>
          <w:rFonts w:cs="Times New Roman"/>
          <w:color w:val="000000"/>
          <w:sz w:val="24"/>
          <w:szCs w:val="24"/>
        </w:rPr>
        <w:t>o</w:t>
      </w:r>
      <w:r w:rsidR="009C139A" w:rsidRPr="00395738">
        <w:rPr>
          <w:rFonts w:cs="Times New Roman"/>
          <w:color w:val="000000"/>
          <w:sz w:val="24"/>
          <w:szCs w:val="24"/>
        </w:rPr>
        <w:t>the</w:t>
      </w:r>
      <w:r w:rsidR="004A6A14" w:rsidRPr="00395738">
        <w:rPr>
          <w:rFonts w:cs="Times New Roman"/>
          <w:color w:val="000000"/>
          <w:sz w:val="24"/>
          <w:szCs w:val="24"/>
        </w:rPr>
        <w:t>r</w:t>
      </w:r>
      <w:r w:rsidR="009C139A" w:rsidRPr="00395738">
        <w:rPr>
          <w:rFonts w:cs="Times New Roman"/>
          <w:color w:val="000000"/>
          <w:sz w:val="24"/>
          <w:szCs w:val="24"/>
        </w:rPr>
        <w:t xml:space="preserve"> important </w:t>
      </w:r>
      <w:r w:rsidR="004A6A14" w:rsidRPr="00395738">
        <w:rPr>
          <w:rFonts w:cs="Times New Roman"/>
          <w:color w:val="000000"/>
          <w:sz w:val="24"/>
          <w:szCs w:val="24"/>
        </w:rPr>
        <w:t xml:space="preserve">functions </w:t>
      </w:r>
      <w:r w:rsidR="009C139A" w:rsidRPr="00395738">
        <w:rPr>
          <w:rFonts w:cs="Times New Roman"/>
          <w:color w:val="000000"/>
          <w:sz w:val="24"/>
          <w:szCs w:val="24"/>
        </w:rPr>
        <w:t xml:space="preserve">it may already be </w:t>
      </w:r>
      <w:r w:rsidR="004A6A14" w:rsidRPr="00395738">
        <w:rPr>
          <w:rFonts w:cs="Times New Roman"/>
          <w:color w:val="000000"/>
          <w:sz w:val="24"/>
          <w:szCs w:val="24"/>
        </w:rPr>
        <w:t>fulfilling</w:t>
      </w:r>
      <w:r w:rsidR="00801AEB" w:rsidRPr="00395738">
        <w:rPr>
          <w:rFonts w:cs="Times New Roman"/>
          <w:color w:val="000000"/>
          <w:sz w:val="24"/>
          <w:szCs w:val="24"/>
        </w:rPr>
        <w:t>.</w:t>
      </w:r>
    </w:p>
    <w:p w14:paraId="7C903169" w14:textId="1CC5917F" w:rsidR="004A24AD" w:rsidRPr="00395738" w:rsidRDefault="004A24AD" w:rsidP="0031617B">
      <w:pPr>
        <w:autoSpaceDE w:val="0"/>
        <w:autoSpaceDN w:val="0"/>
        <w:adjustRightInd w:val="0"/>
        <w:spacing w:before="720" w:after="240" w:line="360" w:lineRule="auto"/>
        <w:ind w:left="720"/>
        <w:jc w:val="both"/>
        <w:rPr>
          <w:rFonts w:cs="Times New Roman"/>
          <w:b/>
          <w:color w:val="000000"/>
          <w:sz w:val="24"/>
          <w:szCs w:val="24"/>
        </w:rPr>
      </w:pPr>
      <w:r w:rsidRPr="00395738">
        <w:rPr>
          <w:rFonts w:cs="Times New Roman"/>
          <w:b/>
          <w:color w:val="000000"/>
          <w:sz w:val="24"/>
          <w:szCs w:val="24"/>
        </w:rPr>
        <w:t>Trend 1</w:t>
      </w:r>
      <w:r w:rsidR="006A0E0E" w:rsidRPr="00395738">
        <w:rPr>
          <w:rFonts w:cs="Times New Roman"/>
          <w:b/>
          <w:color w:val="000000"/>
          <w:sz w:val="24"/>
          <w:szCs w:val="24"/>
        </w:rPr>
        <w:t xml:space="preserve"> (Data) - </w:t>
      </w:r>
      <w:r w:rsidR="00DE161B" w:rsidRPr="00395738">
        <w:rPr>
          <w:rFonts w:cs="Times New Roman"/>
          <w:b/>
          <w:color w:val="000000"/>
          <w:sz w:val="24"/>
          <w:szCs w:val="24"/>
        </w:rPr>
        <w:t xml:space="preserve">Credit data demands by financial sector authorities continue to grow and keep becoming </w:t>
      </w:r>
      <w:r w:rsidR="004A6A14" w:rsidRPr="00395738">
        <w:rPr>
          <w:rFonts w:cs="Times New Roman"/>
          <w:b/>
          <w:color w:val="000000"/>
          <w:sz w:val="24"/>
          <w:szCs w:val="24"/>
        </w:rPr>
        <w:t xml:space="preserve">increasingly </w:t>
      </w:r>
      <w:r w:rsidR="00DE161B" w:rsidRPr="00395738">
        <w:rPr>
          <w:rFonts w:cs="Times New Roman"/>
          <w:b/>
          <w:color w:val="000000"/>
          <w:sz w:val="24"/>
          <w:szCs w:val="24"/>
        </w:rPr>
        <w:t>complex</w:t>
      </w:r>
      <w:r w:rsidR="00BB3666" w:rsidRPr="00395738">
        <w:rPr>
          <w:rFonts w:cs="Times New Roman"/>
          <w:b/>
          <w:color w:val="000000"/>
          <w:sz w:val="24"/>
          <w:szCs w:val="24"/>
        </w:rPr>
        <w:t>.</w:t>
      </w:r>
    </w:p>
    <w:p w14:paraId="48DECE5B" w14:textId="5E924FF1" w:rsidR="004A24AD" w:rsidRPr="00395738" w:rsidRDefault="004A6A14" w:rsidP="004A24AD">
      <w:pPr>
        <w:autoSpaceDE w:val="0"/>
        <w:autoSpaceDN w:val="0"/>
        <w:adjustRightInd w:val="0"/>
        <w:spacing w:after="120" w:line="360" w:lineRule="auto"/>
        <w:ind w:left="720"/>
        <w:jc w:val="both"/>
        <w:rPr>
          <w:rFonts w:cs="Times New Roman"/>
          <w:color w:val="000000"/>
          <w:sz w:val="24"/>
          <w:szCs w:val="24"/>
        </w:rPr>
      </w:pPr>
      <w:r w:rsidRPr="00395738">
        <w:rPr>
          <w:rFonts w:cs="Times New Roman"/>
          <w:color w:val="000000"/>
          <w:sz w:val="24"/>
          <w:szCs w:val="24"/>
        </w:rPr>
        <w:t xml:space="preserve">Highly </w:t>
      </w:r>
      <w:r w:rsidR="008406DF" w:rsidRPr="00395738">
        <w:rPr>
          <w:rFonts w:cs="Times New Roman"/>
          <w:color w:val="000000"/>
          <w:sz w:val="24"/>
          <w:szCs w:val="24"/>
        </w:rPr>
        <w:t xml:space="preserve">sophisticated analytical techniques for use in financial sector regulatory and supervisory tasks, both from the micro- and macro-prudential </w:t>
      </w:r>
      <w:r w:rsidR="00E33584" w:rsidRPr="00395738">
        <w:rPr>
          <w:rFonts w:cs="Times New Roman"/>
          <w:color w:val="000000"/>
          <w:sz w:val="24"/>
          <w:szCs w:val="24"/>
        </w:rPr>
        <w:t>perspectives</w:t>
      </w:r>
      <w:r w:rsidR="000316EF" w:rsidRPr="00395738">
        <w:rPr>
          <w:rFonts w:cs="Times New Roman"/>
          <w:color w:val="000000"/>
          <w:sz w:val="24"/>
          <w:szCs w:val="24"/>
        </w:rPr>
        <w:t>, continue to emerge</w:t>
      </w:r>
      <w:r w:rsidR="00431E6B" w:rsidRPr="00395738">
        <w:rPr>
          <w:rFonts w:cs="Times New Roman"/>
          <w:color w:val="000000"/>
          <w:sz w:val="24"/>
          <w:szCs w:val="24"/>
        </w:rPr>
        <w:t xml:space="preserve">. These are allowing financial sector authorities to enhance the depth </w:t>
      </w:r>
      <w:r w:rsidR="00E33584" w:rsidRPr="00395738">
        <w:rPr>
          <w:rFonts w:cs="Times New Roman"/>
          <w:color w:val="000000"/>
          <w:sz w:val="24"/>
          <w:szCs w:val="24"/>
        </w:rPr>
        <w:t>o</w:t>
      </w:r>
      <w:r w:rsidR="00431E6B" w:rsidRPr="00395738">
        <w:rPr>
          <w:rFonts w:cs="Times New Roman"/>
          <w:color w:val="000000"/>
          <w:sz w:val="24"/>
          <w:szCs w:val="24"/>
        </w:rPr>
        <w:t xml:space="preserve">f the various analyses they perform on </w:t>
      </w:r>
      <w:r w:rsidR="002E16FF" w:rsidRPr="00395738">
        <w:rPr>
          <w:rFonts w:cs="Times New Roman"/>
          <w:color w:val="000000"/>
          <w:sz w:val="24"/>
          <w:szCs w:val="24"/>
        </w:rPr>
        <w:t xml:space="preserve">either </w:t>
      </w:r>
      <w:r w:rsidR="00431E6B" w:rsidRPr="00395738">
        <w:rPr>
          <w:rFonts w:cs="Times New Roman"/>
          <w:color w:val="000000"/>
          <w:sz w:val="24"/>
          <w:szCs w:val="24"/>
        </w:rPr>
        <w:t>a regular or ad hoc basis</w:t>
      </w:r>
      <w:r w:rsidR="00E33584" w:rsidRPr="00395738">
        <w:rPr>
          <w:rFonts w:cs="Times New Roman"/>
          <w:color w:val="000000"/>
          <w:sz w:val="24"/>
          <w:szCs w:val="24"/>
        </w:rPr>
        <w:t>, as well as to look at potential problems in financial institutions from new angles</w:t>
      </w:r>
      <w:r w:rsidR="00431E6B" w:rsidRPr="00395738">
        <w:rPr>
          <w:rFonts w:cs="Times New Roman"/>
          <w:color w:val="000000"/>
          <w:sz w:val="24"/>
          <w:szCs w:val="24"/>
        </w:rPr>
        <w:t>. Many of th</w:t>
      </w:r>
      <w:r w:rsidRPr="00395738">
        <w:rPr>
          <w:rFonts w:cs="Times New Roman"/>
          <w:color w:val="000000"/>
          <w:sz w:val="24"/>
          <w:szCs w:val="24"/>
        </w:rPr>
        <w:t>e</w:t>
      </w:r>
      <w:r w:rsidR="00431E6B" w:rsidRPr="00395738">
        <w:rPr>
          <w:rFonts w:cs="Times New Roman"/>
          <w:color w:val="000000"/>
          <w:sz w:val="24"/>
          <w:szCs w:val="24"/>
        </w:rPr>
        <w:t xml:space="preserve">se </w:t>
      </w:r>
      <w:r w:rsidR="002E16FF" w:rsidRPr="00395738">
        <w:rPr>
          <w:rFonts w:cs="Times New Roman"/>
          <w:color w:val="000000"/>
          <w:sz w:val="24"/>
          <w:szCs w:val="24"/>
        </w:rPr>
        <w:t xml:space="preserve">newer </w:t>
      </w:r>
      <w:r w:rsidR="00431E6B" w:rsidRPr="00395738">
        <w:rPr>
          <w:rFonts w:cs="Times New Roman"/>
          <w:color w:val="000000"/>
          <w:sz w:val="24"/>
          <w:szCs w:val="24"/>
        </w:rPr>
        <w:t xml:space="preserve">techniques require significant </w:t>
      </w:r>
      <w:r w:rsidR="00404861" w:rsidRPr="00395738">
        <w:rPr>
          <w:rFonts w:cs="Times New Roman"/>
          <w:color w:val="000000"/>
          <w:sz w:val="24"/>
          <w:szCs w:val="24"/>
        </w:rPr>
        <w:t xml:space="preserve">and growing </w:t>
      </w:r>
      <w:r w:rsidR="00431E6B" w:rsidRPr="00395738">
        <w:rPr>
          <w:rFonts w:cs="Times New Roman"/>
          <w:color w:val="000000"/>
          <w:sz w:val="24"/>
          <w:szCs w:val="24"/>
        </w:rPr>
        <w:t>amounts of granular credit data</w:t>
      </w:r>
      <w:r w:rsidR="00A37507" w:rsidRPr="00395738">
        <w:rPr>
          <w:rFonts w:cs="Times New Roman"/>
          <w:color w:val="000000"/>
          <w:sz w:val="24"/>
          <w:szCs w:val="24"/>
        </w:rPr>
        <w:t xml:space="preserve">, with </w:t>
      </w:r>
      <w:r w:rsidR="00404861" w:rsidRPr="00395738">
        <w:rPr>
          <w:rFonts w:cs="Times New Roman"/>
          <w:color w:val="000000"/>
          <w:sz w:val="24"/>
          <w:szCs w:val="24"/>
        </w:rPr>
        <w:t>individual</w:t>
      </w:r>
      <w:r w:rsidR="008F7AD2" w:rsidRPr="00395738">
        <w:rPr>
          <w:rFonts w:cs="Times New Roman"/>
          <w:color w:val="000000"/>
          <w:sz w:val="24"/>
          <w:szCs w:val="24"/>
        </w:rPr>
        <w:t xml:space="preserve">- and/or </w:t>
      </w:r>
      <w:r w:rsidR="00187FB5" w:rsidRPr="00395738">
        <w:rPr>
          <w:rFonts w:cs="Times New Roman"/>
          <w:color w:val="000000"/>
          <w:sz w:val="24"/>
          <w:szCs w:val="24"/>
        </w:rPr>
        <w:t>household</w:t>
      </w:r>
      <w:r w:rsidR="00A37507" w:rsidRPr="00395738">
        <w:rPr>
          <w:rFonts w:cs="Times New Roman"/>
          <w:color w:val="000000"/>
          <w:sz w:val="24"/>
          <w:szCs w:val="24"/>
        </w:rPr>
        <w:t>-level data</w:t>
      </w:r>
      <w:r w:rsidR="00187FB5" w:rsidRPr="00395738">
        <w:rPr>
          <w:rFonts w:cs="Times New Roman"/>
          <w:color w:val="000000"/>
          <w:sz w:val="24"/>
          <w:szCs w:val="24"/>
        </w:rPr>
        <w:t xml:space="preserve"> being used in some cases</w:t>
      </w:r>
      <w:r w:rsidR="00404861" w:rsidRPr="00395738">
        <w:rPr>
          <w:rFonts w:cs="Times New Roman"/>
          <w:color w:val="000000"/>
          <w:sz w:val="24"/>
          <w:szCs w:val="24"/>
        </w:rPr>
        <w:t>.</w:t>
      </w:r>
    </w:p>
    <w:p w14:paraId="42C4756B" w14:textId="0CB36C83" w:rsidR="004A24AD" w:rsidRPr="00395738" w:rsidRDefault="004A24AD" w:rsidP="004A24AD">
      <w:pPr>
        <w:autoSpaceDE w:val="0"/>
        <w:autoSpaceDN w:val="0"/>
        <w:adjustRightInd w:val="0"/>
        <w:spacing w:after="120" w:line="360" w:lineRule="auto"/>
        <w:ind w:left="720"/>
        <w:jc w:val="both"/>
        <w:rPr>
          <w:rFonts w:cs="Times New Roman"/>
          <w:color w:val="000000"/>
          <w:sz w:val="24"/>
          <w:szCs w:val="24"/>
          <w:u w:val="single"/>
        </w:rPr>
      </w:pPr>
      <w:r w:rsidRPr="00395738">
        <w:rPr>
          <w:rFonts w:cs="Times New Roman"/>
          <w:color w:val="000000"/>
          <w:sz w:val="24"/>
          <w:szCs w:val="24"/>
          <w:u w:val="single"/>
        </w:rPr>
        <w:lastRenderedPageBreak/>
        <w:t xml:space="preserve">Key </w:t>
      </w:r>
      <w:r w:rsidR="008406DF" w:rsidRPr="00395738">
        <w:rPr>
          <w:rFonts w:cs="Times New Roman"/>
          <w:color w:val="000000"/>
          <w:sz w:val="24"/>
          <w:szCs w:val="24"/>
          <w:u w:val="single"/>
        </w:rPr>
        <w:t>c</w:t>
      </w:r>
      <w:r w:rsidRPr="00395738">
        <w:rPr>
          <w:rFonts w:cs="Times New Roman"/>
          <w:color w:val="000000"/>
          <w:sz w:val="24"/>
          <w:szCs w:val="24"/>
          <w:u w:val="single"/>
        </w:rPr>
        <w:t>hallenges</w:t>
      </w:r>
      <w:r w:rsidR="00BD34AE" w:rsidRPr="00395738">
        <w:rPr>
          <w:rFonts w:cs="Times New Roman"/>
          <w:color w:val="000000"/>
          <w:sz w:val="24"/>
          <w:szCs w:val="24"/>
          <w:u w:val="single"/>
        </w:rPr>
        <w:t>:</w:t>
      </w:r>
    </w:p>
    <w:p w14:paraId="2ACFF3AE" w14:textId="173B2EA3" w:rsidR="00641FCD" w:rsidRPr="00395738" w:rsidRDefault="00DF7148" w:rsidP="0031617B">
      <w:pPr>
        <w:pStyle w:val="ListParagraph"/>
        <w:numPr>
          <w:ilvl w:val="0"/>
          <w:numId w:val="34"/>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The ever-g</w:t>
      </w:r>
      <w:r w:rsidR="007A454C" w:rsidRPr="00395738">
        <w:rPr>
          <w:rFonts w:cs="Times New Roman"/>
          <w:color w:val="000000"/>
          <w:sz w:val="24"/>
          <w:szCs w:val="24"/>
        </w:rPr>
        <w:t xml:space="preserve">rowing and increasingly complex data needs </w:t>
      </w:r>
      <w:r w:rsidRPr="00395738">
        <w:rPr>
          <w:rFonts w:cs="Times New Roman"/>
          <w:color w:val="000000"/>
          <w:sz w:val="24"/>
          <w:szCs w:val="24"/>
        </w:rPr>
        <w:t xml:space="preserve">of </w:t>
      </w:r>
      <w:r w:rsidR="009F6738" w:rsidRPr="00395738">
        <w:rPr>
          <w:rFonts w:cs="Times New Roman"/>
          <w:color w:val="000000"/>
          <w:sz w:val="24"/>
          <w:szCs w:val="24"/>
        </w:rPr>
        <w:t xml:space="preserve">financial sector authorities </w:t>
      </w:r>
      <w:r w:rsidR="007A454C" w:rsidRPr="00395738">
        <w:rPr>
          <w:rFonts w:cs="Times New Roman"/>
          <w:color w:val="000000"/>
          <w:sz w:val="24"/>
          <w:szCs w:val="24"/>
        </w:rPr>
        <w:t xml:space="preserve">require a higher degree of </w:t>
      </w:r>
      <w:r w:rsidR="009F6738" w:rsidRPr="00395738">
        <w:rPr>
          <w:rFonts w:cs="Times New Roman"/>
          <w:color w:val="000000"/>
          <w:sz w:val="24"/>
          <w:szCs w:val="24"/>
        </w:rPr>
        <w:t xml:space="preserve">readiness by CRSPs, especially with regard to ensuring seamless </w:t>
      </w:r>
      <w:r w:rsidRPr="00395738">
        <w:rPr>
          <w:rFonts w:cs="Times New Roman"/>
          <w:color w:val="000000"/>
          <w:sz w:val="24"/>
          <w:szCs w:val="24"/>
        </w:rPr>
        <w:t xml:space="preserve">and timely reporting </w:t>
      </w:r>
      <w:r w:rsidR="007A454C" w:rsidRPr="00395738">
        <w:rPr>
          <w:rFonts w:cs="Times New Roman"/>
          <w:color w:val="000000"/>
          <w:sz w:val="24"/>
          <w:szCs w:val="24"/>
        </w:rPr>
        <w:t xml:space="preserve">of </w:t>
      </w:r>
      <w:r w:rsidRPr="00395738">
        <w:rPr>
          <w:rFonts w:cs="Times New Roman"/>
          <w:color w:val="000000"/>
          <w:sz w:val="24"/>
          <w:szCs w:val="24"/>
        </w:rPr>
        <w:t xml:space="preserve">the </w:t>
      </w:r>
      <w:r w:rsidR="007A454C" w:rsidRPr="00395738">
        <w:rPr>
          <w:rFonts w:cs="Times New Roman"/>
          <w:color w:val="000000"/>
          <w:sz w:val="24"/>
          <w:szCs w:val="24"/>
        </w:rPr>
        <w:t>relevant data</w:t>
      </w:r>
      <w:r w:rsidRPr="00395738">
        <w:rPr>
          <w:rFonts w:cs="Times New Roman"/>
          <w:color w:val="000000"/>
          <w:sz w:val="24"/>
          <w:szCs w:val="24"/>
        </w:rPr>
        <w:t xml:space="preserve"> to the authorities</w:t>
      </w:r>
      <w:r w:rsidR="009F6738" w:rsidRPr="00395738">
        <w:rPr>
          <w:rFonts w:cs="Times New Roman"/>
          <w:color w:val="000000"/>
          <w:sz w:val="24"/>
          <w:szCs w:val="24"/>
        </w:rPr>
        <w:t xml:space="preserve">. </w:t>
      </w:r>
      <w:r w:rsidR="00EC24E6" w:rsidRPr="00395738">
        <w:rPr>
          <w:rFonts w:cs="Times New Roman"/>
          <w:color w:val="000000"/>
          <w:sz w:val="24"/>
          <w:szCs w:val="24"/>
        </w:rPr>
        <w:t xml:space="preserve">A </w:t>
      </w:r>
      <w:r w:rsidR="009F6738" w:rsidRPr="00395738">
        <w:rPr>
          <w:rFonts w:cs="Times New Roman"/>
          <w:color w:val="000000"/>
          <w:sz w:val="24"/>
          <w:szCs w:val="24"/>
        </w:rPr>
        <w:t xml:space="preserve">higher degree of readiness </w:t>
      </w:r>
      <w:r w:rsidR="00EC24E6" w:rsidRPr="00395738">
        <w:rPr>
          <w:rFonts w:cs="Times New Roman"/>
          <w:color w:val="000000"/>
          <w:sz w:val="24"/>
          <w:szCs w:val="24"/>
        </w:rPr>
        <w:t xml:space="preserve">by CRSPs </w:t>
      </w:r>
      <w:r w:rsidR="009F6738" w:rsidRPr="00395738">
        <w:rPr>
          <w:rFonts w:cs="Times New Roman"/>
          <w:color w:val="000000"/>
          <w:sz w:val="24"/>
          <w:szCs w:val="24"/>
        </w:rPr>
        <w:t xml:space="preserve">should not have significant </w:t>
      </w:r>
      <w:r w:rsidR="007A454C" w:rsidRPr="00395738">
        <w:rPr>
          <w:rFonts w:cs="Times New Roman"/>
          <w:color w:val="000000"/>
          <w:sz w:val="24"/>
          <w:szCs w:val="24"/>
        </w:rPr>
        <w:t xml:space="preserve">implications on costs and </w:t>
      </w:r>
      <w:r w:rsidR="00EC24E6" w:rsidRPr="00395738">
        <w:rPr>
          <w:rFonts w:cs="Times New Roman"/>
          <w:color w:val="000000"/>
          <w:sz w:val="24"/>
          <w:szCs w:val="24"/>
        </w:rPr>
        <w:t xml:space="preserve">overall </w:t>
      </w:r>
      <w:r w:rsidR="007A454C" w:rsidRPr="00395738">
        <w:rPr>
          <w:rFonts w:cs="Times New Roman"/>
          <w:color w:val="000000"/>
          <w:sz w:val="24"/>
          <w:szCs w:val="24"/>
        </w:rPr>
        <w:t xml:space="preserve">efficiency. </w:t>
      </w:r>
    </w:p>
    <w:p w14:paraId="7CCAF1B4" w14:textId="4472EE7D" w:rsidR="004A24AD" w:rsidRPr="00395738" w:rsidRDefault="00EC24E6" w:rsidP="00276451">
      <w:pPr>
        <w:autoSpaceDE w:val="0"/>
        <w:autoSpaceDN w:val="0"/>
        <w:adjustRightInd w:val="0"/>
        <w:spacing w:after="240" w:line="360" w:lineRule="auto"/>
        <w:ind w:left="1440"/>
        <w:jc w:val="both"/>
        <w:rPr>
          <w:rFonts w:cs="Times New Roman"/>
          <w:i/>
          <w:color w:val="000000"/>
          <w:sz w:val="24"/>
          <w:szCs w:val="24"/>
        </w:rPr>
      </w:pPr>
      <w:r w:rsidRPr="00395738">
        <w:rPr>
          <w:rFonts w:cs="Times New Roman"/>
          <w:i/>
          <w:color w:val="000000"/>
          <w:sz w:val="24"/>
          <w:szCs w:val="24"/>
        </w:rPr>
        <w:t xml:space="preserve">CRSPs should aim at fully observing General Principle 2, in particular the guidelines on reliability and </w:t>
      </w:r>
      <w:r w:rsidR="00641FCD" w:rsidRPr="00395738">
        <w:rPr>
          <w:rFonts w:cs="Times New Roman"/>
          <w:i/>
          <w:color w:val="000000"/>
          <w:sz w:val="24"/>
          <w:szCs w:val="24"/>
        </w:rPr>
        <w:t>efficiency.</w:t>
      </w:r>
      <w:r w:rsidR="000431C0" w:rsidRPr="00395738">
        <w:rPr>
          <w:rStyle w:val="FootnoteReference"/>
          <w:rFonts w:cs="Times New Roman"/>
          <w:i/>
          <w:color w:val="000000"/>
          <w:sz w:val="24"/>
          <w:szCs w:val="24"/>
        </w:rPr>
        <w:footnoteReference w:id="64"/>
      </w:r>
    </w:p>
    <w:p w14:paraId="7A795475" w14:textId="1AD73543" w:rsidR="00DC34A0" w:rsidRPr="00395738" w:rsidRDefault="0092577F" w:rsidP="0031617B">
      <w:pPr>
        <w:pStyle w:val="ListParagraph"/>
        <w:numPr>
          <w:ilvl w:val="0"/>
          <w:numId w:val="34"/>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T</w:t>
      </w:r>
      <w:r w:rsidR="00470310" w:rsidRPr="00395738">
        <w:rPr>
          <w:rFonts w:cs="Times New Roman"/>
          <w:color w:val="000000"/>
          <w:sz w:val="24"/>
          <w:szCs w:val="24"/>
        </w:rPr>
        <w:t xml:space="preserve">he </w:t>
      </w:r>
      <w:r w:rsidRPr="00395738">
        <w:rPr>
          <w:rFonts w:cs="Times New Roman"/>
          <w:color w:val="000000"/>
          <w:sz w:val="24"/>
          <w:szCs w:val="24"/>
        </w:rPr>
        <w:t xml:space="preserve">newer </w:t>
      </w:r>
      <w:r w:rsidR="004B003F" w:rsidRPr="00395738">
        <w:rPr>
          <w:rFonts w:cs="Times New Roman"/>
          <w:color w:val="000000"/>
          <w:sz w:val="24"/>
          <w:szCs w:val="24"/>
        </w:rPr>
        <w:t>analy</w:t>
      </w:r>
      <w:r w:rsidR="00F12479" w:rsidRPr="00395738">
        <w:rPr>
          <w:rFonts w:cs="Times New Roman"/>
          <w:color w:val="000000"/>
          <w:sz w:val="24"/>
          <w:szCs w:val="24"/>
        </w:rPr>
        <w:t xml:space="preserve">tical techniques </w:t>
      </w:r>
      <w:r w:rsidRPr="00395738">
        <w:rPr>
          <w:rFonts w:cs="Times New Roman"/>
          <w:color w:val="000000"/>
          <w:sz w:val="24"/>
          <w:szCs w:val="24"/>
        </w:rPr>
        <w:t xml:space="preserve">being </w:t>
      </w:r>
      <w:r w:rsidR="00F12479" w:rsidRPr="00395738">
        <w:rPr>
          <w:rFonts w:cs="Times New Roman"/>
          <w:color w:val="000000"/>
          <w:sz w:val="24"/>
          <w:szCs w:val="24"/>
        </w:rPr>
        <w:t>used b</w:t>
      </w:r>
      <w:r w:rsidR="004B003F" w:rsidRPr="00395738">
        <w:rPr>
          <w:rFonts w:cs="Times New Roman"/>
          <w:color w:val="000000"/>
          <w:sz w:val="24"/>
          <w:szCs w:val="24"/>
        </w:rPr>
        <w:t xml:space="preserve">y financial sector authorities </w:t>
      </w:r>
      <w:r w:rsidR="00470310" w:rsidRPr="00395738">
        <w:rPr>
          <w:rFonts w:cs="Times New Roman"/>
          <w:color w:val="000000"/>
          <w:sz w:val="24"/>
          <w:szCs w:val="24"/>
        </w:rPr>
        <w:t>and also t</w:t>
      </w:r>
      <w:r w:rsidR="00DC34A0" w:rsidRPr="00395738">
        <w:rPr>
          <w:rFonts w:cs="Times New Roman"/>
          <w:color w:val="000000"/>
          <w:sz w:val="24"/>
          <w:szCs w:val="24"/>
        </w:rPr>
        <w:t>he</w:t>
      </w:r>
      <w:r w:rsidR="004B003F" w:rsidRPr="00395738">
        <w:rPr>
          <w:rFonts w:cs="Times New Roman"/>
          <w:color w:val="000000"/>
          <w:sz w:val="24"/>
          <w:szCs w:val="24"/>
        </w:rPr>
        <w:t xml:space="preserve"> </w:t>
      </w:r>
      <w:r w:rsidR="00F12479" w:rsidRPr="00395738">
        <w:rPr>
          <w:rFonts w:cs="Times New Roman"/>
          <w:color w:val="000000"/>
          <w:sz w:val="24"/>
          <w:szCs w:val="24"/>
        </w:rPr>
        <w:t xml:space="preserve">eventual </w:t>
      </w:r>
      <w:r w:rsidR="004B003F" w:rsidRPr="00395738">
        <w:rPr>
          <w:rFonts w:cs="Times New Roman"/>
          <w:color w:val="000000"/>
          <w:sz w:val="24"/>
          <w:szCs w:val="24"/>
        </w:rPr>
        <w:t>n</w:t>
      </w:r>
      <w:r w:rsidR="004A24AD" w:rsidRPr="00395738">
        <w:rPr>
          <w:rFonts w:cs="Times New Roman"/>
          <w:color w:val="000000"/>
          <w:sz w:val="24"/>
          <w:szCs w:val="24"/>
        </w:rPr>
        <w:t xml:space="preserve">ecessity </w:t>
      </w:r>
      <w:r w:rsidRPr="00395738">
        <w:rPr>
          <w:rFonts w:cs="Times New Roman"/>
          <w:color w:val="000000"/>
          <w:sz w:val="24"/>
          <w:szCs w:val="24"/>
        </w:rPr>
        <w:t xml:space="preserve">these authorities may have </w:t>
      </w:r>
      <w:r w:rsidR="004A24AD" w:rsidRPr="00395738">
        <w:rPr>
          <w:rFonts w:cs="Times New Roman"/>
          <w:color w:val="000000"/>
          <w:sz w:val="24"/>
          <w:szCs w:val="24"/>
        </w:rPr>
        <w:t xml:space="preserve">to </w:t>
      </w:r>
      <w:r w:rsidR="004B003F" w:rsidRPr="00395738">
        <w:rPr>
          <w:rFonts w:cs="Times New Roman"/>
          <w:color w:val="000000"/>
          <w:sz w:val="24"/>
          <w:szCs w:val="24"/>
        </w:rPr>
        <w:t xml:space="preserve">act </w:t>
      </w:r>
      <w:r w:rsidR="004A24AD" w:rsidRPr="00395738">
        <w:rPr>
          <w:rFonts w:cs="Times New Roman"/>
          <w:color w:val="000000"/>
          <w:sz w:val="24"/>
          <w:szCs w:val="24"/>
        </w:rPr>
        <w:t xml:space="preserve">in </w:t>
      </w:r>
      <w:r w:rsidR="004B003F" w:rsidRPr="00395738">
        <w:rPr>
          <w:rFonts w:cs="Times New Roman"/>
          <w:color w:val="000000"/>
          <w:sz w:val="24"/>
          <w:szCs w:val="24"/>
        </w:rPr>
        <w:t xml:space="preserve">the market place in </w:t>
      </w:r>
      <w:r w:rsidR="004A24AD" w:rsidRPr="00395738">
        <w:rPr>
          <w:rFonts w:cs="Times New Roman"/>
          <w:color w:val="000000"/>
          <w:sz w:val="24"/>
          <w:szCs w:val="24"/>
        </w:rPr>
        <w:t xml:space="preserve">a </w:t>
      </w:r>
      <w:r w:rsidR="00A37507" w:rsidRPr="00395738">
        <w:rPr>
          <w:rFonts w:cs="Times New Roman"/>
          <w:color w:val="000000"/>
          <w:sz w:val="24"/>
          <w:szCs w:val="24"/>
        </w:rPr>
        <w:t>timely</w:t>
      </w:r>
      <w:r w:rsidR="004A24AD" w:rsidRPr="00395738">
        <w:rPr>
          <w:rFonts w:cs="Times New Roman"/>
          <w:color w:val="000000"/>
          <w:sz w:val="24"/>
          <w:szCs w:val="24"/>
        </w:rPr>
        <w:t xml:space="preserve"> manner </w:t>
      </w:r>
      <w:r w:rsidR="00470310" w:rsidRPr="00395738">
        <w:rPr>
          <w:rFonts w:cs="Times New Roman"/>
          <w:color w:val="000000"/>
          <w:sz w:val="24"/>
          <w:szCs w:val="24"/>
        </w:rPr>
        <w:t xml:space="preserve">and based on the most actual circumstances </w:t>
      </w:r>
      <w:r w:rsidR="004A24AD" w:rsidRPr="00395738">
        <w:rPr>
          <w:rFonts w:cs="Times New Roman"/>
          <w:color w:val="000000"/>
          <w:sz w:val="24"/>
          <w:szCs w:val="24"/>
        </w:rPr>
        <w:t xml:space="preserve">require </w:t>
      </w:r>
      <w:r w:rsidR="004B003F" w:rsidRPr="00395738">
        <w:rPr>
          <w:rFonts w:cs="Times New Roman"/>
          <w:color w:val="000000"/>
          <w:sz w:val="24"/>
          <w:szCs w:val="24"/>
        </w:rPr>
        <w:t>credit data</w:t>
      </w:r>
      <w:r w:rsidR="004A24AD" w:rsidRPr="00395738">
        <w:rPr>
          <w:rFonts w:cs="Times New Roman"/>
          <w:color w:val="000000"/>
          <w:sz w:val="24"/>
          <w:szCs w:val="24"/>
        </w:rPr>
        <w:t xml:space="preserve"> </w:t>
      </w:r>
      <w:r w:rsidR="004B003F" w:rsidRPr="00395738">
        <w:rPr>
          <w:rFonts w:cs="Times New Roman"/>
          <w:color w:val="000000"/>
          <w:sz w:val="24"/>
          <w:szCs w:val="24"/>
        </w:rPr>
        <w:t xml:space="preserve">in </w:t>
      </w:r>
      <w:r w:rsidR="004A24AD" w:rsidRPr="00395738">
        <w:rPr>
          <w:rFonts w:cs="Times New Roman"/>
          <w:color w:val="000000"/>
          <w:sz w:val="24"/>
          <w:szCs w:val="24"/>
        </w:rPr>
        <w:t>CRSPs</w:t>
      </w:r>
      <w:r w:rsidR="004B003F" w:rsidRPr="00395738">
        <w:rPr>
          <w:rFonts w:cs="Times New Roman"/>
          <w:color w:val="000000"/>
          <w:sz w:val="24"/>
          <w:szCs w:val="24"/>
        </w:rPr>
        <w:t xml:space="preserve"> to be </w:t>
      </w:r>
      <w:r w:rsidR="00A37507" w:rsidRPr="00395738">
        <w:rPr>
          <w:rFonts w:cs="Times New Roman"/>
          <w:color w:val="000000"/>
          <w:sz w:val="24"/>
          <w:szCs w:val="24"/>
        </w:rPr>
        <w:t xml:space="preserve">updated more </w:t>
      </w:r>
      <w:r w:rsidR="004B003F" w:rsidRPr="00395738">
        <w:rPr>
          <w:rFonts w:cs="Times New Roman"/>
          <w:color w:val="000000"/>
          <w:sz w:val="24"/>
          <w:szCs w:val="24"/>
        </w:rPr>
        <w:t>frequently</w:t>
      </w:r>
      <w:r w:rsidR="00BD34AE" w:rsidRPr="00395738">
        <w:t>.</w:t>
      </w:r>
    </w:p>
    <w:p w14:paraId="10A7864C" w14:textId="38B0DEAF" w:rsidR="004A24AD" w:rsidRPr="00395738" w:rsidRDefault="000431C0" w:rsidP="0031617B">
      <w:pPr>
        <w:autoSpaceDE w:val="0"/>
        <w:autoSpaceDN w:val="0"/>
        <w:adjustRightInd w:val="0"/>
        <w:spacing w:after="240" w:line="360" w:lineRule="auto"/>
        <w:ind w:left="1440"/>
        <w:jc w:val="both"/>
        <w:rPr>
          <w:rFonts w:cs="Times New Roman"/>
          <w:i/>
          <w:color w:val="000000"/>
          <w:sz w:val="24"/>
          <w:szCs w:val="24"/>
        </w:rPr>
      </w:pPr>
      <w:r w:rsidRPr="00395738">
        <w:rPr>
          <w:rFonts w:cs="Times New Roman"/>
          <w:i/>
          <w:color w:val="000000"/>
          <w:sz w:val="24"/>
          <w:szCs w:val="24"/>
        </w:rPr>
        <w:t>CRSPs and data providers should strive at fully observing General Principle 1, in particular as regard the guidelines on timeliness of data</w:t>
      </w:r>
      <w:r w:rsidR="00C12E02" w:rsidRPr="00395738">
        <w:rPr>
          <w:rFonts w:cs="Times New Roman"/>
          <w:i/>
          <w:color w:val="000000"/>
          <w:sz w:val="24"/>
          <w:szCs w:val="24"/>
        </w:rPr>
        <w:t xml:space="preserve"> and on accuracy of data</w:t>
      </w:r>
      <w:r w:rsidR="00BD34AE" w:rsidRPr="00395738">
        <w:rPr>
          <w:rFonts w:cs="Times New Roman"/>
          <w:i/>
          <w:color w:val="000000"/>
          <w:sz w:val="24"/>
          <w:szCs w:val="24"/>
        </w:rPr>
        <w:t>.</w:t>
      </w:r>
      <w:r w:rsidRPr="00395738">
        <w:rPr>
          <w:rStyle w:val="FootnoteReference"/>
          <w:rFonts w:cs="Times New Roman"/>
          <w:i/>
          <w:color w:val="000000"/>
          <w:sz w:val="24"/>
          <w:szCs w:val="24"/>
        </w:rPr>
        <w:footnoteReference w:id="65"/>
      </w:r>
    </w:p>
    <w:p w14:paraId="13673CEF" w14:textId="77777777" w:rsidR="0031617B" w:rsidRPr="00395738" w:rsidRDefault="0031617B" w:rsidP="0031617B">
      <w:pPr>
        <w:pStyle w:val="ListParagraph"/>
        <w:numPr>
          <w:ilvl w:val="0"/>
          <w:numId w:val="34"/>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 xml:space="preserve">Financial sector authorities need to be transparent on the use or intended use of granular credit data collected from CRSPs, in particular when sensitive or potentially sensitive data on individuals/households is involved (e.g., data on an individual’s income, or data used to derive a proxy of an individual’s income). </w:t>
      </w:r>
    </w:p>
    <w:p w14:paraId="1300FA89" w14:textId="74BBECC3" w:rsidR="009B7E93" w:rsidRPr="00395738" w:rsidRDefault="009B7E93" w:rsidP="008F7AD2">
      <w:pPr>
        <w:autoSpaceDE w:val="0"/>
        <w:autoSpaceDN w:val="0"/>
        <w:adjustRightInd w:val="0"/>
        <w:spacing w:after="120" w:line="360" w:lineRule="auto"/>
        <w:ind w:left="1440"/>
        <w:jc w:val="both"/>
        <w:rPr>
          <w:rFonts w:cs="Times New Roman"/>
          <w:i/>
          <w:color w:val="000000"/>
          <w:sz w:val="24"/>
          <w:szCs w:val="24"/>
        </w:rPr>
      </w:pPr>
      <w:r w:rsidRPr="00395738">
        <w:rPr>
          <w:rFonts w:cs="Times New Roman"/>
          <w:i/>
          <w:color w:val="000000"/>
          <w:sz w:val="24"/>
          <w:szCs w:val="24"/>
        </w:rPr>
        <w:t xml:space="preserve">Financial sector authorities should </w:t>
      </w:r>
      <w:r w:rsidR="0031617B" w:rsidRPr="00395738">
        <w:rPr>
          <w:rFonts w:cs="Times New Roman"/>
          <w:i/>
          <w:color w:val="000000"/>
          <w:sz w:val="24"/>
          <w:szCs w:val="24"/>
        </w:rPr>
        <w:t>disclos</w:t>
      </w:r>
      <w:r w:rsidRPr="00395738">
        <w:rPr>
          <w:rFonts w:cs="Times New Roman"/>
          <w:i/>
          <w:color w:val="000000"/>
          <w:sz w:val="24"/>
          <w:szCs w:val="24"/>
        </w:rPr>
        <w:t>e</w:t>
      </w:r>
      <w:r w:rsidR="0031617B" w:rsidRPr="00395738">
        <w:rPr>
          <w:rFonts w:cs="Times New Roman"/>
          <w:i/>
          <w:color w:val="000000"/>
          <w:sz w:val="24"/>
          <w:szCs w:val="24"/>
        </w:rPr>
        <w:t xml:space="preserve"> the relevant high-level policy objectives along with the specific purposes for which they are collecting s</w:t>
      </w:r>
      <w:r w:rsidR="001B370D" w:rsidRPr="00395738">
        <w:rPr>
          <w:rFonts w:cs="Times New Roman"/>
          <w:i/>
          <w:color w:val="000000"/>
          <w:sz w:val="24"/>
          <w:szCs w:val="24"/>
        </w:rPr>
        <w:t xml:space="preserve">ensitive </w:t>
      </w:r>
      <w:r w:rsidR="0031617B" w:rsidRPr="00395738">
        <w:rPr>
          <w:rFonts w:cs="Times New Roman"/>
          <w:i/>
          <w:color w:val="000000"/>
          <w:sz w:val="24"/>
          <w:szCs w:val="24"/>
        </w:rPr>
        <w:t>data.</w:t>
      </w:r>
      <w:r w:rsidR="001B370D" w:rsidRPr="00395738">
        <w:rPr>
          <w:rFonts w:cs="Times New Roman"/>
          <w:i/>
          <w:color w:val="000000"/>
          <w:sz w:val="24"/>
          <w:szCs w:val="24"/>
        </w:rPr>
        <w:t xml:space="preserve"> Ideally, the permissible uses of such data by financial sector authorities s</w:t>
      </w:r>
      <w:r w:rsidRPr="00395738">
        <w:rPr>
          <w:rFonts w:cs="Times New Roman"/>
          <w:i/>
          <w:color w:val="000000"/>
          <w:sz w:val="24"/>
          <w:szCs w:val="24"/>
        </w:rPr>
        <w:t xml:space="preserve">hould </w:t>
      </w:r>
      <w:r w:rsidR="001B370D" w:rsidRPr="00395738">
        <w:rPr>
          <w:rFonts w:cs="Times New Roman"/>
          <w:i/>
          <w:color w:val="000000"/>
          <w:sz w:val="24"/>
          <w:szCs w:val="24"/>
        </w:rPr>
        <w:t xml:space="preserve">be </w:t>
      </w:r>
      <w:r w:rsidRPr="00395738">
        <w:rPr>
          <w:rFonts w:cs="Times New Roman"/>
          <w:i/>
          <w:color w:val="000000"/>
          <w:sz w:val="24"/>
          <w:szCs w:val="24"/>
        </w:rPr>
        <w:t>establish</w:t>
      </w:r>
      <w:r w:rsidR="001B370D" w:rsidRPr="00395738">
        <w:rPr>
          <w:rFonts w:cs="Times New Roman"/>
          <w:i/>
          <w:color w:val="000000"/>
          <w:sz w:val="24"/>
          <w:szCs w:val="24"/>
        </w:rPr>
        <w:t>ed in a regulation.</w:t>
      </w:r>
    </w:p>
    <w:p w14:paraId="01D123AD" w14:textId="027FF71C" w:rsidR="009B7E93" w:rsidRPr="00395738" w:rsidRDefault="009B7E93" w:rsidP="0031617B">
      <w:pPr>
        <w:autoSpaceDE w:val="0"/>
        <w:autoSpaceDN w:val="0"/>
        <w:adjustRightInd w:val="0"/>
        <w:spacing w:after="240" w:line="360" w:lineRule="auto"/>
        <w:ind w:left="1440"/>
        <w:jc w:val="both"/>
        <w:rPr>
          <w:rFonts w:cs="Times New Roman"/>
          <w:i/>
          <w:color w:val="000000"/>
          <w:sz w:val="24"/>
          <w:szCs w:val="24"/>
        </w:rPr>
      </w:pPr>
      <w:r w:rsidRPr="00395738">
        <w:rPr>
          <w:rFonts w:cs="Times New Roman"/>
          <w:i/>
          <w:color w:val="000000"/>
          <w:sz w:val="24"/>
          <w:szCs w:val="24"/>
        </w:rPr>
        <w:t xml:space="preserve">Financial sector authorities should treat all sensitive data obtained from CRSPs as confidential and should not disclose such data to third parties. </w:t>
      </w:r>
    </w:p>
    <w:p w14:paraId="05D7C77D" w14:textId="7D65F19E" w:rsidR="004A24AD" w:rsidRPr="00395738" w:rsidRDefault="004A24AD" w:rsidP="00F1593D">
      <w:pPr>
        <w:autoSpaceDE w:val="0"/>
        <w:autoSpaceDN w:val="0"/>
        <w:adjustRightInd w:val="0"/>
        <w:spacing w:before="480" w:after="120" w:line="360" w:lineRule="auto"/>
        <w:ind w:left="720"/>
        <w:jc w:val="both"/>
        <w:rPr>
          <w:rFonts w:cs="Times New Roman"/>
          <w:b/>
          <w:color w:val="000000"/>
          <w:sz w:val="24"/>
          <w:szCs w:val="24"/>
        </w:rPr>
      </w:pPr>
      <w:r w:rsidRPr="00395738">
        <w:rPr>
          <w:rFonts w:cs="Times New Roman"/>
          <w:b/>
          <w:color w:val="000000"/>
          <w:sz w:val="24"/>
          <w:szCs w:val="24"/>
        </w:rPr>
        <w:lastRenderedPageBreak/>
        <w:t>Trend 2</w:t>
      </w:r>
      <w:r w:rsidR="00D01195" w:rsidRPr="00395738">
        <w:rPr>
          <w:rFonts w:cs="Times New Roman"/>
          <w:b/>
          <w:color w:val="000000"/>
          <w:sz w:val="24"/>
          <w:szCs w:val="24"/>
        </w:rPr>
        <w:t xml:space="preserve"> (CRSPs) </w:t>
      </w:r>
      <w:r w:rsidRPr="00395738">
        <w:rPr>
          <w:rFonts w:cs="Times New Roman"/>
          <w:b/>
          <w:color w:val="000000"/>
          <w:sz w:val="24"/>
          <w:szCs w:val="24"/>
        </w:rPr>
        <w:t xml:space="preserve">- </w:t>
      </w:r>
      <w:r w:rsidR="006A0E0E" w:rsidRPr="00395738">
        <w:rPr>
          <w:rFonts w:cs="Times New Roman"/>
          <w:b/>
          <w:bCs/>
          <w:color w:val="000000"/>
          <w:sz w:val="24"/>
          <w:szCs w:val="24"/>
        </w:rPr>
        <w:t>C</w:t>
      </w:r>
      <w:r w:rsidR="000431C0" w:rsidRPr="00395738">
        <w:rPr>
          <w:rFonts w:cs="Times New Roman"/>
          <w:b/>
          <w:bCs/>
          <w:color w:val="000000"/>
          <w:sz w:val="24"/>
          <w:szCs w:val="24"/>
        </w:rPr>
        <w:t>Rs</w:t>
      </w:r>
      <w:r w:rsidR="006A0E0E" w:rsidRPr="00395738">
        <w:rPr>
          <w:rFonts w:cs="Times New Roman"/>
          <w:b/>
          <w:bCs/>
          <w:color w:val="000000"/>
          <w:sz w:val="24"/>
          <w:szCs w:val="24"/>
        </w:rPr>
        <w:t xml:space="preserve"> are </w:t>
      </w:r>
      <w:r w:rsidR="000431C0" w:rsidRPr="00395738">
        <w:rPr>
          <w:rFonts w:cs="Times New Roman"/>
          <w:b/>
          <w:bCs/>
          <w:color w:val="000000"/>
          <w:sz w:val="24"/>
          <w:szCs w:val="24"/>
        </w:rPr>
        <w:t xml:space="preserve">being </w:t>
      </w:r>
      <w:r w:rsidR="006A0E0E" w:rsidRPr="00395738">
        <w:rPr>
          <w:rFonts w:cs="Times New Roman"/>
          <w:b/>
          <w:bCs/>
          <w:color w:val="000000"/>
          <w:sz w:val="24"/>
          <w:szCs w:val="24"/>
        </w:rPr>
        <w:t>upgraded to meet the new credit data needs</w:t>
      </w:r>
      <w:r w:rsidR="0092577F" w:rsidRPr="00395738">
        <w:rPr>
          <w:rFonts w:cs="Times New Roman"/>
          <w:b/>
          <w:bCs/>
          <w:color w:val="000000"/>
          <w:sz w:val="24"/>
          <w:szCs w:val="24"/>
        </w:rPr>
        <w:t xml:space="preserve"> of financial sector authorities</w:t>
      </w:r>
      <w:r w:rsidR="006A0E0E" w:rsidRPr="00395738">
        <w:rPr>
          <w:rFonts w:cs="Times New Roman"/>
          <w:b/>
          <w:bCs/>
          <w:color w:val="000000"/>
          <w:sz w:val="24"/>
          <w:szCs w:val="24"/>
        </w:rPr>
        <w:t xml:space="preserve">. At the same time, CBs and CCRCs see a growing role in the </w:t>
      </w:r>
      <w:r w:rsidR="0092577F" w:rsidRPr="00395738">
        <w:rPr>
          <w:rFonts w:cs="Times New Roman"/>
          <w:b/>
          <w:bCs/>
          <w:color w:val="000000"/>
          <w:sz w:val="24"/>
          <w:szCs w:val="24"/>
        </w:rPr>
        <w:t xml:space="preserve">financial sector </w:t>
      </w:r>
      <w:r w:rsidR="006A0E0E" w:rsidRPr="00395738">
        <w:rPr>
          <w:rFonts w:cs="Times New Roman"/>
          <w:b/>
          <w:bCs/>
          <w:color w:val="000000"/>
          <w:sz w:val="24"/>
          <w:szCs w:val="24"/>
        </w:rPr>
        <w:t>regulatory/supervisory space</w:t>
      </w:r>
      <w:r w:rsidR="00BB3666" w:rsidRPr="00395738">
        <w:rPr>
          <w:rFonts w:cs="Times New Roman"/>
          <w:b/>
          <w:bCs/>
          <w:color w:val="000000"/>
          <w:sz w:val="24"/>
          <w:szCs w:val="24"/>
        </w:rPr>
        <w:t>.</w:t>
      </w:r>
    </w:p>
    <w:p w14:paraId="50FC2E78" w14:textId="669BD58F" w:rsidR="00977CCE" w:rsidRPr="00395738" w:rsidRDefault="000431C0" w:rsidP="004A24AD">
      <w:pPr>
        <w:autoSpaceDE w:val="0"/>
        <w:autoSpaceDN w:val="0"/>
        <w:adjustRightInd w:val="0"/>
        <w:spacing w:after="120" w:line="360" w:lineRule="auto"/>
        <w:ind w:left="720"/>
        <w:jc w:val="both"/>
        <w:rPr>
          <w:rFonts w:cs="Times New Roman"/>
          <w:color w:val="000000"/>
          <w:sz w:val="24"/>
          <w:szCs w:val="24"/>
        </w:rPr>
      </w:pPr>
      <w:r w:rsidRPr="00395738">
        <w:rPr>
          <w:rFonts w:cs="Times New Roman"/>
          <w:color w:val="000000"/>
          <w:sz w:val="24"/>
          <w:szCs w:val="24"/>
        </w:rPr>
        <w:t xml:space="preserve">Structured data sources such as CRSPs have proved especially useful for financial sector authorities in fulfilling their duties. </w:t>
      </w:r>
      <w:r w:rsidR="008F7AD2" w:rsidRPr="00395738">
        <w:rPr>
          <w:rFonts w:cs="Times New Roman"/>
          <w:color w:val="000000"/>
          <w:sz w:val="24"/>
          <w:szCs w:val="24"/>
        </w:rPr>
        <w:t>F</w:t>
      </w:r>
      <w:r w:rsidR="00701AC1" w:rsidRPr="00395738">
        <w:rPr>
          <w:rFonts w:cs="Times New Roman"/>
          <w:color w:val="000000"/>
          <w:sz w:val="24"/>
          <w:szCs w:val="24"/>
        </w:rPr>
        <w:t xml:space="preserve">inancial sector authorities </w:t>
      </w:r>
      <w:r w:rsidR="008F7AD2" w:rsidRPr="00395738">
        <w:rPr>
          <w:rFonts w:cs="Times New Roman"/>
          <w:color w:val="000000"/>
          <w:sz w:val="24"/>
          <w:szCs w:val="24"/>
        </w:rPr>
        <w:t>around the world are revamping existing CRs and other credit databases they operate</w:t>
      </w:r>
      <w:r w:rsidR="00AF30B7" w:rsidRPr="00395738">
        <w:rPr>
          <w:rFonts w:cs="Times New Roman"/>
          <w:color w:val="000000"/>
          <w:sz w:val="24"/>
          <w:szCs w:val="24"/>
        </w:rPr>
        <w:t xml:space="preserve">, and/or </w:t>
      </w:r>
      <w:r w:rsidR="008F7AD2" w:rsidRPr="00395738">
        <w:rPr>
          <w:rFonts w:cs="Times New Roman"/>
          <w:color w:val="000000"/>
          <w:sz w:val="24"/>
          <w:szCs w:val="24"/>
        </w:rPr>
        <w:t xml:space="preserve">are </w:t>
      </w:r>
      <w:r w:rsidR="00AF30B7" w:rsidRPr="00395738">
        <w:rPr>
          <w:rFonts w:cs="Times New Roman"/>
          <w:color w:val="000000"/>
          <w:sz w:val="24"/>
          <w:szCs w:val="24"/>
        </w:rPr>
        <w:t>promot</w:t>
      </w:r>
      <w:r w:rsidR="008F7AD2" w:rsidRPr="00395738">
        <w:rPr>
          <w:rFonts w:cs="Times New Roman"/>
          <w:color w:val="000000"/>
          <w:sz w:val="24"/>
          <w:szCs w:val="24"/>
        </w:rPr>
        <w:t xml:space="preserve">ing </w:t>
      </w:r>
      <w:r w:rsidR="00AF30B7" w:rsidRPr="00395738">
        <w:rPr>
          <w:rFonts w:cs="Times New Roman"/>
          <w:color w:val="000000"/>
          <w:sz w:val="24"/>
          <w:szCs w:val="24"/>
        </w:rPr>
        <w:t>or requ</w:t>
      </w:r>
      <w:r w:rsidR="008F7AD2" w:rsidRPr="00395738">
        <w:rPr>
          <w:rFonts w:cs="Times New Roman"/>
          <w:color w:val="000000"/>
          <w:sz w:val="24"/>
          <w:szCs w:val="24"/>
        </w:rPr>
        <w:t>i</w:t>
      </w:r>
      <w:r w:rsidR="00AF30B7" w:rsidRPr="00395738">
        <w:rPr>
          <w:rFonts w:cs="Times New Roman"/>
          <w:color w:val="000000"/>
          <w:sz w:val="24"/>
          <w:szCs w:val="24"/>
        </w:rPr>
        <w:t>r</w:t>
      </w:r>
      <w:r w:rsidR="008F7AD2" w:rsidRPr="00395738">
        <w:rPr>
          <w:rFonts w:cs="Times New Roman"/>
          <w:color w:val="000000"/>
          <w:sz w:val="24"/>
          <w:szCs w:val="24"/>
        </w:rPr>
        <w:t xml:space="preserve">ing </w:t>
      </w:r>
      <w:r w:rsidR="00AF30B7" w:rsidRPr="00395738">
        <w:rPr>
          <w:rFonts w:cs="Times New Roman"/>
          <w:color w:val="000000"/>
          <w:sz w:val="24"/>
          <w:szCs w:val="24"/>
        </w:rPr>
        <w:t>i</w:t>
      </w:r>
      <w:r w:rsidR="00C925FC" w:rsidRPr="00395738">
        <w:rPr>
          <w:rFonts w:cs="Times New Roman"/>
          <w:color w:val="000000"/>
          <w:sz w:val="24"/>
          <w:szCs w:val="24"/>
        </w:rPr>
        <w:t xml:space="preserve">mprovements in </w:t>
      </w:r>
      <w:r w:rsidR="00701AC1" w:rsidRPr="00395738">
        <w:rPr>
          <w:rFonts w:cs="Times New Roman"/>
          <w:color w:val="000000"/>
          <w:sz w:val="24"/>
          <w:szCs w:val="24"/>
        </w:rPr>
        <w:t xml:space="preserve">CBs and CCRCs. </w:t>
      </w:r>
      <w:r w:rsidR="004A24AD" w:rsidRPr="00395738">
        <w:rPr>
          <w:rFonts w:cs="Times New Roman"/>
          <w:color w:val="000000"/>
          <w:sz w:val="24"/>
          <w:szCs w:val="24"/>
        </w:rPr>
        <w:t>The main reason for this is that the quality and overall usage potential of data from CRSPs is very often higher than if such data were obtained directly from each reporting institution through ad hoc, unstructured requests.</w:t>
      </w:r>
    </w:p>
    <w:p w14:paraId="4766320D" w14:textId="77777777" w:rsidR="00945C36" w:rsidRPr="00395738" w:rsidRDefault="00945C36" w:rsidP="00945C36">
      <w:pPr>
        <w:autoSpaceDE w:val="0"/>
        <w:autoSpaceDN w:val="0"/>
        <w:adjustRightInd w:val="0"/>
        <w:spacing w:after="120" w:line="360" w:lineRule="auto"/>
        <w:ind w:left="720"/>
        <w:jc w:val="both"/>
        <w:rPr>
          <w:rFonts w:cs="Times New Roman"/>
          <w:color w:val="000000"/>
          <w:sz w:val="24"/>
          <w:szCs w:val="24"/>
          <w:u w:val="single"/>
        </w:rPr>
      </w:pPr>
      <w:r w:rsidRPr="00395738">
        <w:rPr>
          <w:rFonts w:cs="Times New Roman"/>
          <w:color w:val="000000"/>
          <w:sz w:val="24"/>
          <w:szCs w:val="24"/>
          <w:u w:val="single"/>
        </w:rPr>
        <w:t>Key challenges:</w:t>
      </w:r>
    </w:p>
    <w:p w14:paraId="650D775D" w14:textId="7219B778" w:rsidR="00EC2019" w:rsidRPr="00395738" w:rsidRDefault="00EC2019" w:rsidP="00AA3623">
      <w:pPr>
        <w:pStyle w:val="ListParagraph"/>
        <w:numPr>
          <w:ilvl w:val="0"/>
          <w:numId w:val="35"/>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 xml:space="preserve">CRSPs often face a variety of problems to make available high quality, comprehensive data to financial sector authorities. </w:t>
      </w:r>
      <w:r w:rsidR="00AA3623" w:rsidRPr="00395738">
        <w:rPr>
          <w:rFonts w:cs="Times New Roman"/>
          <w:color w:val="000000"/>
          <w:sz w:val="24"/>
          <w:szCs w:val="24"/>
        </w:rPr>
        <w:t>These inc</w:t>
      </w:r>
      <w:r w:rsidRPr="00395738">
        <w:rPr>
          <w:rFonts w:cs="Times New Roman"/>
          <w:color w:val="000000"/>
          <w:sz w:val="24"/>
          <w:szCs w:val="24"/>
        </w:rPr>
        <w:t xml:space="preserve">lude the lack of a clear and consistent interpretation of variables and/or their attributes, </w:t>
      </w:r>
      <w:r w:rsidR="008F7AD2" w:rsidRPr="00395738">
        <w:rPr>
          <w:rFonts w:cs="Times New Roman"/>
          <w:color w:val="000000"/>
          <w:sz w:val="24"/>
          <w:szCs w:val="24"/>
        </w:rPr>
        <w:t xml:space="preserve">other data quality issues on the side of data providers, </w:t>
      </w:r>
      <w:r w:rsidRPr="00395738">
        <w:rPr>
          <w:rFonts w:cs="Times New Roman"/>
          <w:color w:val="000000"/>
          <w:sz w:val="24"/>
          <w:szCs w:val="24"/>
        </w:rPr>
        <w:t xml:space="preserve">limited collection of positive credit data, limited coverage of lenders and/or debtors, and not capturing other types of credit risk exposures of regulated </w:t>
      </w:r>
      <w:r w:rsidR="00673881" w:rsidRPr="00395738">
        <w:rPr>
          <w:rFonts w:cs="Times New Roman"/>
          <w:color w:val="000000"/>
          <w:sz w:val="24"/>
          <w:szCs w:val="24"/>
        </w:rPr>
        <w:t>institu</w:t>
      </w:r>
      <w:r w:rsidRPr="00395738">
        <w:rPr>
          <w:rFonts w:cs="Times New Roman"/>
          <w:color w:val="000000"/>
          <w:sz w:val="24"/>
          <w:szCs w:val="24"/>
        </w:rPr>
        <w:t>tions (e.g. securities, derivatives</w:t>
      </w:r>
      <w:r w:rsidR="00AA3623" w:rsidRPr="00395738">
        <w:rPr>
          <w:rFonts w:cs="Times New Roman"/>
          <w:color w:val="000000"/>
          <w:sz w:val="24"/>
          <w:szCs w:val="24"/>
        </w:rPr>
        <w:t>, guarantees</w:t>
      </w:r>
      <w:r w:rsidRPr="00395738">
        <w:rPr>
          <w:rFonts w:cs="Times New Roman"/>
          <w:color w:val="000000"/>
          <w:sz w:val="24"/>
          <w:szCs w:val="24"/>
        </w:rPr>
        <w:t>).</w:t>
      </w:r>
    </w:p>
    <w:p w14:paraId="756E7BE6" w14:textId="43E79543" w:rsidR="00AF5F98" w:rsidRPr="00395738" w:rsidRDefault="00AF5F98" w:rsidP="00AF5F98">
      <w:pPr>
        <w:autoSpaceDE w:val="0"/>
        <w:autoSpaceDN w:val="0"/>
        <w:adjustRightInd w:val="0"/>
        <w:spacing w:after="120" w:line="360" w:lineRule="auto"/>
        <w:ind w:left="1440"/>
        <w:jc w:val="both"/>
        <w:rPr>
          <w:rFonts w:cs="Times New Roman"/>
          <w:i/>
          <w:color w:val="000000"/>
          <w:sz w:val="24"/>
          <w:szCs w:val="24"/>
        </w:rPr>
      </w:pPr>
      <w:r w:rsidRPr="00395738">
        <w:rPr>
          <w:rFonts w:cs="Times New Roman"/>
          <w:i/>
          <w:color w:val="000000"/>
          <w:sz w:val="24"/>
          <w:szCs w:val="24"/>
        </w:rPr>
        <w:t>Financial sector authorities, CRSPs and data providers could devise mechanisms</w:t>
      </w:r>
      <w:r w:rsidR="000D1EC1" w:rsidRPr="00395738">
        <w:rPr>
          <w:rFonts w:cs="Times New Roman"/>
          <w:i/>
          <w:color w:val="000000"/>
          <w:sz w:val="24"/>
          <w:szCs w:val="24"/>
        </w:rPr>
        <w:t xml:space="preserve"> (e.g. incentives/penalties)</w:t>
      </w:r>
      <w:r w:rsidRPr="00395738">
        <w:rPr>
          <w:rFonts w:cs="Times New Roman"/>
          <w:i/>
          <w:color w:val="000000"/>
          <w:sz w:val="24"/>
          <w:szCs w:val="24"/>
        </w:rPr>
        <w:t xml:space="preserve"> to ensure there is a clear and consistent interpretation of the variables </w:t>
      </w:r>
      <w:r w:rsidR="00F1593D" w:rsidRPr="00395738">
        <w:rPr>
          <w:rFonts w:cs="Times New Roman"/>
          <w:i/>
          <w:color w:val="000000"/>
          <w:sz w:val="24"/>
          <w:szCs w:val="24"/>
        </w:rPr>
        <w:t>(</w:t>
      </w:r>
      <w:r w:rsidRPr="00395738">
        <w:rPr>
          <w:rFonts w:cs="Times New Roman"/>
          <w:i/>
          <w:color w:val="000000"/>
          <w:sz w:val="24"/>
          <w:szCs w:val="24"/>
        </w:rPr>
        <w:t>and their attributes) on which data is collected by CRSPs</w:t>
      </w:r>
      <w:r w:rsidR="00680072" w:rsidRPr="00395738">
        <w:rPr>
          <w:rFonts w:cs="Times New Roman"/>
          <w:i/>
          <w:color w:val="000000"/>
          <w:sz w:val="24"/>
          <w:szCs w:val="24"/>
        </w:rPr>
        <w:t>, and in general ensure there is high-quality reporting by data providers</w:t>
      </w:r>
    </w:p>
    <w:p w14:paraId="66412F4E" w14:textId="5B1D03D5" w:rsidR="009B2258" w:rsidRPr="00395738" w:rsidRDefault="00A37507" w:rsidP="0031617B">
      <w:pPr>
        <w:autoSpaceDE w:val="0"/>
        <w:autoSpaceDN w:val="0"/>
        <w:adjustRightInd w:val="0"/>
        <w:spacing w:after="240" w:line="360" w:lineRule="auto"/>
        <w:ind w:left="1440"/>
        <w:jc w:val="both"/>
        <w:rPr>
          <w:rFonts w:cs="Times New Roman"/>
          <w:i/>
          <w:color w:val="000000"/>
          <w:sz w:val="24"/>
          <w:szCs w:val="24"/>
        </w:rPr>
      </w:pPr>
      <w:r w:rsidRPr="00395738">
        <w:rPr>
          <w:rFonts w:cs="Times New Roman"/>
          <w:i/>
          <w:color w:val="000000"/>
          <w:sz w:val="24"/>
          <w:szCs w:val="24"/>
        </w:rPr>
        <w:t>CRSPs should work with regulators/overs</w:t>
      </w:r>
      <w:r w:rsidR="00EF25BA" w:rsidRPr="00395738">
        <w:rPr>
          <w:rFonts w:cs="Times New Roman"/>
          <w:i/>
          <w:color w:val="000000"/>
          <w:sz w:val="24"/>
          <w:szCs w:val="24"/>
        </w:rPr>
        <w:t>eers</w:t>
      </w:r>
      <w:r w:rsidR="000D1EC1" w:rsidRPr="00395738">
        <w:rPr>
          <w:rFonts w:cs="Times New Roman"/>
          <w:i/>
          <w:color w:val="000000"/>
          <w:sz w:val="24"/>
          <w:szCs w:val="24"/>
        </w:rPr>
        <w:t xml:space="preserve"> </w:t>
      </w:r>
      <w:r w:rsidRPr="00395738">
        <w:rPr>
          <w:rFonts w:cs="Times New Roman"/>
          <w:i/>
          <w:color w:val="000000"/>
          <w:sz w:val="24"/>
          <w:szCs w:val="24"/>
        </w:rPr>
        <w:t xml:space="preserve">to implement the guidelines on sufficient data and </w:t>
      </w:r>
      <w:r w:rsidR="000D1EC1" w:rsidRPr="00395738">
        <w:rPr>
          <w:rFonts w:cs="Times New Roman"/>
          <w:i/>
          <w:color w:val="000000"/>
          <w:sz w:val="24"/>
          <w:szCs w:val="24"/>
        </w:rPr>
        <w:t xml:space="preserve">on </w:t>
      </w:r>
      <w:r w:rsidRPr="00395738">
        <w:rPr>
          <w:rFonts w:cs="Times New Roman"/>
          <w:i/>
          <w:color w:val="000000"/>
          <w:sz w:val="24"/>
          <w:szCs w:val="24"/>
        </w:rPr>
        <w:t>collection of data on a systematic basis from all relevant and available sources</w:t>
      </w:r>
      <w:r w:rsidR="000D1EC1" w:rsidRPr="00395738">
        <w:rPr>
          <w:rFonts w:cs="Times New Roman"/>
          <w:i/>
          <w:color w:val="000000"/>
          <w:sz w:val="24"/>
          <w:szCs w:val="24"/>
        </w:rPr>
        <w:t>,</w:t>
      </w:r>
      <w:r w:rsidRPr="00395738">
        <w:rPr>
          <w:rFonts w:cs="Times New Roman"/>
          <w:i/>
          <w:color w:val="000000"/>
          <w:sz w:val="24"/>
          <w:szCs w:val="24"/>
        </w:rPr>
        <w:t xml:space="preserve"> in connection with General Principle 1</w:t>
      </w:r>
      <w:r w:rsidR="00AF5F98" w:rsidRPr="00395738">
        <w:rPr>
          <w:rFonts w:cs="Times New Roman"/>
          <w:i/>
          <w:color w:val="000000"/>
          <w:sz w:val="24"/>
          <w:szCs w:val="24"/>
        </w:rPr>
        <w:t>.</w:t>
      </w:r>
      <w:r w:rsidR="009B2258" w:rsidRPr="00395738">
        <w:rPr>
          <w:rStyle w:val="FootnoteReference"/>
          <w:rFonts w:cs="Times New Roman"/>
          <w:i/>
          <w:color w:val="000000"/>
          <w:sz w:val="24"/>
          <w:szCs w:val="24"/>
        </w:rPr>
        <w:footnoteReference w:id="66"/>
      </w:r>
      <w:r w:rsidR="009B2258" w:rsidRPr="00395738">
        <w:rPr>
          <w:rFonts w:cs="Times New Roman"/>
          <w:i/>
          <w:color w:val="000000"/>
          <w:sz w:val="24"/>
          <w:szCs w:val="24"/>
        </w:rPr>
        <w:t xml:space="preserve"> </w:t>
      </w:r>
      <w:r w:rsidR="00AF5F98" w:rsidRPr="00395738">
        <w:rPr>
          <w:rFonts w:cs="Times New Roman"/>
          <w:i/>
          <w:color w:val="000000"/>
          <w:sz w:val="24"/>
          <w:szCs w:val="24"/>
        </w:rPr>
        <w:t>More generally, to be able to assist supervision and regulation effectively CRSPs will need to observe all the General Principles that apply to them.</w:t>
      </w:r>
    </w:p>
    <w:p w14:paraId="369AFFB4" w14:textId="3921FE24" w:rsidR="00945C36" w:rsidRPr="00395738" w:rsidRDefault="00B5584C" w:rsidP="00945C36">
      <w:pPr>
        <w:pStyle w:val="ListParagraph"/>
        <w:numPr>
          <w:ilvl w:val="0"/>
          <w:numId w:val="35"/>
        </w:numPr>
        <w:autoSpaceDE w:val="0"/>
        <w:autoSpaceDN w:val="0"/>
        <w:adjustRightInd w:val="0"/>
        <w:spacing w:after="120" w:line="360" w:lineRule="auto"/>
        <w:jc w:val="both"/>
        <w:rPr>
          <w:rFonts w:cs="Times New Roman"/>
          <w:color w:val="000000"/>
          <w:sz w:val="24"/>
          <w:szCs w:val="24"/>
        </w:rPr>
      </w:pPr>
      <w:r w:rsidRPr="00395738">
        <w:rPr>
          <w:rFonts w:cs="Times New Roman"/>
          <w:color w:val="000000"/>
          <w:sz w:val="24"/>
          <w:szCs w:val="24"/>
        </w:rPr>
        <w:lastRenderedPageBreak/>
        <w:t>In order to improve the robustness of their analyses, f</w:t>
      </w:r>
      <w:r w:rsidR="00945C36" w:rsidRPr="00395738">
        <w:rPr>
          <w:rFonts w:cs="Times New Roman"/>
          <w:color w:val="000000"/>
          <w:sz w:val="24"/>
          <w:szCs w:val="24"/>
        </w:rPr>
        <w:t xml:space="preserve">inancial sector authorities </w:t>
      </w:r>
      <w:r w:rsidRPr="00395738">
        <w:rPr>
          <w:rFonts w:cs="Times New Roman"/>
          <w:color w:val="000000"/>
          <w:sz w:val="24"/>
          <w:szCs w:val="24"/>
        </w:rPr>
        <w:t>need t</w:t>
      </w:r>
      <w:r w:rsidR="00945C36" w:rsidRPr="00395738">
        <w:rPr>
          <w:rFonts w:cs="Times New Roman"/>
          <w:color w:val="000000"/>
          <w:sz w:val="24"/>
          <w:szCs w:val="24"/>
        </w:rPr>
        <w:t>o have a picture as complete as possible of debtors and lenders</w:t>
      </w:r>
      <w:r w:rsidR="00CF0B37" w:rsidRPr="00395738">
        <w:rPr>
          <w:rFonts w:cs="Times New Roman"/>
          <w:color w:val="000000"/>
          <w:sz w:val="24"/>
          <w:szCs w:val="24"/>
        </w:rPr>
        <w:t xml:space="preserve">, for which they may need to rely in credit data from </w:t>
      </w:r>
      <w:r w:rsidR="00945C36" w:rsidRPr="00395738">
        <w:rPr>
          <w:rFonts w:cs="Times New Roman"/>
          <w:color w:val="000000"/>
          <w:sz w:val="24"/>
          <w:szCs w:val="24"/>
        </w:rPr>
        <w:t>CBs</w:t>
      </w:r>
      <w:r w:rsidR="00CF0B37" w:rsidRPr="00395738">
        <w:rPr>
          <w:rFonts w:cs="Times New Roman"/>
          <w:color w:val="000000"/>
          <w:sz w:val="24"/>
          <w:szCs w:val="24"/>
        </w:rPr>
        <w:t xml:space="preserve"> and</w:t>
      </w:r>
      <w:r w:rsidR="00945C36" w:rsidRPr="00395738">
        <w:rPr>
          <w:rFonts w:cs="Times New Roman"/>
          <w:color w:val="000000"/>
          <w:sz w:val="24"/>
          <w:szCs w:val="24"/>
        </w:rPr>
        <w:t xml:space="preserve"> CCRCs </w:t>
      </w:r>
      <w:r w:rsidR="00CF0B37" w:rsidRPr="00395738">
        <w:rPr>
          <w:rFonts w:cs="Times New Roman"/>
          <w:color w:val="000000"/>
          <w:sz w:val="24"/>
          <w:szCs w:val="24"/>
        </w:rPr>
        <w:t xml:space="preserve">in addition to the data in </w:t>
      </w:r>
      <w:r w:rsidR="00945C36" w:rsidRPr="00395738">
        <w:rPr>
          <w:rFonts w:cs="Times New Roman"/>
          <w:color w:val="000000"/>
          <w:sz w:val="24"/>
          <w:szCs w:val="24"/>
        </w:rPr>
        <w:t xml:space="preserve">CRs (and/or </w:t>
      </w:r>
      <w:r w:rsidR="00CF0B37" w:rsidRPr="00395738">
        <w:rPr>
          <w:rFonts w:cs="Times New Roman"/>
          <w:color w:val="000000"/>
          <w:sz w:val="24"/>
          <w:szCs w:val="24"/>
        </w:rPr>
        <w:t xml:space="preserve">in </w:t>
      </w:r>
      <w:r w:rsidR="00945C36" w:rsidRPr="00395738">
        <w:rPr>
          <w:rFonts w:cs="Times New Roman"/>
          <w:color w:val="000000"/>
          <w:sz w:val="24"/>
          <w:szCs w:val="24"/>
        </w:rPr>
        <w:t>other credit</w:t>
      </w:r>
      <w:r w:rsidR="00CF0B37" w:rsidRPr="00395738">
        <w:rPr>
          <w:rFonts w:cs="Times New Roman"/>
          <w:color w:val="000000"/>
          <w:sz w:val="24"/>
          <w:szCs w:val="24"/>
        </w:rPr>
        <w:t xml:space="preserve"> </w:t>
      </w:r>
      <w:r w:rsidR="00945C36" w:rsidRPr="00395738">
        <w:rPr>
          <w:rFonts w:cs="Times New Roman"/>
          <w:color w:val="000000"/>
          <w:sz w:val="24"/>
          <w:szCs w:val="24"/>
        </w:rPr>
        <w:t xml:space="preserve">databases </w:t>
      </w:r>
      <w:r w:rsidR="005E1928" w:rsidRPr="00395738">
        <w:rPr>
          <w:rFonts w:cs="Times New Roman"/>
          <w:color w:val="000000"/>
          <w:sz w:val="24"/>
          <w:szCs w:val="24"/>
        </w:rPr>
        <w:t xml:space="preserve">that </w:t>
      </w:r>
      <w:r w:rsidR="00CF0B37" w:rsidRPr="00395738">
        <w:rPr>
          <w:rFonts w:cs="Times New Roman"/>
          <w:color w:val="000000"/>
          <w:sz w:val="24"/>
          <w:szCs w:val="24"/>
        </w:rPr>
        <w:t>authorities may operate</w:t>
      </w:r>
      <w:r w:rsidR="00945C36" w:rsidRPr="00395738">
        <w:rPr>
          <w:rFonts w:cs="Times New Roman"/>
          <w:color w:val="000000"/>
          <w:sz w:val="24"/>
          <w:szCs w:val="24"/>
        </w:rPr>
        <w:t xml:space="preserve">). </w:t>
      </w:r>
    </w:p>
    <w:p w14:paraId="73507434" w14:textId="5ADBC0C9" w:rsidR="00945C36" w:rsidRPr="00395738" w:rsidRDefault="002265D3" w:rsidP="00276451">
      <w:pPr>
        <w:autoSpaceDE w:val="0"/>
        <w:autoSpaceDN w:val="0"/>
        <w:adjustRightInd w:val="0"/>
        <w:spacing w:after="240" w:line="360" w:lineRule="auto"/>
        <w:ind w:left="1440"/>
        <w:jc w:val="both"/>
        <w:rPr>
          <w:rFonts w:cs="Times New Roman"/>
          <w:i/>
          <w:color w:val="000000"/>
          <w:sz w:val="24"/>
          <w:szCs w:val="24"/>
        </w:rPr>
      </w:pPr>
      <w:r w:rsidRPr="00395738">
        <w:rPr>
          <w:rFonts w:cs="Times New Roman"/>
          <w:i/>
          <w:color w:val="000000"/>
          <w:sz w:val="24"/>
          <w:szCs w:val="24"/>
        </w:rPr>
        <w:t>F</w:t>
      </w:r>
      <w:r w:rsidR="00945C36" w:rsidRPr="00395738">
        <w:rPr>
          <w:rFonts w:cs="Times New Roman"/>
          <w:i/>
          <w:color w:val="000000"/>
          <w:sz w:val="24"/>
          <w:szCs w:val="24"/>
        </w:rPr>
        <w:t xml:space="preserve">inancial sector authorities </w:t>
      </w:r>
      <w:r w:rsidR="0031617B" w:rsidRPr="00395738">
        <w:rPr>
          <w:rFonts w:cs="Times New Roman"/>
          <w:i/>
          <w:color w:val="000000"/>
          <w:sz w:val="24"/>
          <w:szCs w:val="24"/>
        </w:rPr>
        <w:t xml:space="preserve">should look </w:t>
      </w:r>
      <w:r w:rsidR="00E6463E" w:rsidRPr="00395738">
        <w:rPr>
          <w:rFonts w:cs="Times New Roman"/>
          <w:i/>
          <w:color w:val="000000"/>
          <w:sz w:val="24"/>
          <w:szCs w:val="24"/>
        </w:rPr>
        <w:t xml:space="preserve">to </w:t>
      </w:r>
      <w:r w:rsidR="00CF0B37" w:rsidRPr="00395738">
        <w:rPr>
          <w:rFonts w:cs="Times New Roman"/>
          <w:i/>
          <w:color w:val="000000"/>
          <w:sz w:val="24"/>
          <w:szCs w:val="24"/>
        </w:rPr>
        <w:t xml:space="preserve">take advantage of the specific strengths of </w:t>
      </w:r>
      <w:r w:rsidR="00945C36" w:rsidRPr="00395738">
        <w:rPr>
          <w:rFonts w:cs="Times New Roman"/>
          <w:i/>
          <w:color w:val="000000"/>
          <w:sz w:val="24"/>
          <w:szCs w:val="24"/>
        </w:rPr>
        <w:t xml:space="preserve">the various CRSPs </w:t>
      </w:r>
      <w:r w:rsidRPr="00395738">
        <w:rPr>
          <w:rFonts w:cs="Times New Roman"/>
          <w:i/>
          <w:color w:val="000000"/>
          <w:sz w:val="24"/>
          <w:szCs w:val="24"/>
        </w:rPr>
        <w:t xml:space="preserve">for regulatory and supervisory purposes </w:t>
      </w:r>
      <w:r w:rsidR="00CF0B37" w:rsidRPr="00395738">
        <w:rPr>
          <w:rFonts w:cs="Times New Roman"/>
          <w:i/>
          <w:color w:val="000000"/>
          <w:sz w:val="24"/>
          <w:szCs w:val="24"/>
        </w:rPr>
        <w:t xml:space="preserve">and </w:t>
      </w:r>
      <w:r w:rsidR="0031617B" w:rsidRPr="00395738">
        <w:rPr>
          <w:rFonts w:cs="Times New Roman"/>
          <w:i/>
          <w:color w:val="000000"/>
          <w:sz w:val="24"/>
          <w:szCs w:val="24"/>
        </w:rPr>
        <w:t xml:space="preserve">in this context </w:t>
      </w:r>
      <w:r w:rsidR="00CF0B37" w:rsidRPr="00395738">
        <w:rPr>
          <w:rFonts w:cs="Times New Roman"/>
          <w:i/>
          <w:color w:val="000000"/>
          <w:sz w:val="24"/>
          <w:szCs w:val="24"/>
        </w:rPr>
        <w:t xml:space="preserve">regard them </w:t>
      </w:r>
      <w:r w:rsidRPr="00395738">
        <w:rPr>
          <w:rFonts w:cs="Times New Roman"/>
          <w:i/>
          <w:color w:val="000000"/>
          <w:sz w:val="24"/>
          <w:szCs w:val="24"/>
        </w:rPr>
        <w:t>as complementary to each other</w:t>
      </w:r>
      <w:r w:rsidR="00CF0B37" w:rsidRPr="00395738">
        <w:rPr>
          <w:rFonts w:cs="Times New Roman"/>
          <w:i/>
          <w:color w:val="000000"/>
          <w:sz w:val="24"/>
          <w:szCs w:val="24"/>
        </w:rPr>
        <w:t>,</w:t>
      </w:r>
      <w:r w:rsidR="00945C36" w:rsidRPr="00395738">
        <w:rPr>
          <w:rFonts w:cs="Times New Roman"/>
          <w:i/>
          <w:color w:val="000000"/>
          <w:sz w:val="24"/>
          <w:szCs w:val="24"/>
        </w:rPr>
        <w:t xml:space="preserve"> rather than as substitutes. </w:t>
      </w:r>
    </w:p>
    <w:p w14:paraId="723D088D" w14:textId="00E79240" w:rsidR="00841D4F" w:rsidRPr="00395738" w:rsidRDefault="00251081" w:rsidP="00841D4F">
      <w:pPr>
        <w:pStyle w:val="ListParagraph"/>
        <w:numPr>
          <w:ilvl w:val="0"/>
          <w:numId w:val="35"/>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 xml:space="preserve">Financial sector authorities may face challenges to </w:t>
      </w:r>
      <w:r w:rsidR="00841D4F" w:rsidRPr="00395738">
        <w:rPr>
          <w:rFonts w:cs="Times New Roman"/>
          <w:color w:val="000000"/>
          <w:sz w:val="24"/>
          <w:szCs w:val="24"/>
        </w:rPr>
        <w:t xml:space="preserve">induce change in CRSPs, </w:t>
      </w:r>
      <w:r w:rsidR="005D1505" w:rsidRPr="00395738">
        <w:rPr>
          <w:rFonts w:cs="Times New Roman"/>
          <w:color w:val="000000"/>
          <w:sz w:val="24"/>
          <w:szCs w:val="24"/>
        </w:rPr>
        <w:t xml:space="preserve">especially </w:t>
      </w:r>
      <w:r w:rsidR="00134595" w:rsidRPr="00395738">
        <w:rPr>
          <w:rFonts w:cs="Times New Roman"/>
          <w:color w:val="000000"/>
          <w:sz w:val="24"/>
          <w:szCs w:val="24"/>
        </w:rPr>
        <w:t xml:space="preserve">those </w:t>
      </w:r>
      <w:r w:rsidR="005D1505" w:rsidRPr="00395738">
        <w:rPr>
          <w:rFonts w:cs="Times New Roman"/>
          <w:color w:val="000000"/>
          <w:sz w:val="24"/>
          <w:szCs w:val="24"/>
        </w:rPr>
        <w:t xml:space="preserve">operated by the private sector, </w:t>
      </w:r>
      <w:r w:rsidR="00841D4F" w:rsidRPr="00395738">
        <w:rPr>
          <w:rFonts w:cs="Times New Roman"/>
          <w:color w:val="000000"/>
          <w:sz w:val="24"/>
          <w:szCs w:val="24"/>
        </w:rPr>
        <w:t xml:space="preserve">and in general to define and implement the oversight framework over the credit reporting system so that </w:t>
      </w:r>
      <w:r w:rsidR="005D1505" w:rsidRPr="00395738">
        <w:rPr>
          <w:rFonts w:cs="Times New Roman"/>
          <w:color w:val="000000"/>
          <w:sz w:val="24"/>
          <w:szCs w:val="24"/>
        </w:rPr>
        <w:t xml:space="preserve">it </w:t>
      </w:r>
      <w:r w:rsidR="00841D4F" w:rsidRPr="00395738">
        <w:rPr>
          <w:rFonts w:cs="Times New Roman"/>
          <w:color w:val="000000"/>
          <w:sz w:val="24"/>
          <w:szCs w:val="24"/>
        </w:rPr>
        <w:t xml:space="preserve">continues to assist </w:t>
      </w:r>
      <w:r w:rsidR="005D1505" w:rsidRPr="00395738">
        <w:rPr>
          <w:rFonts w:cs="Times New Roman"/>
          <w:color w:val="000000"/>
          <w:sz w:val="24"/>
          <w:szCs w:val="24"/>
        </w:rPr>
        <w:t xml:space="preserve">authorities </w:t>
      </w:r>
      <w:r w:rsidR="00841D4F" w:rsidRPr="00395738">
        <w:rPr>
          <w:rFonts w:cs="Times New Roman"/>
          <w:color w:val="000000"/>
          <w:sz w:val="24"/>
          <w:szCs w:val="24"/>
        </w:rPr>
        <w:t xml:space="preserve">in meeting their </w:t>
      </w:r>
      <w:r w:rsidR="005D1505" w:rsidRPr="00395738">
        <w:rPr>
          <w:rFonts w:cs="Times New Roman"/>
          <w:color w:val="000000"/>
          <w:sz w:val="24"/>
          <w:szCs w:val="24"/>
        </w:rPr>
        <w:t xml:space="preserve">changing </w:t>
      </w:r>
      <w:r w:rsidR="00841D4F" w:rsidRPr="00395738">
        <w:rPr>
          <w:rFonts w:cs="Times New Roman"/>
          <w:color w:val="000000"/>
          <w:sz w:val="24"/>
          <w:szCs w:val="24"/>
        </w:rPr>
        <w:t>data and overall regulatory/supervisory needs.</w:t>
      </w:r>
    </w:p>
    <w:p w14:paraId="6511C0C9" w14:textId="121E2854" w:rsidR="00841D4F" w:rsidRPr="00395738" w:rsidRDefault="00841D4F" w:rsidP="00841D4F">
      <w:pPr>
        <w:autoSpaceDE w:val="0"/>
        <w:autoSpaceDN w:val="0"/>
        <w:adjustRightInd w:val="0"/>
        <w:spacing w:after="120" w:line="360" w:lineRule="auto"/>
        <w:ind w:left="1440"/>
        <w:jc w:val="both"/>
        <w:rPr>
          <w:rFonts w:cs="Times New Roman"/>
          <w:i/>
          <w:color w:val="000000"/>
          <w:sz w:val="24"/>
          <w:szCs w:val="24"/>
        </w:rPr>
      </w:pPr>
      <w:r w:rsidRPr="00395738">
        <w:rPr>
          <w:rFonts w:cs="Times New Roman"/>
          <w:i/>
          <w:color w:val="000000"/>
          <w:sz w:val="24"/>
          <w:szCs w:val="24"/>
        </w:rPr>
        <w:t xml:space="preserve">Financial sector authorities </w:t>
      </w:r>
      <w:r w:rsidR="005E1928" w:rsidRPr="00395738">
        <w:rPr>
          <w:rFonts w:cs="Times New Roman"/>
          <w:i/>
          <w:color w:val="000000"/>
          <w:sz w:val="24"/>
          <w:szCs w:val="24"/>
        </w:rPr>
        <w:t xml:space="preserve">should </w:t>
      </w:r>
      <w:r w:rsidR="00F1593D" w:rsidRPr="00395738">
        <w:rPr>
          <w:rFonts w:cs="Times New Roman"/>
          <w:i/>
          <w:color w:val="000000"/>
          <w:sz w:val="24"/>
          <w:szCs w:val="24"/>
        </w:rPr>
        <w:t xml:space="preserve">engage in meaningful and constant dialogue with CRSPs, and in general </w:t>
      </w:r>
      <w:r w:rsidR="00E54DEB" w:rsidRPr="00395738">
        <w:rPr>
          <w:rFonts w:cs="Times New Roman"/>
          <w:i/>
          <w:color w:val="000000"/>
          <w:sz w:val="24"/>
          <w:szCs w:val="24"/>
        </w:rPr>
        <w:t xml:space="preserve">observe the Recommendations for Effective </w:t>
      </w:r>
      <w:r w:rsidR="001C1A17" w:rsidRPr="00395738">
        <w:rPr>
          <w:rFonts w:cs="Times New Roman"/>
          <w:i/>
          <w:color w:val="000000"/>
          <w:sz w:val="24"/>
          <w:szCs w:val="24"/>
        </w:rPr>
        <w:t>Oversight of Credit Reporting Systems included in the GPCR report.</w:t>
      </w:r>
      <w:r w:rsidR="001C1A17" w:rsidRPr="00395738">
        <w:rPr>
          <w:rStyle w:val="FootnoteReference"/>
          <w:rFonts w:cs="Times New Roman"/>
          <w:i/>
          <w:color w:val="000000"/>
          <w:sz w:val="24"/>
          <w:szCs w:val="24"/>
        </w:rPr>
        <w:t xml:space="preserve"> </w:t>
      </w:r>
      <w:r w:rsidR="001C1A17" w:rsidRPr="00395738">
        <w:rPr>
          <w:rStyle w:val="FootnoteReference"/>
          <w:rFonts w:cs="Times New Roman"/>
          <w:i/>
          <w:color w:val="000000"/>
          <w:sz w:val="24"/>
          <w:szCs w:val="24"/>
        </w:rPr>
        <w:footnoteReference w:id="67"/>
      </w:r>
    </w:p>
    <w:p w14:paraId="13BF6982" w14:textId="6E40531F" w:rsidR="00BB3666" w:rsidRPr="00395738" w:rsidRDefault="004A24AD" w:rsidP="00F1593D">
      <w:pPr>
        <w:autoSpaceDE w:val="0"/>
        <w:autoSpaceDN w:val="0"/>
        <w:adjustRightInd w:val="0"/>
        <w:spacing w:before="480" w:after="120" w:line="360" w:lineRule="auto"/>
        <w:ind w:left="720"/>
        <w:jc w:val="both"/>
        <w:rPr>
          <w:rFonts w:cs="Times New Roman"/>
          <w:b/>
          <w:color w:val="000000"/>
          <w:sz w:val="24"/>
          <w:szCs w:val="24"/>
        </w:rPr>
      </w:pPr>
      <w:r w:rsidRPr="00395738">
        <w:rPr>
          <w:rFonts w:cs="Times New Roman"/>
          <w:b/>
          <w:color w:val="000000"/>
          <w:sz w:val="24"/>
          <w:szCs w:val="24"/>
        </w:rPr>
        <w:t>Trend 3</w:t>
      </w:r>
      <w:r w:rsidR="00237E65" w:rsidRPr="00395738">
        <w:rPr>
          <w:rFonts w:cs="Times New Roman"/>
          <w:b/>
          <w:color w:val="000000"/>
          <w:sz w:val="24"/>
          <w:szCs w:val="24"/>
        </w:rPr>
        <w:t xml:space="preserve"> (Au</w:t>
      </w:r>
      <w:r w:rsidR="00D01195" w:rsidRPr="00395738">
        <w:rPr>
          <w:rFonts w:cs="Times New Roman"/>
          <w:b/>
          <w:color w:val="000000"/>
          <w:sz w:val="24"/>
          <w:szCs w:val="24"/>
        </w:rPr>
        <w:t>thorities</w:t>
      </w:r>
      <w:r w:rsidR="00237E65" w:rsidRPr="00395738">
        <w:rPr>
          <w:rFonts w:cs="Times New Roman"/>
          <w:b/>
          <w:color w:val="000000"/>
          <w:sz w:val="24"/>
          <w:szCs w:val="24"/>
        </w:rPr>
        <w:t>’ use of data</w:t>
      </w:r>
      <w:r w:rsidR="00D01195" w:rsidRPr="00395738">
        <w:rPr>
          <w:rFonts w:cs="Times New Roman"/>
          <w:b/>
          <w:color w:val="000000"/>
          <w:sz w:val="24"/>
          <w:szCs w:val="24"/>
        </w:rPr>
        <w:t xml:space="preserve">) </w:t>
      </w:r>
      <w:r w:rsidR="0015353D" w:rsidRPr="00395738">
        <w:rPr>
          <w:rFonts w:cs="Times New Roman"/>
          <w:b/>
          <w:color w:val="000000"/>
          <w:sz w:val="24"/>
          <w:szCs w:val="24"/>
        </w:rPr>
        <w:t>–</w:t>
      </w:r>
      <w:r w:rsidR="007A7363" w:rsidRPr="00395738">
        <w:rPr>
          <w:rFonts w:cs="Times New Roman"/>
          <w:b/>
          <w:color w:val="000000"/>
          <w:sz w:val="24"/>
          <w:szCs w:val="24"/>
        </w:rPr>
        <w:t xml:space="preserve"> The rapid evolution of the financial sector and of regulatory and supervisory approaches</w:t>
      </w:r>
      <w:r w:rsidRPr="00395738">
        <w:rPr>
          <w:rFonts w:cs="Times New Roman"/>
          <w:b/>
          <w:color w:val="000000"/>
          <w:sz w:val="24"/>
          <w:szCs w:val="24"/>
        </w:rPr>
        <w:t xml:space="preserve"> </w:t>
      </w:r>
      <w:r w:rsidR="007A7363" w:rsidRPr="00395738">
        <w:rPr>
          <w:rFonts w:cs="Times New Roman"/>
          <w:b/>
          <w:color w:val="000000"/>
          <w:sz w:val="24"/>
          <w:szCs w:val="24"/>
        </w:rPr>
        <w:t xml:space="preserve">are forcing financial sector authorities more than ever before to make the most out of the </w:t>
      </w:r>
      <w:r w:rsidR="005E1928" w:rsidRPr="00395738">
        <w:rPr>
          <w:rFonts w:cs="Times New Roman"/>
          <w:b/>
          <w:color w:val="000000"/>
          <w:sz w:val="24"/>
          <w:szCs w:val="24"/>
        </w:rPr>
        <w:t xml:space="preserve">existing </w:t>
      </w:r>
      <w:r w:rsidR="007A7363" w:rsidRPr="00395738">
        <w:rPr>
          <w:rFonts w:cs="Times New Roman"/>
          <w:b/>
          <w:color w:val="000000"/>
          <w:sz w:val="24"/>
          <w:szCs w:val="24"/>
        </w:rPr>
        <w:t>credit data</w:t>
      </w:r>
      <w:r w:rsidR="00214212" w:rsidRPr="00395738">
        <w:rPr>
          <w:rFonts w:cs="Times New Roman"/>
          <w:b/>
          <w:color w:val="000000"/>
          <w:sz w:val="24"/>
          <w:szCs w:val="24"/>
        </w:rPr>
        <w:t>.</w:t>
      </w:r>
    </w:p>
    <w:p w14:paraId="37F9700C" w14:textId="21C8AB11" w:rsidR="009A6D23" w:rsidRPr="00395738" w:rsidRDefault="005B12A7" w:rsidP="002518E8">
      <w:pPr>
        <w:autoSpaceDE w:val="0"/>
        <w:autoSpaceDN w:val="0"/>
        <w:adjustRightInd w:val="0"/>
        <w:spacing w:after="120" w:line="360" w:lineRule="auto"/>
        <w:ind w:left="720"/>
        <w:jc w:val="both"/>
        <w:rPr>
          <w:rFonts w:cs="Times New Roman"/>
          <w:color w:val="000000"/>
          <w:sz w:val="24"/>
          <w:szCs w:val="24"/>
        </w:rPr>
      </w:pPr>
      <w:r w:rsidRPr="00395738">
        <w:rPr>
          <w:rFonts w:cs="Times New Roman"/>
          <w:color w:val="000000"/>
          <w:sz w:val="24"/>
          <w:szCs w:val="24"/>
        </w:rPr>
        <w:t>G</w:t>
      </w:r>
      <w:r w:rsidR="002518E8" w:rsidRPr="00395738">
        <w:rPr>
          <w:rFonts w:cs="Times New Roman"/>
          <w:color w:val="000000"/>
          <w:sz w:val="24"/>
          <w:szCs w:val="24"/>
        </w:rPr>
        <w:t xml:space="preserve">lobalization/harmonization of </w:t>
      </w:r>
      <w:r w:rsidRPr="00395738">
        <w:rPr>
          <w:rFonts w:cs="Times New Roman"/>
          <w:color w:val="000000"/>
          <w:sz w:val="24"/>
          <w:szCs w:val="24"/>
        </w:rPr>
        <w:t xml:space="preserve">financial sector </w:t>
      </w:r>
      <w:r w:rsidR="002518E8" w:rsidRPr="00395738">
        <w:rPr>
          <w:rFonts w:cs="Times New Roman"/>
          <w:color w:val="000000"/>
          <w:sz w:val="24"/>
          <w:szCs w:val="24"/>
        </w:rPr>
        <w:t xml:space="preserve">regulatory and supervisory approaches, </w:t>
      </w:r>
      <w:r w:rsidRPr="00395738">
        <w:rPr>
          <w:rFonts w:cs="Times New Roman"/>
          <w:color w:val="000000"/>
          <w:sz w:val="24"/>
          <w:szCs w:val="24"/>
        </w:rPr>
        <w:t xml:space="preserve">the </w:t>
      </w:r>
      <w:r w:rsidR="002518E8" w:rsidRPr="00395738">
        <w:rPr>
          <w:rFonts w:cs="Times New Roman"/>
          <w:color w:val="000000"/>
          <w:sz w:val="24"/>
          <w:szCs w:val="24"/>
        </w:rPr>
        <w:t>efforts to improve the consistency and effectiveness of approaches at the national level</w:t>
      </w:r>
      <w:r w:rsidRPr="00395738">
        <w:rPr>
          <w:rFonts w:cs="Times New Roman"/>
          <w:color w:val="000000"/>
          <w:sz w:val="24"/>
          <w:szCs w:val="24"/>
        </w:rPr>
        <w:t xml:space="preserve"> and the fast pace of change in financial sector activities are </w:t>
      </w:r>
      <w:r w:rsidR="00E33584" w:rsidRPr="00395738">
        <w:rPr>
          <w:rFonts w:cs="Times New Roman"/>
          <w:color w:val="000000"/>
          <w:sz w:val="24"/>
          <w:szCs w:val="24"/>
        </w:rPr>
        <w:t>leading f</w:t>
      </w:r>
      <w:r w:rsidRPr="00395738">
        <w:rPr>
          <w:rFonts w:cs="Times New Roman"/>
          <w:color w:val="000000"/>
          <w:sz w:val="24"/>
          <w:szCs w:val="24"/>
        </w:rPr>
        <w:t xml:space="preserve">inancial sector authorities to </w:t>
      </w:r>
      <w:r w:rsidR="00E33584" w:rsidRPr="00395738">
        <w:rPr>
          <w:rFonts w:cs="Times New Roman"/>
          <w:color w:val="000000"/>
          <w:sz w:val="24"/>
          <w:szCs w:val="24"/>
        </w:rPr>
        <w:t xml:space="preserve">focus not only on collecting more credit data, but also on fully exploiting </w:t>
      </w:r>
      <w:r w:rsidR="00E54DEB" w:rsidRPr="00395738">
        <w:rPr>
          <w:rFonts w:cs="Times New Roman"/>
          <w:color w:val="000000"/>
          <w:sz w:val="24"/>
          <w:szCs w:val="24"/>
        </w:rPr>
        <w:t xml:space="preserve">the </w:t>
      </w:r>
      <w:r w:rsidR="00E33584" w:rsidRPr="00395738">
        <w:rPr>
          <w:rFonts w:cs="Times New Roman"/>
          <w:color w:val="000000"/>
          <w:sz w:val="24"/>
          <w:szCs w:val="24"/>
        </w:rPr>
        <w:t xml:space="preserve">data that is </w:t>
      </w:r>
      <w:r w:rsidR="00214212" w:rsidRPr="00395738">
        <w:rPr>
          <w:rFonts w:cs="Times New Roman"/>
          <w:color w:val="000000"/>
          <w:sz w:val="24"/>
          <w:szCs w:val="24"/>
        </w:rPr>
        <w:t xml:space="preserve">already </w:t>
      </w:r>
      <w:r w:rsidRPr="00395738">
        <w:rPr>
          <w:rFonts w:cs="Times New Roman"/>
          <w:color w:val="000000"/>
          <w:sz w:val="24"/>
          <w:szCs w:val="24"/>
        </w:rPr>
        <w:t xml:space="preserve">available </w:t>
      </w:r>
      <w:r w:rsidR="00214212" w:rsidRPr="00395738">
        <w:rPr>
          <w:rFonts w:cs="Times New Roman"/>
          <w:color w:val="000000"/>
          <w:sz w:val="24"/>
          <w:szCs w:val="24"/>
        </w:rPr>
        <w:t xml:space="preserve">in the </w:t>
      </w:r>
      <w:r w:rsidR="005E1928" w:rsidRPr="00395738">
        <w:rPr>
          <w:rFonts w:cs="Times New Roman"/>
          <w:color w:val="000000"/>
          <w:sz w:val="24"/>
          <w:szCs w:val="24"/>
        </w:rPr>
        <w:t>credit reporting system</w:t>
      </w:r>
      <w:r w:rsidR="00214212" w:rsidRPr="00395738">
        <w:rPr>
          <w:rFonts w:cs="Times New Roman"/>
          <w:color w:val="000000"/>
          <w:sz w:val="24"/>
          <w:szCs w:val="24"/>
        </w:rPr>
        <w:t>.</w:t>
      </w:r>
      <w:r w:rsidRPr="00395738">
        <w:rPr>
          <w:rFonts w:cs="Times New Roman"/>
          <w:color w:val="000000"/>
          <w:sz w:val="24"/>
          <w:szCs w:val="24"/>
        </w:rPr>
        <w:t xml:space="preserve"> </w:t>
      </w:r>
      <w:r w:rsidR="00E33584" w:rsidRPr="00395738">
        <w:rPr>
          <w:rFonts w:cs="Times New Roman"/>
          <w:color w:val="000000"/>
          <w:sz w:val="24"/>
          <w:szCs w:val="24"/>
        </w:rPr>
        <w:t>Indeed, m</w:t>
      </w:r>
      <w:r w:rsidRPr="00395738">
        <w:rPr>
          <w:rFonts w:cs="Times New Roman"/>
          <w:color w:val="000000"/>
          <w:sz w:val="24"/>
          <w:szCs w:val="24"/>
        </w:rPr>
        <w:t>any of the n</w:t>
      </w:r>
      <w:r w:rsidR="00A853D4" w:rsidRPr="00395738">
        <w:rPr>
          <w:rFonts w:cs="Times New Roman"/>
          <w:color w:val="000000"/>
          <w:sz w:val="24"/>
          <w:szCs w:val="24"/>
        </w:rPr>
        <w:t>ew</w:t>
      </w:r>
      <w:r w:rsidR="00E33584" w:rsidRPr="00395738">
        <w:rPr>
          <w:rFonts w:cs="Times New Roman"/>
          <w:color w:val="000000"/>
          <w:sz w:val="24"/>
          <w:szCs w:val="24"/>
        </w:rPr>
        <w:t>er</w:t>
      </w:r>
      <w:r w:rsidR="00A853D4" w:rsidRPr="00395738">
        <w:rPr>
          <w:rFonts w:cs="Times New Roman"/>
          <w:color w:val="000000"/>
          <w:sz w:val="24"/>
          <w:szCs w:val="24"/>
        </w:rPr>
        <w:t xml:space="preserve"> </w:t>
      </w:r>
      <w:r w:rsidRPr="00395738">
        <w:rPr>
          <w:rFonts w:cs="Times New Roman"/>
          <w:color w:val="000000"/>
          <w:sz w:val="24"/>
          <w:szCs w:val="24"/>
        </w:rPr>
        <w:t>a</w:t>
      </w:r>
      <w:r w:rsidR="00A853D4" w:rsidRPr="00395738">
        <w:rPr>
          <w:rFonts w:cs="Times New Roman"/>
          <w:color w:val="000000"/>
          <w:sz w:val="24"/>
          <w:szCs w:val="24"/>
        </w:rPr>
        <w:t>nalytical techniques</w:t>
      </w:r>
      <w:r w:rsidRPr="00395738">
        <w:rPr>
          <w:rFonts w:cs="Times New Roman"/>
          <w:color w:val="000000"/>
          <w:sz w:val="24"/>
          <w:szCs w:val="24"/>
        </w:rPr>
        <w:t xml:space="preserve"> </w:t>
      </w:r>
      <w:r w:rsidR="00E33584" w:rsidRPr="00395738">
        <w:rPr>
          <w:rFonts w:cs="Times New Roman"/>
          <w:color w:val="000000"/>
          <w:sz w:val="24"/>
          <w:szCs w:val="24"/>
        </w:rPr>
        <w:t xml:space="preserve">are based </w:t>
      </w:r>
      <w:r w:rsidRPr="00395738">
        <w:rPr>
          <w:rFonts w:cs="Times New Roman"/>
          <w:color w:val="000000"/>
          <w:sz w:val="24"/>
          <w:szCs w:val="24"/>
        </w:rPr>
        <w:t xml:space="preserve">not only </w:t>
      </w:r>
      <w:r w:rsidR="00E33584" w:rsidRPr="00395738">
        <w:rPr>
          <w:rFonts w:cs="Times New Roman"/>
          <w:color w:val="000000"/>
          <w:sz w:val="24"/>
          <w:szCs w:val="24"/>
        </w:rPr>
        <w:t xml:space="preserve">on extensive </w:t>
      </w:r>
      <w:r w:rsidR="002518E8" w:rsidRPr="00395738">
        <w:rPr>
          <w:rFonts w:cs="Times New Roman"/>
          <w:color w:val="000000"/>
          <w:sz w:val="24"/>
          <w:szCs w:val="24"/>
        </w:rPr>
        <w:t>data</w:t>
      </w:r>
      <w:r w:rsidR="00E33584" w:rsidRPr="00395738">
        <w:rPr>
          <w:rFonts w:cs="Times New Roman"/>
          <w:color w:val="000000"/>
          <w:sz w:val="24"/>
          <w:szCs w:val="24"/>
        </w:rPr>
        <w:t xml:space="preserve"> collection</w:t>
      </w:r>
      <w:r w:rsidR="002518E8" w:rsidRPr="00395738">
        <w:rPr>
          <w:rFonts w:cs="Times New Roman"/>
          <w:color w:val="000000"/>
          <w:sz w:val="24"/>
          <w:szCs w:val="24"/>
        </w:rPr>
        <w:t xml:space="preserve">, but also </w:t>
      </w:r>
      <w:r w:rsidR="00E33584" w:rsidRPr="00395738">
        <w:rPr>
          <w:rFonts w:cs="Times New Roman"/>
          <w:color w:val="000000"/>
          <w:sz w:val="24"/>
          <w:szCs w:val="24"/>
        </w:rPr>
        <w:t xml:space="preserve">on </w:t>
      </w:r>
      <w:r w:rsidR="00E33584" w:rsidRPr="00395738">
        <w:rPr>
          <w:rFonts w:cs="Times New Roman"/>
          <w:color w:val="000000"/>
          <w:sz w:val="24"/>
          <w:szCs w:val="24"/>
        </w:rPr>
        <w:lastRenderedPageBreak/>
        <w:t xml:space="preserve">the ability of </w:t>
      </w:r>
      <w:r w:rsidRPr="00395738">
        <w:rPr>
          <w:rFonts w:cs="Times New Roman"/>
          <w:color w:val="000000"/>
          <w:sz w:val="24"/>
          <w:szCs w:val="24"/>
        </w:rPr>
        <w:t xml:space="preserve">the users of such techniques </w:t>
      </w:r>
      <w:r w:rsidR="00E33584" w:rsidRPr="00395738">
        <w:rPr>
          <w:rFonts w:cs="Times New Roman"/>
          <w:color w:val="000000"/>
          <w:sz w:val="24"/>
          <w:szCs w:val="24"/>
        </w:rPr>
        <w:t xml:space="preserve">(e.g., financial sector </w:t>
      </w:r>
      <w:r w:rsidR="002518E8" w:rsidRPr="00395738">
        <w:rPr>
          <w:rFonts w:cs="Times New Roman"/>
          <w:color w:val="000000"/>
          <w:sz w:val="24"/>
          <w:szCs w:val="24"/>
        </w:rPr>
        <w:t>authorities</w:t>
      </w:r>
      <w:r w:rsidR="00E33584" w:rsidRPr="00395738">
        <w:rPr>
          <w:rFonts w:cs="Times New Roman"/>
          <w:color w:val="000000"/>
          <w:sz w:val="24"/>
          <w:szCs w:val="24"/>
        </w:rPr>
        <w:t xml:space="preserve">) to </w:t>
      </w:r>
      <w:r w:rsidR="002518E8" w:rsidRPr="00395738">
        <w:rPr>
          <w:rFonts w:cs="Times New Roman"/>
          <w:color w:val="000000"/>
          <w:sz w:val="24"/>
          <w:szCs w:val="24"/>
        </w:rPr>
        <w:t xml:space="preserve">exploit </w:t>
      </w:r>
      <w:r w:rsidR="00E33584" w:rsidRPr="00395738">
        <w:rPr>
          <w:rFonts w:cs="Times New Roman"/>
          <w:color w:val="000000"/>
          <w:sz w:val="24"/>
          <w:szCs w:val="24"/>
        </w:rPr>
        <w:t xml:space="preserve">all existing data </w:t>
      </w:r>
      <w:r w:rsidR="002518E8" w:rsidRPr="00395738">
        <w:rPr>
          <w:rFonts w:cs="Times New Roman"/>
          <w:color w:val="000000"/>
          <w:sz w:val="24"/>
          <w:szCs w:val="24"/>
        </w:rPr>
        <w:t>a</w:t>
      </w:r>
      <w:r w:rsidR="00E33584" w:rsidRPr="00395738">
        <w:rPr>
          <w:rFonts w:cs="Times New Roman"/>
          <w:color w:val="000000"/>
          <w:sz w:val="24"/>
          <w:szCs w:val="24"/>
        </w:rPr>
        <w:t xml:space="preserve">s much as possible </w:t>
      </w:r>
      <w:r w:rsidR="002518E8" w:rsidRPr="00395738">
        <w:rPr>
          <w:rFonts w:cs="Times New Roman"/>
          <w:color w:val="000000"/>
          <w:sz w:val="24"/>
          <w:szCs w:val="24"/>
        </w:rPr>
        <w:t xml:space="preserve">and with unprecedented flexibility. </w:t>
      </w:r>
    </w:p>
    <w:p w14:paraId="634B00CA" w14:textId="43C2CBC9" w:rsidR="004A24AD" w:rsidRPr="00395738" w:rsidRDefault="004A24AD" w:rsidP="004A24AD">
      <w:pPr>
        <w:autoSpaceDE w:val="0"/>
        <w:autoSpaceDN w:val="0"/>
        <w:adjustRightInd w:val="0"/>
        <w:spacing w:after="120" w:line="360" w:lineRule="auto"/>
        <w:ind w:left="720"/>
        <w:jc w:val="both"/>
        <w:rPr>
          <w:rFonts w:cs="Times New Roman"/>
          <w:color w:val="000000"/>
          <w:sz w:val="24"/>
          <w:szCs w:val="24"/>
          <w:u w:val="single"/>
        </w:rPr>
      </w:pPr>
      <w:r w:rsidRPr="00395738">
        <w:rPr>
          <w:rFonts w:cs="Times New Roman"/>
          <w:color w:val="000000"/>
          <w:sz w:val="24"/>
          <w:szCs w:val="24"/>
          <w:u w:val="single"/>
        </w:rPr>
        <w:t>Key challenges</w:t>
      </w:r>
      <w:r w:rsidR="008251EB" w:rsidRPr="00395738">
        <w:rPr>
          <w:rFonts w:cs="Times New Roman"/>
          <w:color w:val="000000"/>
          <w:sz w:val="24"/>
          <w:szCs w:val="24"/>
          <w:u w:val="single"/>
        </w:rPr>
        <w:t>:</w:t>
      </w:r>
    </w:p>
    <w:p w14:paraId="1A2D4479" w14:textId="517B23A8" w:rsidR="00D01195" w:rsidRPr="00395738" w:rsidRDefault="00D01195" w:rsidP="00D01195">
      <w:pPr>
        <w:pStyle w:val="ListParagraph"/>
        <w:numPr>
          <w:ilvl w:val="0"/>
          <w:numId w:val="33"/>
        </w:numPr>
        <w:autoSpaceDE w:val="0"/>
        <w:autoSpaceDN w:val="0"/>
        <w:adjustRightInd w:val="0"/>
        <w:spacing w:after="120" w:line="360" w:lineRule="auto"/>
        <w:jc w:val="both"/>
        <w:rPr>
          <w:rFonts w:cs="Times New Roman"/>
          <w:color w:val="000000"/>
          <w:sz w:val="24"/>
          <w:szCs w:val="24"/>
        </w:rPr>
      </w:pPr>
      <w:r w:rsidRPr="00395738">
        <w:rPr>
          <w:rFonts w:cs="Times New Roman"/>
          <w:color w:val="000000"/>
          <w:sz w:val="24"/>
          <w:szCs w:val="24"/>
        </w:rPr>
        <w:t xml:space="preserve">Financial sector authorities </w:t>
      </w:r>
      <w:r w:rsidR="00E6463E" w:rsidRPr="00395738">
        <w:rPr>
          <w:rFonts w:cs="Times New Roman"/>
          <w:color w:val="000000"/>
          <w:sz w:val="24"/>
          <w:szCs w:val="24"/>
        </w:rPr>
        <w:t xml:space="preserve">tend to </w:t>
      </w:r>
      <w:r w:rsidRPr="00395738">
        <w:rPr>
          <w:rFonts w:cs="Times New Roman"/>
          <w:color w:val="000000"/>
          <w:sz w:val="24"/>
          <w:szCs w:val="24"/>
        </w:rPr>
        <w:t xml:space="preserve">face legal impediments to access and or to fully use for their various purposes the </w:t>
      </w:r>
      <w:r w:rsidR="00886E08" w:rsidRPr="00395738">
        <w:rPr>
          <w:rFonts w:cs="Times New Roman"/>
          <w:color w:val="000000"/>
          <w:sz w:val="24"/>
          <w:szCs w:val="24"/>
        </w:rPr>
        <w:t xml:space="preserve">credit </w:t>
      </w:r>
      <w:r w:rsidRPr="00395738">
        <w:rPr>
          <w:rFonts w:cs="Times New Roman"/>
          <w:color w:val="000000"/>
          <w:sz w:val="24"/>
          <w:szCs w:val="24"/>
        </w:rPr>
        <w:t xml:space="preserve">data available in certain CRSPs, mainly in CBs and CCRCs operated by the private sector. Difficulties in accessing credit data in foreign CRSPs are especially acute. </w:t>
      </w:r>
    </w:p>
    <w:p w14:paraId="6BC87746" w14:textId="4B795D33" w:rsidR="00886E08" w:rsidRPr="00395738" w:rsidRDefault="00886E08" w:rsidP="00886E08">
      <w:pPr>
        <w:autoSpaceDE w:val="0"/>
        <w:autoSpaceDN w:val="0"/>
        <w:adjustRightInd w:val="0"/>
        <w:spacing w:after="120" w:line="360" w:lineRule="auto"/>
        <w:ind w:left="1440"/>
        <w:jc w:val="both"/>
        <w:rPr>
          <w:rFonts w:cs="Times New Roman"/>
          <w:i/>
          <w:color w:val="000000"/>
          <w:sz w:val="24"/>
          <w:szCs w:val="24"/>
        </w:rPr>
      </w:pPr>
      <w:r w:rsidRPr="00395738">
        <w:rPr>
          <w:rFonts w:cs="Times New Roman"/>
          <w:i/>
          <w:color w:val="000000"/>
          <w:sz w:val="24"/>
          <w:szCs w:val="24"/>
        </w:rPr>
        <w:t xml:space="preserve">Financial sector authorities to promote the necessary legal and regulatory reforms at the domestic level to ensure effective access to </w:t>
      </w:r>
      <w:r w:rsidR="0007708B" w:rsidRPr="00395738">
        <w:rPr>
          <w:rFonts w:cs="Times New Roman"/>
          <w:i/>
          <w:color w:val="000000"/>
          <w:sz w:val="24"/>
          <w:szCs w:val="24"/>
        </w:rPr>
        <w:t xml:space="preserve">and usage of </w:t>
      </w:r>
      <w:r w:rsidR="00E6463E" w:rsidRPr="00395738">
        <w:rPr>
          <w:rFonts w:cs="Times New Roman"/>
          <w:i/>
          <w:color w:val="000000"/>
          <w:sz w:val="24"/>
          <w:szCs w:val="24"/>
        </w:rPr>
        <w:t xml:space="preserve">all </w:t>
      </w:r>
      <w:r w:rsidRPr="00395738">
        <w:rPr>
          <w:rFonts w:cs="Times New Roman"/>
          <w:i/>
          <w:color w:val="000000"/>
          <w:sz w:val="24"/>
          <w:szCs w:val="24"/>
        </w:rPr>
        <w:t xml:space="preserve">credit data </w:t>
      </w:r>
      <w:r w:rsidR="00E6463E" w:rsidRPr="00395738">
        <w:rPr>
          <w:rFonts w:cs="Times New Roman"/>
          <w:i/>
          <w:color w:val="000000"/>
          <w:sz w:val="24"/>
          <w:szCs w:val="24"/>
        </w:rPr>
        <w:t xml:space="preserve">that is relevant for their </w:t>
      </w:r>
      <w:r w:rsidR="0007708B" w:rsidRPr="00395738">
        <w:rPr>
          <w:rFonts w:cs="Times New Roman"/>
          <w:i/>
          <w:color w:val="000000"/>
          <w:sz w:val="24"/>
          <w:szCs w:val="24"/>
        </w:rPr>
        <w:t xml:space="preserve">legitimate </w:t>
      </w:r>
      <w:r w:rsidR="00E6463E" w:rsidRPr="00395738">
        <w:rPr>
          <w:rFonts w:cs="Times New Roman"/>
          <w:i/>
          <w:color w:val="000000"/>
          <w:sz w:val="24"/>
          <w:szCs w:val="24"/>
        </w:rPr>
        <w:t xml:space="preserve">purposes </w:t>
      </w:r>
      <w:r w:rsidRPr="00395738">
        <w:rPr>
          <w:rFonts w:cs="Times New Roman"/>
          <w:i/>
          <w:color w:val="000000"/>
          <w:sz w:val="24"/>
          <w:szCs w:val="24"/>
        </w:rPr>
        <w:t xml:space="preserve">in </w:t>
      </w:r>
      <w:r w:rsidR="00276451" w:rsidRPr="00395738">
        <w:rPr>
          <w:rFonts w:cs="Times New Roman"/>
          <w:i/>
          <w:color w:val="000000"/>
          <w:sz w:val="24"/>
          <w:szCs w:val="24"/>
        </w:rPr>
        <w:t>all CRSPs operating their jurisdiction.</w:t>
      </w:r>
    </w:p>
    <w:p w14:paraId="4FC36D97" w14:textId="2D7F0490" w:rsidR="00276451" w:rsidRPr="00395738" w:rsidRDefault="00276451" w:rsidP="00276451">
      <w:pPr>
        <w:autoSpaceDE w:val="0"/>
        <w:autoSpaceDN w:val="0"/>
        <w:adjustRightInd w:val="0"/>
        <w:spacing w:after="240" w:line="360" w:lineRule="auto"/>
        <w:ind w:left="1440"/>
        <w:jc w:val="both"/>
        <w:rPr>
          <w:rFonts w:cs="Times New Roman"/>
          <w:i/>
          <w:color w:val="000000"/>
          <w:sz w:val="24"/>
          <w:szCs w:val="24"/>
        </w:rPr>
      </w:pPr>
      <w:r w:rsidRPr="00395738">
        <w:rPr>
          <w:rFonts w:cs="Times New Roman"/>
          <w:i/>
          <w:color w:val="000000"/>
          <w:sz w:val="24"/>
          <w:szCs w:val="24"/>
        </w:rPr>
        <w:t xml:space="preserve">Financial sector authorities to cooperate amongst them at the international level to facilitate and improve cross-border access by such authorities to </w:t>
      </w:r>
      <w:r w:rsidR="00E6463E" w:rsidRPr="00395738">
        <w:rPr>
          <w:rFonts w:cs="Times New Roman"/>
          <w:i/>
          <w:color w:val="000000"/>
          <w:sz w:val="24"/>
          <w:szCs w:val="24"/>
        </w:rPr>
        <w:t xml:space="preserve">relevant </w:t>
      </w:r>
      <w:r w:rsidRPr="00395738">
        <w:rPr>
          <w:rFonts w:cs="Times New Roman"/>
          <w:i/>
          <w:color w:val="000000"/>
          <w:sz w:val="24"/>
          <w:szCs w:val="24"/>
        </w:rPr>
        <w:t>credit data in CRSPs that operate in other jurisdictions.</w:t>
      </w:r>
    </w:p>
    <w:p w14:paraId="3BE09FD7" w14:textId="4F7C6A41" w:rsidR="00D01195" w:rsidRPr="00395738" w:rsidRDefault="00D01195" w:rsidP="005649A7">
      <w:pPr>
        <w:pStyle w:val="ListParagraph"/>
        <w:numPr>
          <w:ilvl w:val="0"/>
          <w:numId w:val="33"/>
        </w:numPr>
        <w:autoSpaceDE w:val="0"/>
        <w:autoSpaceDN w:val="0"/>
        <w:adjustRightInd w:val="0"/>
        <w:spacing w:after="120" w:line="360" w:lineRule="auto"/>
        <w:contextualSpacing w:val="0"/>
        <w:jc w:val="both"/>
        <w:rPr>
          <w:rFonts w:cs="Times New Roman"/>
          <w:color w:val="000000"/>
          <w:sz w:val="24"/>
          <w:szCs w:val="24"/>
        </w:rPr>
      </w:pPr>
      <w:r w:rsidRPr="00395738">
        <w:rPr>
          <w:rFonts w:cs="Times New Roman"/>
          <w:color w:val="000000"/>
          <w:sz w:val="24"/>
          <w:szCs w:val="24"/>
        </w:rPr>
        <w:t xml:space="preserve">Financial sector authorities </w:t>
      </w:r>
      <w:r w:rsidR="00E6463E" w:rsidRPr="00395738">
        <w:rPr>
          <w:rFonts w:cs="Times New Roman"/>
          <w:color w:val="000000"/>
          <w:sz w:val="24"/>
          <w:szCs w:val="24"/>
        </w:rPr>
        <w:t xml:space="preserve">usually </w:t>
      </w:r>
      <w:r w:rsidRPr="00395738">
        <w:rPr>
          <w:rFonts w:cs="Times New Roman"/>
          <w:color w:val="000000"/>
          <w:sz w:val="24"/>
          <w:szCs w:val="24"/>
        </w:rPr>
        <w:t>face challenges on the operational side</w:t>
      </w:r>
      <w:r w:rsidR="00214212" w:rsidRPr="00395738">
        <w:rPr>
          <w:rFonts w:cs="Times New Roman"/>
          <w:color w:val="000000"/>
          <w:sz w:val="24"/>
          <w:szCs w:val="24"/>
        </w:rPr>
        <w:t xml:space="preserve"> to exploit existing data effectively</w:t>
      </w:r>
      <w:r w:rsidRPr="00395738">
        <w:rPr>
          <w:rFonts w:cs="Times New Roman"/>
          <w:color w:val="000000"/>
          <w:sz w:val="24"/>
          <w:szCs w:val="24"/>
        </w:rPr>
        <w:t xml:space="preserve">. Difficulties range from assembling and compiling for use the data obtained from different sources (e.g. CRs, CBs and CCRCs), to CRs having limited reporting functionalities and/or a poor supporting technological infrastructure (e.g. no or poor data warehousing capabilities), to authorities having at their disposal limited tools that do not allow analyzing the data from multiple perspectives. </w:t>
      </w:r>
    </w:p>
    <w:p w14:paraId="73051B3F" w14:textId="6FCFCE13" w:rsidR="00E6463E" w:rsidRPr="00395738" w:rsidRDefault="005649A7" w:rsidP="005649A7">
      <w:pPr>
        <w:autoSpaceDE w:val="0"/>
        <w:autoSpaceDN w:val="0"/>
        <w:adjustRightInd w:val="0"/>
        <w:spacing w:after="120" w:line="360" w:lineRule="auto"/>
        <w:ind w:left="1440"/>
        <w:jc w:val="both"/>
        <w:rPr>
          <w:rFonts w:cs="Times New Roman"/>
          <w:i/>
          <w:color w:val="000000"/>
          <w:sz w:val="24"/>
          <w:szCs w:val="24"/>
        </w:rPr>
      </w:pPr>
      <w:r w:rsidRPr="00395738">
        <w:rPr>
          <w:rFonts w:cs="Times New Roman"/>
          <w:i/>
          <w:color w:val="000000"/>
          <w:sz w:val="24"/>
          <w:szCs w:val="24"/>
        </w:rPr>
        <w:t>Financial sector authorities to develop t</w:t>
      </w:r>
      <w:r w:rsidR="00970D55" w:rsidRPr="00395738">
        <w:rPr>
          <w:rFonts w:cs="Times New Roman"/>
          <w:i/>
          <w:color w:val="000000"/>
          <w:sz w:val="24"/>
          <w:szCs w:val="24"/>
        </w:rPr>
        <w:t xml:space="preserve">he knowhow </w:t>
      </w:r>
      <w:r w:rsidR="0031617B" w:rsidRPr="00395738">
        <w:rPr>
          <w:rFonts w:cs="Times New Roman"/>
          <w:i/>
          <w:color w:val="000000"/>
          <w:sz w:val="24"/>
          <w:szCs w:val="24"/>
        </w:rPr>
        <w:t>for using available d</w:t>
      </w:r>
      <w:r w:rsidR="00970D55" w:rsidRPr="00395738">
        <w:rPr>
          <w:rFonts w:cs="Times New Roman"/>
          <w:i/>
          <w:color w:val="000000"/>
          <w:sz w:val="24"/>
          <w:szCs w:val="24"/>
        </w:rPr>
        <w:t>ata</w:t>
      </w:r>
      <w:r w:rsidR="0031617B" w:rsidRPr="00395738">
        <w:rPr>
          <w:rFonts w:cs="Times New Roman"/>
          <w:i/>
          <w:color w:val="000000"/>
          <w:sz w:val="24"/>
          <w:szCs w:val="24"/>
        </w:rPr>
        <w:t xml:space="preserve"> t</w:t>
      </w:r>
      <w:r w:rsidR="00970D55" w:rsidRPr="00395738">
        <w:rPr>
          <w:rFonts w:cs="Times New Roman"/>
          <w:i/>
          <w:color w:val="000000"/>
          <w:sz w:val="24"/>
          <w:szCs w:val="24"/>
        </w:rPr>
        <w:t>o its fullest extent</w:t>
      </w:r>
      <w:r w:rsidR="0031617B" w:rsidRPr="00395738">
        <w:rPr>
          <w:rFonts w:cs="Times New Roman"/>
          <w:i/>
          <w:color w:val="000000"/>
          <w:sz w:val="24"/>
          <w:szCs w:val="24"/>
        </w:rPr>
        <w:t>.</w:t>
      </w:r>
    </w:p>
    <w:p w14:paraId="599C4AEE" w14:textId="6F0FF9B7" w:rsidR="005649A7" w:rsidRPr="00395738" w:rsidRDefault="00E6463E" w:rsidP="005649A7">
      <w:pPr>
        <w:autoSpaceDE w:val="0"/>
        <w:autoSpaceDN w:val="0"/>
        <w:adjustRightInd w:val="0"/>
        <w:spacing w:after="120" w:line="360" w:lineRule="auto"/>
        <w:ind w:left="1440"/>
        <w:jc w:val="both"/>
        <w:rPr>
          <w:rFonts w:cs="Times New Roman"/>
          <w:i/>
          <w:color w:val="000000"/>
          <w:sz w:val="24"/>
          <w:szCs w:val="24"/>
        </w:rPr>
      </w:pPr>
      <w:r w:rsidRPr="00395738">
        <w:rPr>
          <w:rFonts w:cs="Times New Roman"/>
          <w:i/>
          <w:color w:val="000000"/>
          <w:sz w:val="24"/>
          <w:szCs w:val="24"/>
        </w:rPr>
        <w:t xml:space="preserve">Financial sector authorities to </w:t>
      </w:r>
      <w:r w:rsidR="00A14543" w:rsidRPr="00395738">
        <w:rPr>
          <w:rFonts w:cs="Times New Roman"/>
          <w:i/>
          <w:color w:val="000000"/>
          <w:sz w:val="24"/>
          <w:szCs w:val="24"/>
        </w:rPr>
        <w:t xml:space="preserve">make available to their staff </w:t>
      </w:r>
      <w:r w:rsidR="00970D55" w:rsidRPr="00395738">
        <w:rPr>
          <w:rFonts w:cs="Times New Roman"/>
          <w:i/>
          <w:color w:val="000000"/>
          <w:sz w:val="24"/>
          <w:szCs w:val="24"/>
        </w:rPr>
        <w:t>the necessary t</w:t>
      </w:r>
      <w:r w:rsidR="005649A7" w:rsidRPr="00395738">
        <w:rPr>
          <w:rFonts w:cs="Times New Roman"/>
          <w:i/>
          <w:color w:val="000000"/>
          <w:sz w:val="24"/>
          <w:szCs w:val="24"/>
        </w:rPr>
        <w:t xml:space="preserve">echnical tools </w:t>
      </w:r>
      <w:r w:rsidR="00970D55" w:rsidRPr="00395738">
        <w:rPr>
          <w:rFonts w:cs="Times New Roman"/>
          <w:i/>
          <w:color w:val="000000"/>
          <w:sz w:val="24"/>
          <w:szCs w:val="24"/>
        </w:rPr>
        <w:t xml:space="preserve">and overall technical infrastructure </w:t>
      </w:r>
      <w:r w:rsidR="00A14543" w:rsidRPr="00395738">
        <w:rPr>
          <w:rFonts w:cs="Times New Roman"/>
          <w:i/>
          <w:color w:val="000000"/>
          <w:sz w:val="24"/>
          <w:szCs w:val="24"/>
        </w:rPr>
        <w:t xml:space="preserve">to </w:t>
      </w:r>
      <w:r w:rsidR="00970D55" w:rsidRPr="00395738">
        <w:rPr>
          <w:rFonts w:cs="Times New Roman"/>
          <w:i/>
          <w:color w:val="000000"/>
          <w:sz w:val="24"/>
          <w:szCs w:val="24"/>
        </w:rPr>
        <w:t>this end</w:t>
      </w:r>
      <w:r w:rsidR="005649A7" w:rsidRPr="00395738">
        <w:rPr>
          <w:rFonts w:cs="Times New Roman"/>
          <w:i/>
          <w:color w:val="000000"/>
          <w:sz w:val="24"/>
          <w:szCs w:val="24"/>
        </w:rPr>
        <w:t>.</w:t>
      </w:r>
    </w:p>
    <w:p w14:paraId="0B26877E" w14:textId="77777777" w:rsidR="00EA3CDB" w:rsidRPr="00395738" w:rsidRDefault="00EA3CDB">
      <w:pPr>
        <w:rPr>
          <w:rFonts w:ascii="Times New Roman" w:hAnsi="Times New Roman" w:cs="Times New Roman"/>
        </w:rPr>
      </w:pPr>
      <w:r w:rsidRPr="00395738">
        <w:rPr>
          <w:rFonts w:ascii="Times New Roman" w:hAnsi="Times New Roman" w:cs="Times New Roman"/>
        </w:rPr>
        <w:br w:type="page"/>
      </w:r>
    </w:p>
    <w:p w14:paraId="6028AE2F" w14:textId="25FA8D83" w:rsidR="005A151A" w:rsidRPr="00395738" w:rsidRDefault="005A151A" w:rsidP="005A151A">
      <w:pPr>
        <w:pStyle w:val="Heading1"/>
        <w:spacing w:after="480"/>
        <w:ind w:left="360"/>
      </w:pPr>
      <w:bookmarkStart w:id="8" w:name="_Toc427686028"/>
      <w:r w:rsidRPr="00395738">
        <w:lastRenderedPageBreak/>
        <w:t xml:space="preserve">Annex 1: </w:t>
      </w:r>
      <w:r w:rsidR="00885553" w:rsidRPr="00395738">
        <w:t>ICCR Members that contributed in the preparation of the report “</w:t>
      </w:r>
      <w:r w:rsidR="00E31B1B" w:rsidRPr="00395738">
        <w:t xml:space="preserve">The role of Credit Reporting in </w:t>
      </w:r>
      <w:r w:rsidR="00F6733C" w:rsidRPr="00395738">
        <w:t>F</w:t>
      </w:r>
      <w:r w:rsidR="00E31B1B" w:rsidRPr="00395738">
        <w:t xml:space="preserve">inancial </w:t>
      </w:r>
      <w:r w:rsidR="00DA6545" w:rsidRPr="00395738">
        <w:t xml:space="preserve">Sector </w:t>
      </w:r>
      <w:r w:rsidR="00E31B1B" w:rsidRPr="00395738">
        <w:t>Regulation and Supervision”</w:t>
      </w:r>
      <w:bookmarkEnd w:id="8"/>
    </w:p>
    <w:tbl>
      <w:tblPr>
        <w:tblW w:w="4985" w:type="pct"/>
        <w:jc w:val="center"/>
        <w:tblCellMar>
          <w:left w:w="115" w:type="dxa"/>
          <w:right w:w="58" w:type="dxa"/>
        </w:tblCellMar>
        <w:tblLook w:val="01E0" w:firstRow="1" w:lastRow="1" w:firstColumn="1" w:lastColumn="1" w:noHBand="0" w:noVBand="0"/>
      </w:tblPr>
      <w:tblGrid>
        <w:gridCol w:w="4666"/>
        <w:gridCol w:w="4666"/>
      </w:tblGrid>
      <w:tr w:rsidR="009D577F" w:rsidRPr="00395738" w14:paraId="6E5CA290" w14:textId="77777777" w:rsidTr="00E478B7">
        <w:trPr>
          <w:trHeight w:hRule="exact" w:val="522"/>
          <w:jc w:val="center"/>
        </w:trPr>
        <w:tc>
          <w:tcPr>
            <w:tcW w:w="2500" w:type="pct"/>
            <w:vAlign w:val="center"/>
          </w:tcPr>
          <w:p w14:paraId="13AF30DF" w14:textId="77777777" w:rsidR="009D577F" w:rsidRPr="00395738" w:rsidRDefault="009D577F" w:rsidP="009D577F">
            <w:pPr>
              <w:pStyle w:val="NoSpacing"/>
              <w:rPr>
                <w:rFonts w:eastAsia="Arial Unicode MS" w:cs="Arial"/>
                <w:b/>
                <w:lang w:eastAsia="es-ES"/>
              </w:rPr>
            </w:pPr>
            <w:r w:rsidRPr="00395738">
              <w:rPr>
                <w:rFonts w:eastAsia="Arial Unicode MS" w:cs="Arial"/>
                <w:b/>
                <w:lang w:eastAsia="es-ES"/>
              </w:rPr>
              <w:t>Chairman</w:t>
            </w:r>
          </w:p>
        </w:tc>
        <w:tc>
          <w:tcPr>
            <w:tcW w:w="2500" w:type="pct"/>
            <w:vAlign w:val="center"/>
          </w:tcPr>
          <w:p w14:paraId="42F28ECA"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Massimo Cirasino (World Bank)</w:t>
            </w:r>
          </w:p>
        </w:tc>
      </w:tr>
      <w:tr w:rsidR="009D577F" w:rsidRPr="00395738" w14:paraId="40552B2C" w14:textId="77777777" w:rsidTr="00E478B7">
        <w:trPr>
          <w:trHeight w:hRule="exact" w:val="522"/>
          <w:jc w:val="center"/>
        </w:trPr>
        <w:tc>
          <w:tcPr>
            <w:tcW w:w="2500" w:type="pct"/>
            <w:vAlign w:val="center"/>
          </w:tcPr>
          <w:p w14:paraId="72D55D94" w14:textId="77777777" w:rsidR="009D577F" w:rsidRPr="00395738" w:rsidRDefault="009D577F" w:rsidP="009D577F">
            <w:pPr>
              <w:pStyle w:val="NoSpacing"/>
              <w:rPr>
                <w:rFonts w:eastAsia="Arial Unicode MS" w:cs="Arial"/>
                <w:b/>
                <w:lang w:eastAsia="es-ES"/>
              </w:rPr>
            </w:pPr>
          </w:p>
        </w:tc>
        <w:tc>
          <w:tcPr>
            <w:tcW w:w="2500" w:type="pct"/>
            <w:vAlign w:val="center"/>
          </w:tcPr>
          <w:p w14:paraId="7E73ECED" w14:textId="77777777" w:rsidR="009D577F" w:rsidRPr="00395738" w:rsidRDefault="009D577F" w:rsidP="009D577F">
            <w:pPr>
              <w:pStyle w:val="NoSpacing"/>
              <w:rPr>
                <w:rFonts w:eastAsia="Arial Unicode MS" w:cs="Arial"/>
                <w:b/>
                <w:lang w:eastAsia="es-ES"/>
              </w:rPr>
            </w:pPr>
          </w:p>
        </w:tc>
      </w:tr>
      <w:tr w:rsidR="009D577F" w:rsidRPr="00395738" w14:paraId="19C0B5D1" w14:textId="77777777" w:rsidTr="00E478B7">
        <w:trPr>
          <w:trHeight w:hRule="exact" w:val="522"/>
          <w:jc w:val="center"/>
        </w:trPr>
        <w:tc>
          <w:tcPr>
            <w:tcW w:w="2500" w:type="pct"/>
            <w:vAlign w:val="center"/>
          </w:tcPr>
          <w:p w14:paraId="1E660031" w14:textId="77777777" w:rsidR="009D577F" w:rsidRPr="00395738" w:rsidRDefault="009D577F" w:rsidP="009D577F">
            <w:pPr>
              <w:pStyle w:val="NoSpacing"/>
              <w:rPr>
                <w:rFonts w:eastAsia="Arial Unicode MS" w:cs="Arial"/>
                <w:b/>
                <w:lang w:eastAsia="es-ES"/>
              </w:rPr>
            </w:pPr>
            <w:r w:rsidRPr="00395738">
              <w:rPr>
                <w:rFonts w:eastAsia="Arial Unicode MS" w:cs="Arial"/>
                <w:b/>
                <w:lang w:eastAsia="es-ES"/>
              </w:rPr>
              <w:t>ICCR Members</w:t>
            </w:r>
          </w:p>
        </w:tc>
        <w:tc>
          <w:tcPr>
            <w:tcW w:w="2500" w:type="pct"/>
            <w:vAlign w:val="center"/>
          </w:tcPr>
          <w:p w14:paraId="4A221D09" w14:textId="77777777" w:rsidR="009D577F" w:rsidRPr="00395738" w:rsidRDefault="009D577F" w:rsidP="009D577F">
            <w:pPr>
              <w:pStyle w:val="NoSpacing"/>
              <w:rPr>
                <w:rFonts w:eastAsia="Arial Unicode MS" w:cs="Arial"/>
                <w:b/>
                <w:lang w:eastAsia="es-ES"/>
              </w:rPr>
            </w:pPr>
          </w:p>
        </w:tc>
      </w:tr>
      <w:tr w:rsidR="009D577F" w:rsidRPr="00395738" w14:paraId="2FF0771E" w14:textId="77777777" w:rsidTr="00E478B7">
        <w:trPr>
          <w:trHeight w:hRule="exact" w:val="522"/>
          <w:jc w:val="center"/>
        </w:trPr>
        <w:tc>
          <w:tcPr>
            <w:tcW w:w="2500" w:type="pct"/>
            <w:vAlign w:val="center"/>
          </w:tcPr>
          <w:p w14:paraId="110BDAB6"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Arab Monetary Fund</w:t>
            </w:r>
          </w:p>
        </w:tc>
        <w:tc>
          <w:tcPr>
            <w:tcW w:w="2500" w:type="pct"/>
            <w:vAlign w:val="center"/>
          </w:tcPr>
          <w:p w14:paraId="0ED22C0C"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Nabil Al-Mubarak</w:t>
            </w:r>
          </w:p>
        </w:tc>
      </w:tr>
      <w:tr w:rsidR="009D577F" w:rsidRPr="00395738" w14:paraId="70391A01" w14:textId="77777777" w:rsidTr="00E478B7">
        <w:trPr>
          <w:trHeight w:hRule="exact" w:val="522"/>
          <w:jc w:val="center"/>
        </w:trPr>
        <w:tc>
          <w:tcPr>
            <w:tcW w:w="2500" w:type="pct"/>
            <w:vAlign w:val="center"/>
          </w:tcPr>
          <w:p w14:paraId="37167A90" w14:textId="1A815D6C" w:rsidR="009D577F" w:rsidRPr="00395738" w:rsidRDefault="009D577F" w:rsidP="001376F0">
            <w:pPr>
              <w:pStyle w:val="NoSpacing"/>
              <w:rPr>
                <w:rFonts w:eastAsia="Arial Unicode MS" w:cs="Arial"/>
                <w:lang w:eastAsia="es-ES"/>
              </w:rPr>
            </w:pPr>
            <w:r w:rsidRPr="00395738">
              <w:rPr>
                <w:rFonts w:eastAsia="Arial Unicode MS" w:cs="Arial"/>
                <w:lang w:eastAsia="es-ES"/>
              </w:rPr>
              <w:t>Association of Consumer Credit Information Suppliers</w:t>
            </w:r>
          </w:p>
        </w:tc>
        <w:tc>
          <w:tcPr>
            <w:tcW w:w="2500" w:type="pct"/>
            <w:vAlign w:val="center"/>
          </w:tcPr>
          <w:p w14:paraId="7468B6C8"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Neil Munroe</w:t>
            </w:r>
          </w:p>
        </w:tc>
      </w:tr>
      <w:tr w:rsidR="009D577F" w:rsidRPr="00395738" w14:paraId="4149002D" w14:textId="77777777" w:rsidTr="009D577F">
        <w:trPr>
          <w:trHeight w:hRule="exact" w:val="522"/>
          <w:jc w:val="center"/>
        </w:trPr>
        <w:tc>
          <w:tcPr>
            <w:tcW w:w="2500" w:type="pct"/>
            <w:vAlign w:val="center"/>
          </w:tcPr>
          <w:p w14:paraId="59A7823C"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Banco Central do Brasil</w:t>
            </w:r>
          </w:p>
        </w:tc>
        <w:tc>
          <w:tcPr>
            <w:tcW w:w="2500" w:type="pct"/>
            <w:vAlign w:val="center"/>
          </w:tcPr>
          <w:p w14:paraId="0A3C2AF7"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Rogerio Peixoto</w:t>
            </w:r>
          </w:p>
        </w:tc>
      </w:tr>
      <w:tr w:rsidR="009D577F" w:rsidRPr="00395738" w14:paraId="34B3A47E" w14:textId="77777777" w:rsidTr="00E478B7">
        <w:trPr>
          <w:trHeight w:hRule="exact" w:val="522"/>
          <w:jc w:val="center"/>
        </w:trPr>
        <w:tc>
          <w:tcPr>
            <w:tcW w:w="2500" w:type="pct"/>
            <w:vAlign w:val="center"/>
          </w:tcPr>
          <w:p w14:paraId="28988BE6"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Banco de España</w:t>
            </w:r>
          </w:p>
        </w:tc>
        <w:tc>
          <w:tcPr>
            <w:tcW w:w="2500" w:type="pct"/>
            <w:vAlign w:val="center"/>
          </w:tcPr>
          <w:p w14:paraId="7F3BD051" w14:textId="10291B7E" w:rsidR="001376F0" w:rsidRPr="00395738" w:rsidRDefault="009D577F" w:rsidP="001376F0">
            <w:pPr>
              <w:pStyle w:val="NoSpacing"/>
              <w:rPr>
                <w:rFonts w:eastAsia="Arial Unicode MS" w:cs="Arial"/>
                <w:lang w:eastAsia="es-ES"/>
              </w:rPr>
            </w:pPr>
            <w:r w:rsidRPr="00395738">
              <w:rPr>
                <w:rFonts w:eastAsia="Arial Unicode MS" w:cs="Arial"/>
                <w:lang w:eastAsia="es-ES"/>
              </w:rPr>
              <w:t>Ramón Santillán</w:t>
            </w:r>
          </w:p>
        </w:tc>
      </w:tr>
      <w:tr w:rsidR="001376F0" w:rsidRPr="00395738" w14:paraId="523F307A" w14:textId="77777777" w:rsidTr="00E478B7">
        <w:trPr>
          <w:trHeight w:hRule="exact" w:val="522"/>
          <w:jc w:val="center"/>
        </w:trPr>
        <w:tc>
          <w:tcPr>
            <w:tcW w:w="2500" w:type="pct"/>
            <w:vAlign w:val="center"/>
          </w:tcPr>
          <w:p w14:paraId="61B1764C" w14:textId="77777777" w:rsidR="001376F0" w:rsidRPr="00395738" w:rsidRDefault="001376F0" w:rsidP="009D577F">
            <w:pPr>
              <w:pStyle w:val="NoSpacing"/>
              <w:rPr>
                <w:rFonts w:eastAsia="Arial Unicode MS" w:cs="Arial"/>
                <w:lang w:eastAsia="es-ES"/>
              </w:rPr>
            </w:pPr>
          </w:p>
        </w:tc>
        <w:tc>
          <w:tcPr>
            <w:tcW w:w="2500" w:type="pct"/>
            <w:vAlign w:val="center"/>
          </w:tcPr>
          <w:p w14:paraId="701434EC" w14:textId="5D33A424" w:rsidR="001376F0" w:rsidRPr="00395738" w:rsidRDefault="001376F0" w:rsidP="001376F0">
            <w:pPr>
              <w:pStyle w:val="NoSpacing"/>
              <w:rPr>
                <w:rFonts w:eastAsia="Arial Unicode MS" w:cs="Arial"/>
                <w:lang w:eastAsia="es-ES"/>
              </w:rPr>
            </w:pPr>
            <w:r w:rsidRPr="00395738">
              <w:rPr>
                <w:rFonts w:eastAsia="Arial Unicode MS" w:cs="Arial"/>
                <w:lang w:eastAsia="es-ES"/>
              </w:rPr>
              <w:t>Nuria Armas (alternate)</w:t>
            </w:r>
          </w:p>
        </w:tc>
      </w:tr>
      <w:tr w:rsidR="00395738" w:rsidRPr="00395738" w14:paraId="7AF86013" w14:textId="77777777" w:rsidTr="00E478B7">
        <w:trPr>
          <w:trHeight w:hRule="exact" w:val="522"/>
          <w:jc w:val="center"/>
        </w:trPr>
        <w:tc>
          <w:tcPr>
            <w:tcW w:w="2500" w:type="pct"/>
            <w:vAlign w:val="center"/>
          </w:tcPr>
          <w:p w14:paraId="44F84E58" w14:textId="56C0C8FC" w:rsidR="00395738" w:rsidRPr="00395738" w:rsidRDefault="00395738" w:rsidP="009D577F">
            <w:pPr>
              <w:pStyle w:val="NoSpacing"/>
              <w:rPr>
                <w:rFonts w:eastAsia="Arial Unicode MS" w:cs="Arial"/>
                <w:lang w:eastAsia="es-ES"/>
              </w:rPr>
            </w:pPr>
            <w:r>
              <w:rPr>
                <w:rFonts w:eastAsia="Arial Unicode MS" w:cs="Arial"/>
                <w:lang w:eastAsia="es-ES"/>
              </w:rPr>
              <w:t>Banque de France</w:t>
            </w:r>
          </w:p>
        </w:tc>
        <w:tc>
          <w:tcPr>
            <w:tcW w:w="2500" w:type="pct"/>
            <w:vAlign w:val="center"/>
          </w:tcPr>
          <w:p w14:paraId="04E25C37" w14:textId="3CEB4DDA" w:rsidR="00395738" w:rsidRPr="00395738" w:rsidRDefault="00395738" w:rsidP="009D577F">
            <w:pPr>
              <w:pStyle w:val="NoSpacing"/>
              <w:rPr>
                <w:rFonts w:eastAsia="Arial Unicode MS" w:cs="Arial"/>
                <w:lang w:eastAsia="es-ES"/>
              </w:rPr>
            </w:pPr>
            <w:r>
              <w:rPr>
                <w:rFonts w:eastAsia="Arial Unicode MS" w:cs="Arial"/>
                <w:lang w:eastAsia="es-ES"/>
              </w:rPr>
              <w:t>Benoit Fauvelet</w:t>
            </w:r>
          </w:p>
        </w:tc>
      </w:tr>
      <w:tr w:rsidR="009D577F" w:rsidRPr="00395738" w14:paraId="2FC7A6AE" w14:textId="77777777" w:rsidTr="00E478B7">
        <w:trPr>
          <w:trHeight w:hRule="exact" w:val="522"/>
          <w:jc w:val="center"/>
        </w:trPr>
        <w:tc>
          <w:tcPr>
            <w:tcW w:w="2500" w:type="pct"/>
            <w:vAlign w:val="center"/>
          </w:tcPr>
          <w:p w14:paraId="6ABA535B" w14:textId="77777777" w:rsidR="009D577F" w:rsidRPr="00395738" w:rsidRDefault="009D577F" w:rsidP="009D577F">
            <w:pPr>
              <w:pStyle w:val="NoSpacing"/>
              <w:rPr>
                <w:rFonts w:eastAsia="Arial Unicode MS" w:cs="Arial"/>
                <w:lang w:eastAsia="es-ES"/>
              </w:rPr>
            </w:pPr>
            <w:proofErr w:type="spellStart"/>
            <w:r w:rsidRPr="00395738">
              <w:rPr>
                <w:rFonts w:eastAsia="Arial Unicode MS" w:cs="Arial"/>
                <w:lang w:eastAsia="es-ES"/>
              </w:rPr>
              <w:t>Banca</w:t>
            </w:r>
            <w:proofErr w:type="spellEnd"/>
            <w:r w:rsidRPr="00395738">
              <w:rPr>
                <w:rFonts w:eastAsia="Arial Unicode MS" w:cs="Arial"/>
                <w:lang w:eastAsia="es-ES"/>
              </w:rPr>
              <w:t xml:space="preserve"> </w:t>
            </w:r>
            <w:proofErr w:type="spellStart"/>
            <w:r w:rsidRPr="00395738">
              <w:rPr>
                <w:rFonts w:eastAsia="Arial Unicode MS" w:cs="Arial"/>
                <w:lang w:eastAsia="es-ES"/>
              </w:rPr>
              <w:t>d’Italia</w:t>
            </w:r>
            <w:proofErr w:type="spellEnd"/>
          </w:p>
        </w:tc>
        <w:tc>
          <w:tcPr>
            <w:tcW w:w="2500" w:type="pct"/>
            <w:vAlign w:val="center"/>
          </w:tcPr>
          <w:p w14:paraId="091CC53F"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Laura Mellone</w:t>
            </w:r>
          </w:p>
        </w:tc>
      </w:tr>
      <w:tr w:rsidR="009D577F" w:rsidRPr="00395738" w14:paraId="1BFE06AD" w14:textId="77777777" w:rsidTr="00E478B7">
        <w:trPr>
          <w:trHeight w:hRule="exact" w:val="522"/>
          <w:jc w:val="center"/>
        </w:trPr>
        <w:tc>
          <w:tcPr>
            <w:tcW w:w="2500" w:type="pct"/>
            <w:vAlign w:val="center"/>
          </w:tcPr>
          <w:p w14:paraId="19521BCF"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Banco de México</w:t>
            </w:r>
          </w:p>
        </w:tc>
        <w:tc>
          <w:tcPr>
            <w:tcW w:w="2500" w:type="pct"/>
            <w:vAlign w:val="center"/>
          </w:tcPr>
          <w:p w14:paraId="7E018952" w14:textId="7B0179F6" w:rsidR="009D577F" w:rsidRPr="00395738" w:rsidRDefault="001376F0" w:rsidP="001376F0">
            <w:pPr>
              <w:pStyle w:val="NoSpacing"/>
              <w:rPr>
                <w:rFonts w:eastAsia="Arial Unicode MS" w:cs="Arial"/>
                <w:lang w:eastAsia="es-ES"/>
              </w:rPr>
            </w:pPr>
            <w:r w:rsidRPr="00395738">
              <w:rPr>
                <w:rFonts w:eastAsia="Arial Unicode MS" w:cs="Arial"/>
                <w:lang w:eastAsia="es-ES"/>
              </w:rPr>
              <w:t>Alan Elizondo</w:t>
            </w:r>
          </w:p>
        </w:tc>
      </w:tr>
      <w:tr w:rsidR="001376F0" w:rsidRPr="00395738" w14:paraId="3C8FEEA6" w14:textId="77777777" w:rsidTr="00E478B7">
        <w:trPr>
          <w:trHeight w:hRule="exact" w:val="522"/>
          <w:jc w:val="center"/>
        </w:trPr>
        <w:tc>
          <w:tcPr>
            <w:tcW w:w="2500" w:type="pct"/>
            <w:vAlign w:val="center"/>
          </w:tcPr>
          <w:p w14:paraId="778894A8" w14:textId="77777777" w:rsidR="001376F0" w:rsidRPr="00395738" w:rsidRDefault="001376F0" w:rsidP="009D577F">
            <w:pPr>
              <w:pStyle w:val="NoSpacing"/>
              <w:rPr>
                <w:rFonts w:eastAsia="Arial Unicode MS" w:cs="Arial"/>
                <w:lang w:eastAsia="es-ES"/>
              </w:rPr>
            </w:pPr>
          </w:p>
        </w:tc>
        <w:tc>
          <w:tcPr>
            <w:tcW w:w="2500" w:type="pct"/>
            <w:vAlign w:val="center"/>
          </w:tcPr>
          <w:p w14:paraId="4DBBE6BE" w14:textId="744E5F46" w:rsidR="001376F0" w:rsidRPr="00395738" w:rsidRDefault="001376F0" w:rsidP="001376F0">
            <w:pPr>
              <w:pStyle w:val="NoSpacing"/>
              <w:rPr>
                <w:rFonts w:eastAsia="Arial Unicode MS" w:cs="Arial"/>
                <w:lang w:eastAsia="es-ES"/>
              </w:rPr>
            </w:pPr>
            <w:r w:rsidRPr="00395738">
              <w:rPr>
                <w:rFonts w:eastAsia="Arial Unicode MS" w:cs="Arial"/>
                <w:lang w:eastAsia="es-ES"/>
              </w:rPr>
              <w:t>Humberto Pánuco (alternate)</w:t>
            </w:r>
          </w:p>
        </w:tc>
      </w:tr>
      <w:tr w:rsidR="009D577F" w:rsidRPr="00395738" w14:paraId="331D3034" w14:textId="77777777" w:rsidTr="00E478B7">
        <w:trPr>
          <w:trHeight w:hRule="exact" w:val="522"/>
          <w:jc w:val="center"/>
        </w:trPr>
        <w:tc>
          <w:tcPr>
            <w:tcW w:w="2500" w:type="pct"/>
            <w:vAlign w:val="center"/>
          </w:tcPr>
          <w:p w14:paraId="7B52E64C"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Bank for International Settlements</w:t>
            </w:r>
          </w:p>
        </w:tc>
        <w:tc>
          <w:tcPr>
            <w:tcW w:w="2500" w:type="pct"/>
            <w:vAlign w:val="center"/>
          </w:tcPr>
          <w:p w14:paraId="3659EE71"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Marc Hollanders</w:t>
            </w:r>
          </w:p>
        </w:tc>
      </w:tr>
      <w:tr w:rsidR="009D577F" w:rsidRPr="00395738" w14:paraId="432B1DE4" w14:textId="77777777" w:rsidTr="00E478B7">
        <w:trPr>
          <w:trHeight w:hRule="exact" w:val="522"/>
          <w:jc w:val="center"/>
        </w:trPr>
        <w:tc>
          <w:tcPr>
            <w:tcW w:w="2500" w:type="pct"/>
            <w:vAlign w:val="center"/>
          </w:tcPr>
          <w:p w14:paraId="3ADD9583" w14:textId="6FE9C08A" w:rsidR="009D577F" w:rsidRPr="00395738" w:rsidRDefault="009D577F" w:rsidP="009D577F">
            <w:pPr>
              <w:pStyle w:val="NoSpacing"/>
              <w:rPr>
                <w:rFonts w:eastAsia="Arial Unicode MS" w:cs="Arial"/>
                <w:lang w:eastAsia="es-ES"/>
              </w:rPr>
            </w:pPr>
            <w:r w:rsidRPr="00395738">
              <w:rPr>
                <w:rFonts w:eastAsia="Arial Unicode MS" w:cs="Arial"/>
                <w:lang w:eastAsia="es-ES"/>
              </w:rPr>
              <w:t>Business Information Industry Association</w:t>
            </w:r>
          </w:p>
        </w:tc>
        <w:tc>
          <w:tcPr>
            <w:tcW w:w="2500" w:type="pct"/>
            <w:vAlign w:val="center"/>
          </w:tcPr>
          <w:p w14:paraId="61BDA335"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Joachim Bartels</w:t>
            </w:r>
          </w:p>
        </w:tc>
      </w:tr>
      <w:tr w:rsidR="009D577F" w:rsidRPr="00395738" w14:paraId="6107414B" w14:textId="77777777" w:rsidTr="00E478B7">
        <w:trPr>
          <w:trHeight w:hRule="exact" w:val="522"/>
          <w:jc w:val="center"/>
        </w:trPr>
        <w:tc>
          <w:tcPr>
            <w:tcW w:w="2500" w:type="pct"/>
            <w:vAlign w:val="center"/>
          </w:tcPr>
          <w:p w14:paraId="68269469"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Center for Latin American Monetary Studies</w:t>
            </w:r>
          </w:p>
        </w:tc>
        <w:tc>
          <w:tcPr>
            <w:tcW w:w="2500" w:type="pct"/>
            <w:vAlign w:val="center"/>
          </w:tcPr>
          <w:p w14:paraId="2B185F28" w14:textId="77777777" w:rsidR="009D577F" w:rsidRPr="00395738" w:rsidRDefault="00E31B1B" w:rsidP="009D577F">
            <w:pPr>
              <w:pStyle w:val="NoSpacing"/>
              <w:rPr>
                <w:rFonts w:eastAsia="Arial Unicode MS" w:cs="Arial"/>
                <w:lang w:eastAsia="es-ES"/>
              </w:rPr>
            </w:pPr>
            <w:r w:rsidRPr="00395738">
              <w:rPr>
                <w:rFonts w:eastAsia="Arial Unicode MS" w:cs="Arial"/>
                <w:lang w:eastAsia="es-ES"/>
              </w:rPr>
              <w:t>Raúl Morales</w:t>
            </w:r>
          </w:p>
        </w:tc>
      </w:tr>
      <w:tr w:rsidR="009D577F" w:rsidRPr="00395738" w14:paraId="424435F8" w14:textId="77777777" w:rsidTr="00E478B7">
        <w:trPr>
          <w:trHeight w:hRule="exact" w:val="522"/>
          <w:jc w:val="center"/>
        </w:trPr>
        <w:tc>
          <w:tcPr>
            <w:tcW w:w="2500" w:type="pct"/>
            <w:vAlign w:val="center"/>
          </w:tcPr>
          <w:p w14:paraId="6E60CA30"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Central Bank of the Republic of Turkey</w:t>
            </w:r>
          </w:p>
        </w:tc>
        <w:tc>
          <w:tcPr>
            <w:tcW w:w="2500" w:type="pct"/>
            <w:vAlign w:val="center"/>
          </w:tcPr>
          <w:p w14:paraId="12397B84"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Omer Kayhan Seyhun</w:t>
            </w:r>
          </w:p>
        </w:tc>
      </w:tr>
      <w:tr w:rsidR="00E31B1B" w:rsidRPr="00395738" w14:paraId="7F3A3EF9" w14:textId="77777777" w:rsidTr="00E478B7">
        <w:trPr>
          <w:trHeight w:hRule="exact" w:val="522"/>
          <w:jc w:val="center"/>
        </w:trPr>
        <w:tc>
          <w:tcPr>
            <w:tcW w:w="2500" w:type="pct"/>
            <w:vAlign w:val="center"/>
          </w:tcPr>
          <w:p w14:paraId="4DD73BB7" w14:textId="4EBB2C59" w:rsidR="00E31B1B" w:rsidRPr="00395738" w:rsidRDefault="00E31B1B" w:rsidP="009D577F">
            <w:pPr>
              <w:pStyle w:val="NoSpacing"/>
              <w:rPr>
                <w:rFonts w:eastAsia="Arial Unicode MS" w:cs="Arial"/>
                <w:lang w:eastAsia="es-ES"/>
              </w:rPr>
            </w:pPr>
            <w:r w:rsidRPr="00395738">
              <w:rPr>
                <w:rFonts w:eastAsia="Arial Unicode MS" w:cs="Arial"/>
                <w:lang w:eastAsia="es-ES"/>
              </w:rPr>
              <w:t>Consumer Data Industry Association</w:t>
            </w:r>
          </w:p>
        </w:tc>
        <w:tc>
          <w:tcPr>
            <w:tcW w:w="2500" w:type="pct"/>
            <w:vAlign w:val="center"/>
          </w:tcPr>
          <w:p w14:paraId="551AC667" w14:textId="77777777" w:rsidR="00E31B1B" w:rsidRPr="00395738" w:rsidRDefault="00E31B1B" w:rsidP="009D577F">
            <w:pPr>
              <w:pStyle w:val="NoSpacing"/>
              <w:rPr>
                <w:rFonts w:eastAsia="Arial Unicode MS" w:cs="Arial"/>
                <w:lang w:eastAsia="es-ES"/>
              </w:rPr>
            </w:pPr>
            <w:r w:rsidRPr="00395738">
              <w:rPr>
                <w:rFonts w:eastAsia="Arial Unicode MS" w:cs="Arial"/>
                <w:lang w:eastAsia="es-ES"/>
              </w:rPr>
              <w:t>Stuart Pratt</w:t>
            </w:r>
          </w:p>
        </w:tc>
      </w:tr>
      <w:tr w:rsidR="009D577F" w:rsidRPr="00395738" w14:paraId="449904B8" w14:textId="77777777" w:rsidTr="00E478B7">
        <w:trPr>
          <w:trHeight w:hRule="exact" w:val="522"/>
          <w:jc w:val="center"/>
        </w:trPr>
        <w:tc>
          <w:tcPr>
            <w:tcW w:w="2500" w:type="pct"/>
            <w:vAlign w:val="center"/>
          </w:tcPr>
          <w:p w14:paraId="788EC353"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Deutsche Bundesbank</w:t>
            </w:r>
          </w:p>
        </w:tc>
        <w:tc>
          <w:tcPr>
            <w:tcW w:w="2500" w:type="pct"/>
            <w:vAlign w:val="center"/>
          </w:tcPr>
          <w:p w14:paraId="17E84483"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Michael Ritter</w:t>
            </w:r>
          </w:p>
        </w:tc>
      </w:tr>
      <w:tr w:rsidR="009D577F" w:rsidRPr="00395738" w14:paraId="41F8852C" w14:textId="77777777" w:rsidTr="00E478B7">
        <w:trPr>
          <w:trHeight w:hRule="exact" w:val="522"/>
          <w:jc w:val="center"/>
        </w:trPr>
        <w:tc>
          <w:tcPr>
            <w:tcW w:w="2500" w:type="pct"/>
            <w:vAlign w:val="center"/>
          </w:tcPr>
          <w:p w14:paraId="3D56EA59" w14:textId="77777777" w:rsidR="009D577F" w:rsidRPr="00395738" w:rsidRDefault="009D577F" w:rsidP="009D577F">
            <w:pPr>
              <w:pStyle w:val="NoSpacing"/>
              <w:rPr>
                <w:rFonts w:eastAsia="Arial Unicode MS" w:cs="Arial"/>
                <w:lang w:eastAsia="es-ES"/>
              </w:rPr>
            </w:pPr>
          </w:p>
        </w:tc>
        <w:tc>
          <w:tcPr>
            <w:tcW w:w="2500" w:type="pct"/>
            <w:vAlign w:val="center"/>
          </w:tcPr>
          <w:p w14:paraId="4A693A90"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Ingrid Seitz</w:t>
            </w:r>
            <w:r w:rsidR="00051CD9" w:rsidRPr="00395738">
              <w:rPr>
                <w:rFonts w:eastAsia="Arial Unicode MS" w:cs="Arial"/>
                <w:lang w:eastAsia="es-ES"/>
              </w:rPr>
              <w:t xml:space="preserve"> (alternate)</w:t>
            </w:r>
          </w:p>
        </w:tc>
      </w:tr>
      <w:tr w:rsidR="009D577F" w:rsidRPr="00395738" w14:paraId="154431F3" w14:textId="77777777" w:rsidTr="00E478B7">
        <w:trPr>
          <w:trHeight w:hRule="exact" w:val="522"/>
          <w:jc w:val="center"/>
        </w:trPr>
        <w:tc>
          <w:tcPr>
            <w:tcW w:w="2500" w:type="pct"/>
            <w:vAlign w:val="center"/>
          </w:tcPr>
          <w:p w14:paraId="7619C12C"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International Finance Corporation</w:t>
            </w:r>
          </w:p>
        </w:tc>
        <w:tc>
          <w:tcPr>
            <w:tcW w:w="2500" w:type="pct"/>
            <w:vAlign w:val="center"/>
          </w:tcPr>
          <w:p w14:paraId="5514AD2B"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Tony Lythgoe</w:t>
            </w:r>
          </w:p>
        </w:tc>
      </w:tr>
      <w:tr w:rsidR="009D577F" w:rsidRPr="00395738" w14:paraId="63E8867A" w14:textId="77777777" w:rsidTr="00E478B7">
        <w:trPr>
          <w:trHeight w:hRule="exact" w:val="522"/>
          <w:jc w:val="center"/>
        </w:trPr>
        <w:tc>
          <w:tcPr>
            <w:tcW w:w="2500" w:type="pct"/>
            <w:vAlign w:val="center"/>
          </w:tcPr>
          <w:p w14:paraId="743CFD42"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People’s Bank of China</w:t>
            </w:r>
          </w:p>
        </w:tc>
        <w:tc>
          <w:tcPr>
            <w:tcW w:w="2500" w:type="pct"/>
            <w:vAlign w:val="center"/>
          </w:tcPr>
          <w:p w14:paraId="62CCBFD7" w14:textId="5752C517" w:rsidR="009D577F" w:rsidRPr="00395738" w:rsidRDefault="0072760F" w:rsidP="009D577F">
            <w:pPr>
              <w:pStyle w:val="NoSpacing"/>
              <w:rPr>
                <w:rFonts w:eastAsia="Arial Unicode MS" w:cs="Arial"/>
                <w:lang w:eastAsia="es-ES"/>
              </w:rPr>
            </w:pPr>
            <w:r w:rsidRPr="00395738">
              <w:rPr>
                <w:rFonts w:eastAsia="Arial Unicode MS" w:cs="Arial"/>
                <w:lang w:eastAsia="es-ES"/>
              </w:rPr>
              <w:t>Xia</w:t>
            </w:r>
            <w:r w:rsidR="009D577F" w:rsidRPr="00395738">
              <w:rPr>
                <w:rFonts w:eastAsia="Arial Unicode MS" w:cs="Arial"/>
                <w:lang w:eastAsia="es-ES"/>
              </w:rPr>
              <w:t>olei Wang</w:t>
            </w:r>
          </w:p>
        </w:tc>
      </w:tr>
      <w:tr w:rsidR="009D577F" w:rsidRPr="00395738" w14:paraId="244BE3C7" w14:textId="77777777" w:rsidTr="00E478B7">
        <w:trPr>
          <w:trHeight w:hRule="exact" w:val="522"/>
          <w:jc w:val="center"/>
        </w:trPr>
        <w:tc>
          <w:tcPr>
            <w:tcW w:w="2500" w:type="pct"/>
            <w:vAlign w:val="center"/>
          </w:tcPr>
          <w:p w14:paraId="6A7BDB52"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lastRenderedPageBreak/>
              <w:t>Reserve Bank of India</w:t>
            </w:r>
          </w:p>
        </w:tc>
        <w:tc>
          <w:tcPr>
            <w:tcW w:w="2500" w:type="pct"/>
            <w:vAlign w:val="center"/>
          </w:tcPr>
          <w:p w14:paraId="2C99D34C" w14:textId="7E383E4E" w:rsidR="009D577F" w:rsidRPr="00395738" w:rsidRDefault="00E13E9D" w:rsidP="00E13E9D">
            <w:pPr>
              <w:pStyle w:val="NoSpacing"/>
              <w:rPr>
                <w:rFonts w:eastAsia="Arial Unicode MS" w:cs="Arial"/>
                <w:lang w:eastAsia="es-ES"/>
              </w:rPr>
            </w:pPr>
            <w:r w:rsidRPr="00395738">
              <w:rPr>
                <w:rFonts w:eastAsia="Arial Unicode MS" w:cs="Arial"/>
                <w:lang w:eastAsia="es-ES"/>
              </w:rPr>
              <w:t xml:space="preserve">Rajinder </w:t>
            </w:r>
            <w:r w:rsidR="004B6AA8" w:rsidRPr="00395738">
              <w:rPr>
                <w:rFonts w:eastAsia="Arial Unicode MS" w:cs="Arial"/>
                <w:lang w:eastAsia="es-ES"/>
              </w:rPr>
              <w:t>Kumar</w:t>
            </w:r>
          </w:p>
        </w:tc>
      </w:tr>
      <w:tr w:rsidR="009D577F" w:rsidRPr="00395738" w14:paraId="673CB805" w14:textId="77777777" w:rsidTr="00E478B7">
        <w:trPr>
          <w:trHeight w:hRule="exact" w:val="522"/>
          <w:jc w:val="center"/>
        </w:trPr>
        <w:tc>
          <w:tcPr>
            <w:tcW w:w="2500" w:type="pct"/>
            <w:vAlign w:val="center"/>
          </w:tcPr>
          <w:p w14:paraId="0E6E029E"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The World Bank</w:t>
            </w:r>
          </w:p>
        </w:tc>
        <w:tc>
          <w:tcPr>
            <w:tcW w:w="2500" w:type="pct"/>
            <w:vAlign w:val="center"/>
          </w:tcPr>
          <w:p w14:paraId="2D671927"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Mario Guadamillas</w:t>
            </w:r>
          </w:p>
        </w:tc>
      </w:tr>
      <w:tr w:rsidR="00854C62" w:rsidRPr="00395738" w14:paraId="1B0128E0" w14:textId="77777777" w:rsidTr="00E478B7">
        <w:trPr>
          <w:trHeight w:hRule="exact" w:val="522"/>
          <w:jc w:val="center"/>
        </w:trPr>
        <w:tc>
          <w:tcPr>
            <w:tcW w:w="2500" w:type="pct"/>
            <w:vAlign w:val="center"/>
          </w:tcPr>
          <w:p w14:paraId="29BB214D" w14:textId="1689E608" w:rsidR="00854C62" w:rsidRPr="00395738" w:rsidRDefault="00854C62" w:rsidP="009D577F">
            <w:pPr>
              <w:pStyle w:val="NoSpacing"/>
              <w:rPr>
                <w:rFonts w:eastAsia="Arial Unicode MS" w:cs="Arial"/>
                <w:lang w:eastAsia="es-ES"/>
              </w:rPr>
            </w:pPr>
            <w:r w:rsidRPr="00395738">
              <w:rPr>
                <w:rFonts w:eastAsia="Arial Unicode MS" w:cs="Arial"/>
                <w:lang w:eastAsia="es-ES"/>
              </w:rPr>
              <w:t>U.S. Consumer Financial Protection Bureau</w:t>
            </w:r>
          </w:p>
        </w:tc>
        <w:tc>
          <w:tcPr>
            <w:tcW w:w="2500" w:type="pct"/>
            <w:vAlign w:val="center"/>
          </w:tcPr>
          <w:p w14:paraId="0AF95A12" w14:textId="1954514E" w:rsidR="00854C62" w:rsidRPr="00395738" w:rsidRDefault="00854C62" w:rsidP="009D577F">
            <w:pPr>
              <w:pStyle w:val="NoSpacing"/>
              <w:rPr>
                <w:rFonts w:eastAsia="Arial Unicode MS" w:cs="Arial"/>
                <w:lang w:eastAsia="es-ES"/>
              </w:rPr>
            </w:pPr>
            <w:r w:rsidRPr="00395738">
              <w:rPr>
                <w:rFonts w:eastAsia="Arial Unicode MS" w:cs="Arial"/>
                <w:lang w:eastAsia="es-ES"/>
              </w:rPr>
              <w:t>Thomas Oscherwitz</w:t>
            </w:r>
          </w:p>
        </w:tc>
      </w:tr>
      <w:tr w:rsidR="009D577F" w:rsidRPr="00395738" w14:paraId="60DE0616" w14:textId="77777777" w:rsidTr="00E478B7">
        <w:trPr>
          <w:trHeight w:hRule="exact" w:val="522"/>
          <w:jc w:val="center"/>
        </w:trPr>
        <w:tc>
          <w:tcPr>
            <w:tcW w:w="2500" w:type="pct"/>
            <w:vAlign w:val="center"/>
          </w:tcPr>
          <w:p w14:paraId="1F6C8344" w14:textId="77777777" w:rsidR="009D577F" w:rsidRPr="00395738" w:rsidRDefault="009D577F" w:rsidP="009D577F">
            <w:pPr>
              <w:pStyle w:val="NoSpacing"/>
              <w:rPr>
                <w:rFonts w:eastAsia="Arial Unicode MS" w:cs="Arial"/>
                <w:b/>
                <w:lang w:eastAsia="es-ES"/>
              </w:rPr>
            </w:pPr>
          </w:p>
        </w:tc>
        <w:tc>
          <w:tcPr>
            <w:tcW w:w="2500" w:type="pct"/>
            <w:vAlign w:val="center"/>
          </w:tcPr>
          <w:p w14:paraId="20F48D50" w14:textId="77777777" w:rsidR="009D577F" w:rsidRPr="00395738" w:rsidRDefault="009D577F" w:rsidP="009D577F">
            <w:pPr>
              <w:pStyle w:val="NoSpacing"/>
              <w:rPr>
                <w:rFonts w:eastAsia="Arial Unicode MS" w:cs="Arial"/>
                <w:b/>
                <w:lang w:eastAsia="es-ES"/>
              </w:rPr>
            </w:pPr>
          </w:p>
        </w:tc>
      </w:tr>
      <w:tr w:rsidR="009D577F" w:rsidRPr="00395738" w14:paraId="7647F88C" w14:textId="77777777" w:rsidTr="00E478B7">
        <w:trPr>
          <w:trHeight w:hRule="exact" w:val="522"/>
          <w:jc w:val="center"/>
        </w:trPr>
        <w:tc>
          <w:tcPr>
            <w:tcW w:w="2500" w:type="pct"/>
            <w:vAlign w:val="center"/>
          </w:tcPr>
          <w:p w14:paraId="409C5388" w14:textId="77777777" w:rsidR="009D577F" w:rsidRPr="00395738" w:rsidRDefault="009D577F" w:rsidP="009D577F">
            <w:pPr>
              <w:pStyle w:val="NoSpacing"/>
              <w:rPr>
                <w:rFonts w:eastAsia="Arial Unicode MS" w:cs="Arial"/>
                <w:b/>
                <w:lang w:eastAsia="es-ES"/>
              </w:rPr>
            </w:pPr>
            <w:r w:rsidRPr="00395738">
              <w:rPr>
                <w:rFonts w:eastAsia="Arial Unicode MS" w:cs="Arial"/>
                <w:b/>
                <w:lang w:eastAsia="es-ES"/>
              </w:rPr>
              <w:t>Secretariat</w:t>
            </w:r>
          </w:p>
        </w:tc>
        <w:tc>
          <w:tcPr>
            <w:tcW w:w="2500" w:type="pct"/>
            <w:vAlign w:val="center"/>
          </w:tcPr>
          <w:p w14:paraId="483D6491" w14:textId="77777777" w:rsidR="009D577F" w:rsidRPr="00395738" w:rsidRDefault="009D577F" w:rsidP="009D577F">
            <w:pPr>
              <w:pStyle w:val="NoSpacing"/>
              <w:rPr>
                <w:rFonts w:eastAsia="Arial Unicode MS" w:cs="Arial"/>
                <w:lang w:eastAsia="es-ES"/>
              </w:rPr>
            </w:pPr>
            <w:r w:rsidRPr="00395738">
              <w:rPr>
                <w:rFonts w:eastAsia="Arial Unicode MS" w:cs="Arial"/>
                <w:lang w:eastAsia="es-ES"/>
              </w:rPr>
              <w:t xml:space="preserve">José Antonio García </w:t>
            </w:r>
          </w:p>
        </w:tc>
      </w:tr>
      <w:tr w:rsidR="009D577F" w:rsidRPr="00395738" w14:paraId="69D2F191" w14:textId="77777777" w:rsidTr="00E478B7">
        <w:trPr>
          <w:trHeight w:hRule="exact" w:val="522"/>
          <w:jc w:val="center"/>
        </w:trPr>
        <w:tc>
          <w:tcPr>
            <w:tcW w:w="2500" w:type="pct"/>
            <w:vAlign w:val="center"/>
          </w:tcPr>
          <w:p w14:paraId="421705F3" w14:textId="77777777" w:rsidR="009D577F" w:rsidRPr="00395738" w:rsidRDefault="009D577F" w:rsidP="009D577F">
            <w:pPr>
              <w:pStyle w:val="NoSpacing"/>
              <w:rPr>
                <w:rFonts w:eastAsia="Arial Unicode MS" w:cs="Arial"/>
                <w:b/>
                <w:lang w:eastAsia="es-ES"/>
              </w:rPr>
            </w:pPr>
          </w:p>
        </w:tc>
        <w:tc>
          <w:tcPr>
            <w:tcW w:w="2500" w:type="pct"/>
            <w:vAlign w:val="center"/>
          </w:tcPr>
          <w:p w14:paraId="084C151F" w14:textId="77777777" w:rsidR="009D577F" w:rsidRPr="00395738" w:rsidRDefault="009D577F" w:rsidP="009D577F">
            <w:pPr>
              <w:pStyle w:val="NoSpacing"/>
              <w:rPr>
                <w:rFonts w:eastAsia="Arial Unicode MS" w:cs="Arial"/>
                <w:lang w:eastAsia="es-ES"/>
              </w:rPr>
            </w:pPr>
            <w:bookmarkStart w:id="9" w:name="_GoBack"/>
            <w:bookmarkEnd w:id="9"/>
            <w:r w:rsidRPr="00395738">
              <w:rPr>
                <w:rFonts w:eastAsia="Arial Unicode MS" w:cs="Arial"/>
                <w:lang w:eastAsia="es-ES"/>
              </w:rPr>
              <w:t>Fredesvinda Montes</w:t>
            </w:r>
          </w:p>
        </w:tc>
      </w:tr>
    </w:tbl>
    <w:p w14:paraId="5C8A476D" w14:textId="77777777" w:rsidR="000C273A" w:rsidRPr="00395738" w:rsidRDefault="000C273A" w:rsidP="00E13E9D">
      <w:pPr>
        <w:autoSpaceDE w:val="0"/>
        <w:autoSpaceDN w:val="0"/>
        <w:adjustRightInd w:val="0"/>
        <w:spacing w:after="240" w:line="360" w:lineRule="auto"/>
        <w:jc w:val="both"/>
        <w:rPr>
          <w:rFonts w:cs="Times New Roman"/>
          <w:color w:val="000000"/>
          <w:sz w:val="24"/>
          <w:szCs w:val="24"/>
        </w:rPr>
      </w:pPr>
    </w:p>
    <w:p w14:paraId="3FE31530" w14:textId="76A6FF30" w:rsidR="00051CD9" w:rsidRPr="00395738" w:rsidRDefault="00051CD9" w:rsidP="00051CD9">
      <w:pPr>
        <w:autoSpaceDE w:val="0"/>
        <w:autoSpaceDN w:val="0"/>
        <w:adjustRightInd w:val="0"/>
        <w:spacing w:after="240" w:line="360" w:lineRule="auto"/>
        <w:jc w:val="both"/>
        <w:rPr>
          <w:rFonts w:cs="Times New Roman"/>
          <w:sz w:val="24"/>
          <w:szCs w:val="24"/>
        </w:rPr>
      </w:pPr>
      <w:r w:rsidRPr="00395738">
        <w:rPr>
          <w:rFonts w:cs="Times New Roman"/>
          <w:sz w:val="24"/>
          <w:szCs w:val="24"/>
        </w:rPr>
        <w:t>The ICCR would like to thank</w:t>
      </w:r>
      <w:r w:rsidR="000A23C6" w:rsidRPr="00395738">
        <w:rPr>
          <w:rFonts w:cs="Times New Roman"/>
          <w:sz w:val="24"/>
          <w:szCs w:val="24"/>
        </w:rPr>
        <w:t xml:space="preserve"> Pierre-Laurent Chatain and Miquel Dijkman (both World Bank)</w:t>
      </w:r>
      <w:r w:rsidR="00A536D6" w:rsidRPr="00395738">
        <w:rPr>
          <w:rFonts w:cs="Times New Roman"/>
          <w:sz w:val="24"/>
          <w:szCs w:val="24"/>
        </w:rPr>
        <w:t xml:space="preserve">, Jesús Saurina (Banco de </w:t>
      </w:r>
      <w:proofErr w:type="spellStart"/>
      <w:r w:rsidR="00A536D6" w:rsidRPr="00395738">
        <w:rPr>
          <w:rFonts w:cs="Times New Roman"/>
          <w:sz w:val="24"/>
          <w:szCs w:val="24"/>
        </w:rPr>
        <w:t>España</w:t>
      </w:r>
      <w:proofErr w:type="spellEnd"/>
      <w:r w:rsidR="00A536D6" w:rsidRPr="00395738">
        <w:rPr>
          <w:rFonts w:cs="Times New Roman"/>
          <w:sz w:val="24"/>
          <w:szCs w:val="24"/>
        </w:rPr>
        <w:t>)</w:t>
      </w:r>
      <w:r w:rsidR="00B21B79">
        <w:rPr>
          <w:rFonts w:cs="Times New Roman"/>
          <w:sz w:val="24"/>
          <w:szCs w:val="24"/>
        </w:rPr>
        <w:t xml:space="preserve">, Sani </w:t>
      </w:r>
      <w:proofErr w:type="spellStart"/>
      <w:r w:rsidR="00B21B79">
        <w:rPr>
          <w:rFonts w:cs="Times New Roman"/>
          <w:sz w:val="24"/>
          <w:szCs w:val="24"/>
        </w:rPr>
        <w:t>Eka</w:t>
      </w:r>
      <w:proofErr w:type="spellEnd"/>
      <w:r w:rsidR="00B21B79">
        <w:rPr>
          <w:rFonts w:cs="Times New Roman"/>
          <w:sz w:val="24"/>
          <w:szCs w:val="24"/>
        </w:rPr>
        <w:t xml:space="preserve"> Duta (Bank Indonesia)</w:t>
      </w:r>
      <w:r w:rsidR="00A536D6" w:rsidRPr="00395738">
        <w:rPr>
          <w:rFonts w:cs="Times New Roman"/>
          <w:sz w:val="24"/>
          <w:szCs w:val="24"/>
        </w:rPr>
        <w:t xml:space="preserve"> </w:t>
      </w:r>
      <w:r w:rsidRPr="00395738">
        <w:rPr>
          <w:sz w:val="24"/>
          <w:szCs w:val="24"/>
        </w:rPr>
        <w:t xml:space="preserve">and </w:t>
      </w:r>
      <w:r w:rsidRPr="00395738">
        <w:rPr>
          <w:rFonts w:cs="Times New Roman"/>
          <w:sz w:val="24"/>
          <w:szCs w:val="24"/>
        </w:rPr>
        <w:t xml:space="preserve">all other persons and institutions that provided inputs and comments to this report in its various phases. </w:t>
      </w:r>
    </w:p>
    <w:p w14:paraId="05B09E32" w14:textId="77777777" w:rsidR="00885553" w:rsidRPr="00395738" w:rsidRDefault="00885553">
      <w:pPr>
        <w:rPr>
          <w:rFonts w:cs="Times New Roman"/>
          <w:color w:val="000000"/>
          <w:sz w:val="24"/>
          <w:szCs w:val="24"/>
        </w:rPr>
      </w:pPr>
      <w:r w:rsidRPr="00395738">
        <w:rPr>
          <w:rFonts w:cs="Times New Roman"/>
          <w:color w:val="000000"/>
          <w:sz w:val="24"/>
          <w:szCs w:val="24"/>
        </w:rPr>
        <w:br w:type="page"/>
      </w:r>
    </w:p>
    <w:p w14:paraId="0FAF1D5E" w14:textId="37E16775" w:rsidR="00C925FC" w:rsidRPr="00395738" w:rsidRDefault="00C925FC" w:rsidP="00C925FC">
      <w:pPr>
        <w:pStyle w:val="Heading1"/>
        <w:spacing w:after="480"/>
        <w:ind w:left="360"/>
      </w:pPr>
      <w:bookmarkStart w:id="10" w:name="_Toc427686029"/>
      <w:r w:rsidRPr="00395738">
        <w:lastRenderedPageBreak/>
        <w:t>Annex 2: AnaCredit</w:t>
      </w:r>
      <w:r w:rsidRPr="00395738">
        <w:rPr>
          <w:rStyle w:val="FootnoteReference"/>
        </w:rPr>
        <w:footnoteReference w:id="68"/>
      </w:r>
      <w:bookmarkEnd w:id="10"/>
    </w:p>
    <w:p w14:paraId="4C066A87" w14:textId="77777777" w:rsidR="00C925FC" w:rsidRPr="00395738" w:rsidRDefault="00C925FC" w:rsidP="00C925FC">
      <w:pPr>
        <w:autoSpaceDE w:val="0"/>
        <w:autoSpaceDN w:val="0"/>
        <w:adjustRightInd w:val="0"/>
        <w:spacing w:after="240" w:line="360" w:lineRule="auto"/>
        <w:ind w:left="360"/>
        <w:jc w:val="both"/>
        <w:rPr>
          <w:rFonts w:cs="Times New Roman"/>
          <w:color w:val="000000"/>
          <w:sz w:val="24"/>
          <w:szCs w:val="24"/>
        </w:rPr>
      </w:pPr>
      <w:r w:rsidRPr="00395738">
        <w:rPr>
          <w:rFonts w:cs="Times New Roman"/>
          <w:color w:val="000000"/>
          <w:sz w:val="24"/>
          <w:szCs w:val="24"/>
        </w:rPr>
        <w:t>In order to undertake its tasks in the framework of the ESCB/European Single Supervisory Mechanism, the ECB is promoting the setup of a technological platform for, among other purposes, the collection, storage, processing and dissemination of analytical credit data on EU-wide scale (i.e. including cross-border loans and other cross-border forms of credits within the EU).</w:t>
      </w:r>
    </w:p>
    <w:p w14:paraId="2D318C8B" w14:textId="0361A6B7" w:rsidR="00C925FC" w:rsidRPr="00395738" w:rsidRDefault="00C925FC" w:rsidP="00C925FC">
      <w:pPr>
        <w:autoSpaceDE w:val="0"/>
        <w:autoSpaceDN w:val="0"/>
        <w:adjustRightInd w:val="0"/>
        <w:spacing w:after="240" w:line="360" w:lineRule="auto"/>
        <w:ind w:left="360"/>
        <w:jc w:val="both"/>
        <w:rPr>
          <w:rFonts w:cs="Times New Roman"/>
          <w:color w:val="000000"/>
          <w:sz w:val="24"/>
          <w:szCs w:val="24"/>
        </w:rPr>
      </w:pPr>
      <w:r w:rsidRPr="00395738">
        <w:rPr>
          <w:rFonts w:cs="Times New Roman"/>
          <w:color w:val="000000"/>
          <w:sz w:val="24"/>
          <w:szCs w:val="24"/>
        </w:rPr>
        <w:t xml:space="preserve">The road map to develop the Analytical Credit Dataset (“AnaCredit”) is based on the harmonization and standardization of </w:t>
      </w:r>
      <w:r w:rsidR="00C268D6" w:rsidRPr="00395738">
        <w:rPr>
          <w:rFonts w:cs="Times New Roman"/>
          <w:color w:val="000000"/>
          <w:sz w:val="24"/>
          <w:szCs w:val="24"/>
        </w:rPr>
        <w:t>the collection of granular credit and credit risk data at the European level</w:t>
      </w:r>
      <w:r w:rsidRPr="00395738">
        <w:rPr>
          <w:rFonts w:cs="Times New Roman"/>
          <w:color w:val="000000"/>
          <w:sz w:val="24"/>
          <w:szCs w:val="24"/>
        </w:rPr>
        <w:t>. The project is conducted jointly by the ESCB’s Statistics Committee and Financial S</w:t>
      </w:r>
      <w:r w:rsidR="00187FB5" w:rsidRPr="00395738">
        <w:rPr>
          <w:rFonts w:cs="Times New Roman"/>
          <w:color w:val="000000"/>
          <w:sz w:val="24"/>
          <w:szCs w:val="24"/>
        </w:rPr>
        <w:t xml:space="preserve">upervision </w:t>
      </w:r>
      <w:r w:rsidRPr="00395738">
        <w:rPr>
          <w:rFonts w:cs="Times New Roman"/>
          <w:color w:val="000000"/>
          <w:sz w:val="24"/>
          <w:szCs w:val="24"/>
        </w:rPr>
        <w:t>Committee.</w:t>
      </w:r>
    </w:p>
    <w:p w14:paraId="60E97F9E" w14:textId="77777777" w:rsidR="00C925FC" w:rsidRPr="00395738" w:rsidRDefault="00C925FC" w:rsidP="00C925FC">
      <w:pPr>
        <w:autoSpaceDE w:val="0"/>
        <w:autoSpaceDN w:val="0"/>
        <w:adjustRightInd w:val="0"/>
        <w:spacing w:after="240" w:line="360" w:lineRule="auto"/>
        <w:ind w:left="360"/>
        <w:jc w:val="both"/>
        <w:rPr>
          <w:rFonts w:cs="Times New Roman"/>
          <w:color w:val="000000"/>
          <w:sz w:val="24"/>
          <w:szCs w:val="24"/>
        </w:rPr>
      </w:pPr>
      <w:r w:rsidRPr="00395738">
        <w:rPr>
          <w:rFonts w:cs="Times New Roman"/>
          <w:color w:val="000000"/>
          <w:sz w:val="24"/>
          <w:szCs w:val="24"/>
        </w:rPr>
        <w:t>In this context, the Joint Task Force has been exploring user needs of the ESCB and the European Systemic Risk Board, the data availability, and the matching of needs and data availability in a medium-to-long-term perspective. In addition, the Joint Task Force has identified a set of data that will be harmonized (in terms of content and definitions) so as to ensure a better re-use and interoperability of central credit registries between themselves and with other relevant databases, as well as to provide banks with valuable information</w:t>
      </w:r>
    </w:p>
    <w:p w14:paraId="78D1C968" w14:textId="77777777" w:rsidR="00C925FC" w:rsidRPr="00395738" w:rsidRDefault="00C925FC" w:rsidP="00C925FC">
      <w:pPr>
        <w:autoSpaceDE w:val="0"/>
        <w:autoSpaceDN w:val="0"/>
        <w:adjustRightInd w:val="0"/>
        <w:spacing w:after="120" w:line="360" w:lineRule="auto"/>
        <w:ind w:left="360"/>
        <w:jc w:val="both"/>
        <w:rPr>
          <w:rFonts w:cs="Times New Roman"/>
          <w:color w:val="000000"/>
          <w:sz w:val="24"/>
          <w:szCs w:val="24"/>
        </w:rPr>
      </w:pPr>
      <w:r w:rsidRPr="00395738">
        <w:rPr>
          <w:rFonts w:cs="Times New Roman"/>
          <w:color w:val="000000"/>
          <w:sz w:val="24"/>
          <w:szCs w:val="24"/>
        </w:rPr>
        <w:t>The AnaCredit project is being driven by the following main considerations:</w:t>
      </w:r>
    </w:p>
    <w:p w14:paraId="23288209" w14:textId="77777777" w:rsidR="00C925FC" w:rsidRPr="00395738" w:rsidRDefault="00C925FC" w:rsidP="00C925FC">
      <w:pPr>
        <w:pStyle w:val="ListParagraph"/>
        <w:numPr>
          <w:ilvl w:val="0"/>
          <w:numId w:val="38"/>
        </w:numPr>
        <w:autoSpaceDE w:val="0"/>
        <w:autoSpaceDN w:val="0"/>
        <w:adjustRightInd w:val="0"/>
        <w:spacing w:after="240" w:line="360" w:lineRule="auto"/>
        <w:jc w:val="both"/>
        <w:rPr>
          <w:rFonts w:cs="Times New Roman"/>
          <w:color w:val="000000"/>
          <w:sz w:val="24"/>
          <w:szCs w:val="24"/>
        </w:rPr>
      </w:pPr>
      <w:r w:rsidRPr="00395738">
        <w:rPr>
          <w:rFonts w:cs="Times New Roman"/>
          <w:color w:val="000000"/>
          <w:sz w:val="24"/>
          <w:szCs w:val="24"/>
        </w:rPr>
        <w:t>Reporting structure: loan-by-loan reporting (in contrast to borrower-by-borrower) is mandatory</w:t>
      </w:r>
    </w:p>
    <w:p w14:paraId="6411526F" w14:textId="77777777" w:rsidR="00C925FC" w:rsidRPr="00395738" w:rsidRDefault="00C925FC" w:rsidP="00C925FC">
      <w:pPr>
        <w:pStyle w:val="ListParagraph"/>
        <w:numPr>
          <w:ilvl w:val="0"/>
          <w:numId w:val="38"/>
        </w:numPr>
        <w:autoSpaceDE w:val="0"/>
        <w:autoSpaceDN w:val="0"/>
        <w:adjustRightInd w:val="0"/>
        <w:spacing w:after="240" w:line="360" w:lineRule="auto"/>
        <w:jc w:val="both"/>
        <w:rPr>
          <w:rFonts w:cs="Times New Roman"/>
          <w:color w:val="000000"/>
          <w:sz w:val="24"/>
          <w:szCs w:val="24"/>
        </w:rPr>
      </w:pPr>
      <w:r w:rsidRPr="00395738">
        <w:rPr>
          <w:rFonts w:cs="Times New Roman"/>
          <w:color w:val="000000"/>
          <w:sz w:val="24"/>
          <w:szCs w:val="24"/>
        </w:rPr>
        <w:t>Scope of reporting agents: all types of financial intermediaries to be included, with credit institutions as a priority</w:t>
      </w:r>
    </w:p>
    <w:p w14:paraId="07944AE3" w14:textId="77777777" w:rsidR="00C925FC" w:rsidRPr="00395738" w:rsidRDefault="00C925FC" w:rsidP="00C925FC">
      <w:pPr>
        <w:pStyle w:val="ListParagraph"/>
        <w:numPr>
          <w:ilvl w:val="0"/>
          <w:numId w:val="38"/>
        </w:numPr>
        <w:autoSpaceDE w:val="0"/>
        <w:autoSpaceDN w:val="0"/>
        <w:adjustRightInd w:val="0"/>
        <w:spacing w:after="240" w:line="360" w:lineRule="auto"/>
        <w:jc w:val="both"/>
        <w:rPr>
          <w:rFonts w:cs="Times New Roman"/>
          <w:color w:val="000000"/>
          <w:sz w:val="24"/>
          <w:szCs w:val="24"/>
        </w:rPr>
      </w:pPr>
      <w:r w:rsidRPr="00395738">
        <w:rPr>
          <w:rFonts w:cs="Times New Roman"/>
          <w:color w:val="000000"/>
          <w:sz w:val="24"/>
          <w:szCs w:val="24"/>
        </w:rPr>
        <w:t>Scope of borrowers: all types of borrowers to be included, with non-financial firms as a priority</w:t>
      </w:r>
    </w:p>
    <w:p w14:paraId="5F09A2C8" w14:textId="77777777" w:rsidR="00C925FC" w:rsidRPr="00395738" w:rsidRDefault="00C925FC" w:rsidP="00C925FC">
      <w:pPr>
        <w:pStyle w:val="ListParagraph"/>
        <w:numPr>
          <w:ilvl w:val="0"/>
          <w:numId w:val="38"/>
        </w:numPr>
        <w:autoSpaceDE w:val="0"/>
        <w:autoSpaceDN w:val="0"/>
        <w:adjustRightInd w:val="0"/>
        <w:spacing w:after="240" w:line="360" w:lineRule="auto"/>
        <w:jc w:val="both"/>
        <w:rPr>
          <w:rFonts w:cs="Times New Roman"/>
          <w:color w:val="000000"/>
          <w:sz w:val="24"/>
          <w:szCs w:val="24"/>
        </w:rPr>
      </w:pPr>
      <w:r w:rsidRPr="00395738">
        <w:rPr>
          <w:rFonts w:cs="Times New Roman"/>
          <w:color w:val="000000"/>
          <w:sz w:val="24"/>
          <w:szCs w:val="24"/>
        </w:rPr>
        <w:lastRenderedPageBreak/>
        <w:t>Concept of exposure: all types of exposures (e.g. financial derivatives) should be included, with loans as a priority. A link to existing/enhanced securities database is foreseen</w:t>
      </w:r>
    </w:p>
    <w:p w14:paraId="0FB6B4F7" w14:textId="77777777" w:rsidR="00C925FC" w:rsidRPr="00395738" w:rsidRDefault="00C925FC" w:rsidP="00C925FC">
      <w:pPr>
        <w:pStyle w:val="ListParagraph"/>
        <w:numPr>
          <w:ilvl w:val="0"/>
          <w:numId w:val="38"/>
        </w:numPr>
        <w:autoSpaceDE w:val="0"/>
        <w:autoSpaceDN w:val="0"/>
        <w:adjustRightInd w:val="0"/>
        <w:spacing w:after="240" w:line="360" w:lineRule="auto"/>
        <w:jc w:val="both"/>
        <w:rPr>
          <w:rFonts w:cs="Times New Roman"/>
          <w:color w:val="000000"/>
          <w:sz w:val="24"/>
          <w:szCs w:val="24"/>
        </w:rPr>
      </w:pPr>
      <w:r w:rsidRPr="00395738">
        <w:rPr>
          <w:rFonts w:cs="Times New Roman"/>
          <w:color w:val="000000"/>
          <w:sz w:val="24"/>
          <w:szCs w:val="24"/>
        </w:rPr>
        <w:t>Data attributes and definitions: harmonized, broad scope of variables (lender/borrower attributes, exposure features, balance sheet status, loss measures, risk measures, valuation measures</w:t>
      </w:r>
    </w:p>
    <w:p w14:paraId="6F492731" w14:textId="77777777" w:rsidR="00C925FC" w:rsidRPr="00395738" w:rsidRDefault="00C925FC" w:rsidP="00C925FC">
      <w:pPr>
        <w:pStyle w:val="ListParagraph"/>
        <w:numPr>
          <w:ilvl w:val="0"/>
          <w:numId w:val="38"/>
        </w:numPr>
        <w:autoSpaceDE w:val="0"/>
        <w:autoSpaceDN w:val="0"/>
        <w:adjustRightInd w:val="0"/>
        <w:spacing w:after="240" w:line="360" w:lineRule="auto"/>
        <w:jc w:val="both"/>
        <w:rPr>
          <w:rFonts w:cs="Times New Roman"/>
          <w:color w:val="000000"/>
          <w:sz w:val="24"/>
          <w:szCs w:val="24"/>
        </w:rPr>
      </w:pPr>
      <w:r w:rsidRPr="00395738">
        <w:rPr>
          <w:rFonts w:cs="Times New Roman"/>
          <w:color w:val="000000"/>
          <w:sz w:val="24"/>
          <w:szCs w:val="24"/>
        </w:rPr>
        <w:t>Threshold: “as low as possible”. Could be as low as Euro 25,000.</w:t>
      </w:r>
    </w:p>
    <w:p w14:paraId="64717D3B" w14:textId="77777777" w:rsidR="00C925FC" w:rsidRPr="00395738" w:rsidRDefault="00C925FC" w:rsidP="00C925FC">
      <w:pPr>
        <w:autoSpaceDE w:val="0"/>
        <w:autoSpaceDN w:val="0"/>
        <w:adjustRightInd w:val="0"/>
        <w:spacing w:after="240" w:line="360" w:lineRule="auto"/>
        <w:ind w:left="360"/>
        <w:jc w:val="both"/>
        <w:rPr>
          <w:rFonts w:cs="Times New Roman"/>
          <w:color w:val="000000"/>
          <w:sz w:val="24"/>
          <w:szCs w:val="24"/>
        </w:rPr>
      </w:pPr>
    </w:p>
    <w:p w14:paraId="487A1CC9" w14:textId="18430BD2" w:rsidR="00C925FC" w:rsidRPr="00395738" w:rsidRDefault="00C925FC">
      <w:pPr>
        <w:rPr>
          <w:rFonts w:cs="Times New Roman"/>
          <w:color w:val="000000"/>
          <w:sz w:val="24"/>
          <w:szCs w:val="24"/>
        </w:rPr>
      </w:pPr>
      <w:r w:rsidRPr="00395738">
        <w:rPr>
          <w:rFonts w:cs="Times New Roman"/>
          <w:color w:val="000000"/>
          <w:sz w:val="24"/>
          <w:szCs w:val="24"/>
        </w:rPr>
        <w:br w:type="page"/>
      </w:r>
    </w:p>
    <w:p w14:paraId="63B189C7" w14:textId="25615BA8" w:rsidR="00885553" w:rsidRPr="00395738" w:rsidRDefault="00885553" w:rsidP="00885553">
      <w:pPr>
        <w:pStyle w:val="Heading1"/>
        <w:spacing w:after="480"/>
        <w:ind w:left="360"/>
      </w:pPr>
      <w:bookmarkStart w:id="11" w:name="_Toc427686030"/>
      <w:r w:rsidRPr="00395738">
        <w:lastRenderedPageBreak/>
        <w:t xml:space="preserve">Annex </w:t>
      </w:r>
      <w:r w:rsidR="00C925FC" w:rsidRPr="00395738">
        <w:t>3</w:t>
      </w:r>
      <w:r w:rsidRPr="00395738">
        <w:t>: The Global Legal Entity Identifier</w:t>
      </w:r>
      <w:r w:rsidR="001376F0" w:rsidRPr="00395738">
        <w:rPr>
          <w:rStyle w:val="FootnoteReference"/>
          <w:sz w:val="22"/>
          <w:szCs w:val="22"/>
        </w:rPr>
        <w:footnoteReference w:id="69"/>
      </w:r>
      <w:bookmarkEnd w:id="11"/>
    </w:p>
    <w:p w14:paraId="1988B9CC" w14:textId="77777777" w:rsidR="00EA2BB3" w:rsidRPr="00395738" w:rsidRDefault="00EA2BB3" w:rsidP="00EA2BB3">
      <w:pPr>
        <w:autoSpaceDE w:val="0"/>
        <w:autoSpaceDN w:val="0"/>
        <w:adjustRightInd w:val="0"/>
        <w:spacing w:after="240" w:line="360" w:lineRule="auto"/>
        <w:ind w:left="360"/>
        <w:jc w:val="both"/>
        <w:rPr>
          <w:rFonts w:cs="Times New Roman"/>
          <w:color w:val="000000"/>
          <w:sz w:val="24"/>
          <w:szCs w:val="24"/>
        </w:rPr>
      </w:pPr>
      <w:r w:rsidRPr="00395738">
        <w:rPr>
          <w:rFonts w:cs="Times New Roman"/>
          <w:color w:val="000000"/>
          <w:sz w:val="24"/>
          <w:szCs w:val="24"/>
        </w:rPr>
        <w:t>The challenges of ensuring proper business identification prompted governments around the world to convene the Financial Stability Board (FSB) to analyze the underlying problems and to create a global legal entity identifier (LEI) to uniquely identify entities that engage in financial transactions, representing the public interest.</w:t>
      </w:r>
    </w:p>
    <w:p w14:paraId="2D4C8813" w14:textId="039BAAEB" w:rsidR="00EA2BB3" w:rsidRPr="00395738" w:rsidRDefault="00EA2BB3" w:rsidP="00EA2BB3">
      <w:pPr>
        <w:autoSpaceDE w:val="0"/>
        <w:autoSpaceDN w:val="0"/>
        <w:adjustRightInd w:val="0"/>
        <w:spacing w:after="240" w:line="360" w:lineRule="auto"/>
        <w:ind w:left="360"/>
        <w:jc w:val="both"/>
        <w:rPr>
          <w:rFonts w:cs="Times New Roman"/>
          <w:color w:val="000000"/>
          <w:sz w:val="24"/>
          <w:szCs w:val="24"/>
        </w:rPr>
      </w:pPr>
      <w:r w:rsidRPr="00395738">
        <w:rPr>
          <w:rFonts w:cs="Times New Roman"/>
          <w:color w:val="000000"/>
          <w:sz w:val="24"/>
          <w:szCs w:val="24"/>
        </w:rPr>
        <w:t xml:space="preserve">Hence, at the Cannes Summit in 2011, the G20 provided a mandate to the FSB to lead the coordination of international regulatory work and to deliver concrete recommendations for the appropriate governance framework for a Global Legal Entity Identifier System (GLEIS), representing the public interest. The </w:t>
      </w:r>
      <w:r w:rsidR="002C3E8F" w:rsidRPr="00395738">
        <w:rPr>
          <w:rFonts w:cs="Times New Roman"/>
          <w:color w:val="000000"/>
          <w:sz w:val="24"/>
          <w:szCs w:val="24"/>
        </w:rPr>
        <w:t>G</w:t>
      </w:r>
      <w:r w:rsidRPr="00395738">
        <w:rPr>
          <w:rFonts w:cs="Times New Roman"/>
          <w:color w:val="000000"/>
          <w:sz w:val="24"/>
          <w:szCs w:val="24"/>
        </w:rPr>
        <w:t>LEI</w:t>
      </w:r>
      <w:r w:rsidR="002C3E8F" w:rsidRPr="00395738">
        <w:rPr>
          <w:rFonts w:cs="Times New Roman"/>
          <w:color w:val="000000"/>
          <w:sz w:val="24"/>
          <w:szCs w:val="24"/>
        </w:rPr>
        <w:t xml:space="preserve">S </w:t>
      </w:r>
      <w:r w:rsidRPr="00395738">
        <w:rPr>
          <w:rFonts w:cs="Times New Roman"/>
          <w:color w:val="000000"/>
          <w:sz w:val="24"/>
          <w:szCs w:val="24"/>
        </w:rPr>
        <w:t>would provide a valuable building block to contribute to and facilitate many financial stability objectives, including: improved risk management; better assessment of micro and macro prudential risks; facilitation of orderly resolution; containing market abuse and curbing financial fraud; and enabling higher quality and accuracy of financial data overall.</w:t>
      </w:r>
    </w:p>
    <w:p w14:paraId="6C0D06E2" w14:textId="4AD92935" w:rsidR="00EA2BB3" w:rsidRPr="00395738" w:rsidRDefault="00EA2BB3" w:rsidP="00EA2BB3">
      <w:pPr>
        <w:autoSpaceDE w:val="0"/>
        <w:autoSpaceDN w:val="0"/>
        <w:adjustRightInd w:val="0"/>
        <w:spacing w:after="240" w:line="360" w:lineRule="auto"/>
        <w:ind w:left="360"/>
        <w:jc w:val="both"/>
        <w:rPr>
          <w:rFonts w:cs="Times New Roman"/>
          <w:color w:val="000000"/>
          <w:sz w:val="24"/>
          <w:szCs w:val="24"/>
        </w:rPr>
      </w:pPr>
      <w:r w:rsidRPr="00395738">
        <w:rPr>
          <w:rFonts w:cs="Times New Roman"/>
          <w:color w:val="000000"/>
          <w:sz w:val="24"/>
          <w:szCs w:val="24"/>
        </w:rPr>
        <w:t>The FSB established two organizations to ensure that the GLEIS will be developed and maintained for the broad public good</w:t>
      </w:r>
      <w:r w:rsidR="002C3E8F" w:rsidRPr="00395738">
        <w:rPr>
          <w:rFonts w:cs="Times New Roman"/>
          <w:color w:val="000000"/>
          <w:sz w:val="24"/>
          <w:szCs w:val="24"/>
        </w:rPr>
        <w:t>,</w:t>
      </w:r>
      <w:r w:rsidRPr="00395738">
        <w:rPr>
          <w:rFonts w:cs="Times New Roman"/>
          <w:color w:val="000000"/>
          <w:sz w:val="24"/>
          <w:szCs w:val="24"/>
        </w:rPr>
        <w:t xml:space="preserve"> not only by authorities of any jurisdiction but also by the private sector to support improved risk management</w:t>
      </w:r>
      <w:r w:rsidR="002C3E8F" w:rsidRPr="00395738">
        <w:rPr>
          <w:rFonts w:cs="Times New Roman"/>
          <w:color w:val="000000"/>
          <w:sz w:val="24"/>
          <w:szCs w:val="24"/>
        </w:rPr>
        <w:t>,</w:t>
      </w:r>
      <w:r w:rsidRPr="00395738">
        <w:rPr>
          <w:rFonts w:cs="Times New Roman"/>
          <w:color w:val="000000"/>
          <w:sz w:val="24"/>
          <w:szCs w:val="24"/>
        </w:rPr>
        <w:t xml:space="preserve"> increased operational efficiency more accurate calculation of exposures and other needs.</w:t>
      </w:r>
      <w:r w:rsidR="002C3E8F" w:rsidRPr="00395738">
        <w:rPr>
          <w:rFonts w:cs="Times New Roman"/>
          <w:color w:val="000000"/>
          <w:sz w:val="24"/>
          <w:szCs w:val="24"/>
        </w:rPr>
        <w:t xml:space="preserve"> These two organizations are</w:t>
      </w:r>
      <w:r w:rsidR="007C2AEF" w:rsidRPr="00395738">
        <w:rPr>
          <w:rFonts w:cs="Times New Roman"/>
          <w:color w:val="000000"/>
          <w:sz w:val="24"/>
          <w:szCs w:val="24"/>
        </w:rPr>
        <w:t>:</w:t>
      </w:r>
    </w:p>
    <w:p w14:paraId="4ACDFEF7" w14:textId="6FCCE56D" w:rsidR="00EA2BB3" w:rsidRPr="00395738" w:rsidRDefault="00EA2BB3" w:rsidP="007C2AEF">
      <w:pPr>
        <w:pStyle w:val="ListParagraph"/>
        <w:numPr>
          <w:ilvl w:val="0"/>
          <w:numId w:val="40"/>
        </w:numPr>
        <w:autoSpaceDE w:val="0"/>
        <w:autoSpaceDN w:val="0"/>
        <w:adjustRightInd w:val="0"/>
        <w:spacing w:after="240" w:line="360" w:lineRule="auto"/>
        <w:jc w:val="both"/>
        <w:rPr>
          <w:rFonts w:cs="Times New Roman"/>
          <w:color w:val="000000"/>
          <w:sz w:val="24"/>
          <w:szCs w:val="24"/>
        </w:rPr>
      </w:pPr>
      <w:r w:rsidRPr="00395738">
        <w:rPr>
          <w:rFonts w:cs="Times New Roman"/>
          <w:color w:val="000000"/>
          <w:sz w:val="24"/>
          <w:szCs w:val="24"/>
        </w:rPr>
        <w:t xml:space="preserve">The Regulatory Oversight Committee (ROC), established in Basel in January 2013, is a group of over 60 public authorities from more than 40 countries to coordinate and oversee a worldwide framework of the GLEIS. On </w:t>
      </w:r>
      <w:hyperlink r:id="rId12" w:history="1">
        <w:r w:rsidRPr="00395738">
          <w:rPr>
            <w:rFonts w:cs="Times New Roman"/>
            <w:color w:val="000000"/>
            <w:sz w:val="24"/>
            <w:szCs w:val="24"/>
          </w:rPr>
          <w:t>www.leiroc.org</w:t>
        </w:r>
      </w:hyperlink>
      <w:r w:rsidRPr="00395738">
        <w:rPr>
          <w:rFonts w:cs="Times New Roman"/>
          <w:color w:val="000000"/>
          <w:sz w:val="24"/>
          <w:szCs w:val="24"/>
        </w:rPr>
        <w:t xml:space="preserve"> more information is available on the objectives and membership of the ROC. The ROC’s main functions are</w:t>
      </w:r>
      <w:r w:rsidR="007C2AEF" w:rsidRPr="00395738">
        <w:rPr>
          <w:rFonts w:cs="Times New Roman"/>
          <w:color w:val="000000"/>
          <w:sz w:val="24"/>
          <w:szCs w:val="24"/>
        </w:rPr>
        <w:t>:</w:t>
      </w:r>
      <w:r w:rsidRPr="00395738">
        <w:rPr>
          <w:rFonts w:cs="Times New Roman"/>
          <w:color w:val="000000"/>
          <w:sz w:val="24"/>
          <w:szCs w:val="24"/>
        </w:rPr>
        <w:t xml:space="preserve"> a</w:t>
      </w:r>
      <w:r w:rsidR="007C2AEF" w:rsidRPr="00395738">
        <w:rPr>
          <w:rFonts w:cs="Times New Roman"/>
          <w:color w:val="000000"/>
          <w:sz w:val="24"/>
          <w:szCs w:val="24"/>
        </w:rPr>
        <w:t xml:space="preserve">) </w:t>
      </w:r>
      <w:r w:rsidRPr="00395738">
        <w:rPr>
          <w:rFonts w:cs="Times New Roman"/>
          <w:color w:val="000000"/>
          <w:sz w:val="24"/>
          <w:szCs w:val="24"/>
        </w:rPr>
        <w:t>to oversee the GLEIF</w:t>
      </w:r>
      <w:r w:rsidR="007C2AEF" w:rsidRPr="00395738">
        <w:rPr>
          <w:rFonts w:cs="Times New Roman"/>
          <w:color w:val="000000"/>
          <w:sz w:val="24"/>
          <w:szCs w:val="24"/>
        </w:rPr>
        <w:t>;</w:t>
      </w:r>
      <w:r w:rsidRPr="00395738">
        <w:rPr>
          <w:rFonts w:cs="Times New Roman"/>
          <w:color w:val="000000"/>
          <w:sz w:val="24"/>
          <w:szCs w:val="24"/>
        </w:rPr>
        <w:t xml:space="preserve"> and</w:t>
      </w:r>
      <w:r w:rsidR="007C2AEF" w:rsidRPr="00395738">
        <w:rPr>
          <w:rFonts w:cs="Times New Roman"/>
          <w:color w:val="000000"/>
          <w:sz w:val="24"/>
          <w:szCs w:val="24"/>
        </w:rPr>
        <w:t>,</w:t>
      </w:r>
      <w:r w:rsidRPr="00395738">
        <w:rPr>
          <w:rFonts w:cs="Times New Roman"/>
          <w:color w:val="000000"/>
          <w:sz w:val="24"/>
          <w:szCs w:val="24"/>
        </w:rPr>
        <w:t xml:space="preserve"> b</w:t>
      </w:r>
      <w:r w:rsidR="007C2AEF" w:rsidRPr="00395738">
        <w:rPr>
          <w:rFonts w:cs="Times New Roman"/>
          <w:color w:val="000000"/>
          <w:sz w:val="24"/>
          <w:szCs w:val="24"/>
        </w:rPr>
        <w:t>)</w:t>
      </w:r>
      <w:r w:rsidRPr="00395738">
        <w:rPr>
          <w:rFonts w:cs="Times New Roman"/>
          <w:color w:val="000000"/>
          <w:sz w:val="24"/>
          <w:szCs w:val="24"/>
        </w:rPr>
        <w:t xml:space="preserve"> to create policies for the GLEIS.</w:t>
      </w:r>
    </w:p>
    <w:p w14:paraId="5BBB351A" w14:textId="64BBB896" w:rsidR="00EA2BB3" w:rsidRPr="00395738" w:rsidRDefault="00EA2BB3" w:rsidP="007C2AEF">
      <w:pPr>
        <w:pStyle w:val="ListParagraph"/>
        <w:numPr>
          <w:ilvl w:val="0"/>
          <w:numId w:val="40"/>
        </w:numPr>
        <w:autoSpaceDE w:val="0"/>
        <w:autoSpaceDN w:val="0"/>
        <w:adjustRightInd w:val="0"/>
        <w:spacing w:after="240" w:line="360" w:lineRule="auto"/>
        <w:jc w:val="both"/>
        <w:rPr>
          <w:rFonts w:cs="Times New Roman"/>
          <w:color w:val="000000"/>
          <w:sz w:val="24"/>
          <w:szCs w:val="24"/>
        </w:rPr>
      </w:pPr>
      <w:r w:rsidRPr="00395738">
        <w:rPr>
          <w:rFonts w:cs="Times New Roman"/>
          <w:color w:val="000000"/>
          <w:sz w:val="24"/>
          <w:szCs w:val="24"/>
        </w:rPr>
        <w:t>The Global Legal Entity Identifier Foundation (GLEIF), established in Basel in June 2014, with the purpose to act on a no</w:t>
      </w:r>
      <w:r w:rsidR="007C2AEF" w:rsidRPr="00395738">
        <w:rPr>
          <w:rFonts w:cs="Times New Roman"/>
          <w:color w:val="000000"/>
          <w:sz w:val="24"/>
          <w:szCs w:val="24"/>
        </w:rPr>
        <w:t>n</w:t>
      </w:r>
      <w:r w:rsidRPr="00395738">
        <w:rPr>
          <w:rFonts w:cs="Times New Roman"/>
          <w:color w:val="000000"/>
          <w:sz w:val="24"/>
          <w:szCs w:val="24"/>
        </w:rPr>
        <w:t xml:space="preserve">-for-profit basis as the operational arm of the GLEIS. On </w:t>
      </w:r>
      <w:hyperlink r:id="rId13" w:history="1">
        <w:r w:rsidRPr="00395738">
          <w:rPr>
            <w:rFonts w:cs="Times New Roman"/>
            <w:color w:val="000000"/>
            <w:sz w:val="24"/>
            <w:szCs w:val="24"/>
          </w:rPr>
          <w:t>www.gleif.org</w:t>
        </w:r>
      </w:hyperlink>
      <w:r w:rsidRPr="00395738">
        <w:rPr>
          <w:rFonts w:cs="Times New Roman"/>
          <w:color w:val="000000"/>
          <w:sz w:val="24"/>
          <w:szCs w:val="24"/>
        </w:rPr>
        <w:t xml:space="preserve"> more information is available on the purpose, governance (</w:t>
      </w:r>
      <w:r w:rsidR="007C2AEF" w:rsidRPr="00395738">
        <w:rPr>
          <w:rFonts w:cs="Times New Roman"/>
          <w:color w:val="000000"/>
          <w:sz w:val="24"/>
          <w:szCs w:val="24"/>
        </w:rPr>
        <w:t xml:space="preserve">e.g. </w:t>
      </w:r>
      <w:r w:rsidRPr="00395738">
        <w:rPr>
          <w:rFonts w:cs="Times New Roman"/>
          <w:color w:val="000000"/>
          <w:sz w:val="24"/>
          <w:szCs w:val="24"/>
        </w:rPr>
        <w:t>statutes</w:t>
      </w:r>
      <w:r w:rsidR="007C2AEF" w:rsidRPr="00395738">
        <w:rPr>
          <w:rFonts w:cs="Times New Roman"/>
          <w:color w:val="000000"/>
          <w:sz w:val="24"/>
          <w:szCs w:val="24"/>
        </w:rPr>
        <w:t>,</w:t>
      </w:r>
      <w:r w:rsidRPr="00395738">
        <w:rPr>
          <w:rFonts w:cs="Times New Roman"/>
          <w:color w:val="000000"/>
          <w:sz w:val="24"/>
          <w:szCs w:val="24"/>
        </w:rPr>
        <w:t xml:space="preserve"> </w:t>
      </w:r>
      <w:r w:rsidRPr="00395738">
        <w:rPr>
          <w:rFonts w:cs="Times New Roman"/>
          <w:color w:val="000000"/>
          <w:sz w:val="24"/>
          <w:szCs w:val="24"/>
        </w:rPr>
        <w:lastRenderedPageBreak/>
        <w:t>etc</w:t>
      </w:r>
      <w:r w:rsidR="007C2AEF" w:rsidRPr="00395738">
        <w:rPr>
          <w:rFonts w:cs="Times New Roman"/>
          <w:color w:val="000000"/>
          <w:sz w:val="24"/>
          <w:szCs w:val="24"/>
        </w:rPr>
        <w:t>.</w:t>
      </w:r>
      <w:r w:rsidRPr="00395738">
        <w:rPr>
          <w:rFonts w:cs="Times New Roman"/>
          <w:color w:val="000000"/>
          <w:sz w:val="24"/>
          <w:szCs w:val="24"/>
        </w:rPr>
        <w:t>) and services of the foundation. The GLEIF together with the Local Operating Units (LOU) are the partners of the GLEIS federation. The GLEIF’s main functions are</w:t>
      </w:r>
      <w:r w:rsidR="007C2AEF" w:rsidRPr="00395738">
        <w:rPr>
          <w:rFonts w:cs="Times New Roman"/>
          <w:color w:val="000000"/>
          <w:sz w:val="24"/>
          <w:szCs w:val="24"/>
        </w:rPr>
        <w:t>:</w:t>
      </w:r>
      <w:r w:rsidRPr="00395738">
        <w:rPr>
          <w:rFonts w:cs="Times New Roman"/>
          <w:color w:val="000000"/>
          <w:sz w:val="24"/>
          <w:szCs w:val="24"/>
        </w:rPr>
        <w:t xml:space="preserve"> a</w:t>
      </w:r>
      <w:r w:rsidR="007C2AEF" w:rsidRPr="00395738">
        <w:rPr>
          <w:rFonts w:cs="Times New Roman"/>
          <w:color w:val="000000"/>
          <w:sz w:val="24"/>
          <w:szCs w:val="24"/>
        </w:rPr>
        <w:t xml:space="preserve">) a </w:t>
      </w:r>
      <w:r w:rsidRPr="00395738">
        <w:rPr>
          <w:rFonts w:cs="Times New Roman"/>
          <w:color w:val="000000"/>
          <w:sz w:val="24"/>
          <w:szCs w:val="24"/>
        </w:rPr>
        <w:t>rulemaking function for the legal and technical standards of the GLEIS</w:t>
      </w:r>
      <w:r w:rsidR="007C2AEF" w:rsidRPr="00395738">
        <w:rPr>
          <w:rFonts w:cs="Times New Roman"/>
          <w:color w:val="000000"/>
          <w:sz w:val="24"/>
          <w:szCs w:val="24"/>
        </w:rPr>
        <w:t>;</w:t>
      </w:r>
      <w:r w:rsidRPr="00395738">
        <w:rPr>
          <w:rFonts w:cs="Times New Roman"/>
          <w:color w:val="000000"/>
          <w:sz w:val="24"/>
          <w:szCs w:val="24"/>
        </w:rPr>
        <w:t xml:space="preserve"> b</w:t>
      </w:r>
      <w:r w:rsidR="007C2AEF" w:rsidRPr="00395738">
        <w:rPr>
          <w:rFonts w:cs="Times New Roman"/>
          <w:color w:val="000000"/>
          <w:sz w:val="24"/>
          <w:szCs w:val="24"/>
        </w:rPr>
        <w:t>)</w:t>
      </w:r>
      <w:r w:rsidRPr="00395738">
        <w:rPr>
          <w:rFonts w:cs="Times New Roman"/>
          <w:color w:val="000000"/>
          <w:sz w:val="24"/>
          <w:szCs w:val="24"/>
        </w:rPr>
        <w:t xml:space="preserve"> </w:t>
      </w:r>
      <w:r w:rsidR="007C2AEF" w:rsidRPr="00395738">
        <w:rPr>
          <w:rFonts w:cs="Times New Roman"/>
          <w:color w:val="000000"/>
          <w:sz w:val="24"/>
          <w:szCs w:val="24"/>
        </w:rPr>
        <w:t xml:space="preserve">an </w:t>
      </w:r>
      <w:r w:rsidRPr="00395738">
        <w:rPr>
          <w:rFonts w:cs="Times New Roman"/>
          <w:color w:val="000000"/>
          <w:sz w:val="24"/>
          <w:szCs w:val="24"/>
        </w:rPr>
        <w:t xml:space="preserve">operational function to make all LEI data of all LOUs available on </w:t>
      </w:r>
      <w:hyperlink r:id="rId14" w:history="1">
        <w:r w:rsidRPr="00395738">
          <w:rPr>
            <w:rFonts w:cs="Times New Roman"/>
            <w:color w:val="000000"/>
            <w:sz w:val="24"/>
            <w:szCs w:val="24"/>
          </w:rPr>
          <w:t>www.gleif.org</w:t>
        </w:r>
      </w:hyperlink>
      <w:r w:rsidR="007C2AEF" w:rsidRPr="00395738">
        <w:rPr>
          <w:rFonts w:cs="Times New Roman"/>
          <w:color w:val="000000"/>
          <w:sz w:val="24"/>
          <w:szCs w:val="24"/>
        </w:rPr>
        <w:t>;</w:t>
      </w:r>
      <w:r w:rsidRPr="00395738">
        <w:rPr>
          <w:rFonts w:cs="Times New Roman"/>
          <w:color w:val="000000"/>
          <w:sz w:val="24"/>
          <w:szCs w:val="24"/>
        </w:rPr>
        <w:t xml:space="preserve"> and</w:t>
      </w:r>
      <w:r w:rsidR="007C2AEF" w:rsidRPr="00395738">
        <w:rPr>
          <w:rFonts w:cs="Times New Roman"/>
          <w:color w:val="000000"/>
          <w:sz w:val="24"/>
          <w:szCs w:val="24"/>
        </w:rPr>
        <w:t>,</w:t>
      </w:r>
      <w:r w:rsidRPr="00395738">
        <w:rPr>
          <w:rFonts w:cs="Times New Roman"/>
          <w:color w:val="000000"/>
          <w:sz w:val="24"/>
          <w:szCs w:val="24"/>
        </w:rPr>
        <w:t xml:space="preserve"> c</w:t>
      </w:r>
      <w:r w:rsidR="007C2AEF" w:rsidRPr="00395738">
        <w:rPr>
          <w:rFonts w:cs="Times New Roman"/>
          <w:color w:val="000000"/>
          <w:sz w:val="24"/>
          <w:szCs w:val="24"/>
        </w:rPr>
        <w:t>)</w:t>
      </w:r>
      <w:r w:rsidRPr="00395738">
        <w:rPr>
          <w:rFonts w:cs="Times New Roman"/>
          <w:color w:val="000000"/>
          <w:sz w:val="24"/>
          <w:szCs w:val="24"/>
        </w:rPr>
        <w:t xml:space="preserve"> the monitoring function </w:t>
      </w:r>
      <w:r w:rsidR="007C2AEF" w:rsidRPr="00395738">
        <w:rPr>
          <w:rFonts w:cs="Times New Roman"/>
          <w:color w:val="000000"/>
          <w:sz w:val="24"/>
          <w:szCs w:val="24"/>
        </w:rPr>
        <w:t>so</w:t>
      </w:r>
      <w:r w:rsidRPr="00395738">
        <w:rPr>
          <w:rFonts w:cs="Times New Roman"/>
          <w:color w:val="000000"/>
          <w:sz w:val="24"/>
          <w:szCs w:val="24"/>
        </w:rPr>
        <w:t xml:space="preserve"> that the GLEIS partners and the users of the LEI data comply with the legal, operational and technical standards.</w:t>
      </w:r>
    </w:p>
    <w:p w14:paraId="37F10B73" w14:textId="71683D3B" w:rsidR="00EA2BB3" w:rsidRPr="00395738" w:rsidRDefault="007C2AEF" w:rsidP="00EA2BB3">
      <w:pPr>
        <w:autoSpaceDE w:val="0"/>
        <w:autoSpaceDN w:val="0"/>
        <w:adjustRightInd w:val="0"/>
        <w:spacing w:after="240" w:line="360" w:lineRule="auto"/>
        <w:ind w:left="360"/>
        <w:jc w:val="both"/>
        <w:rPr>
          <w:rFonts w:cs="Times New Roman"/>
          <w:color w:val="000000"/>
          <w:sz w:val="24"/>
          <w:szCs w:val="24"/>
        </w:rPr>
      </w:pPr>
      <w:r w:rsidRPr="00395738">
        <w:rPr>
          <w:rFonts w:cs="Times New Roman"/>
          <w:color w:val="000000"/>
          <w:sz w:val="24"/>
          <w:szCs w:val="24"/>
        </w:rPr>
        <w:t>As the GLEIS partners, t</w:t>
      </w:r>
      <w:r w:rsidR="00EA2BB3" w:rsidRPr="00395738">
        <w:rPr>
          <w:rFonts w:cs="Times New Roman"/>
          <w:color w:val="000000"/>
          <w:sz w:val="24"/>
          <w:szCs w:val="24"/>
        </w:rPr>
        <w:t xml:space="preserve">he LOUs </w:t>
      </w:r>
      <w:r w:rsidRPr="00395738">
        <w:rPr>
          <w:rFonts w:cs="Times New Roman"/>
          <w:color w:val="000000"/>
          <w:sz w:val="24"/>
          <w:szCs w:val="24"/>
        </w:rPr>
        <w:t xml:space="preserve">implement </w:t>
      </w:r>
      <w:r w:rsidR="00EA2BB3" w:rsidRPr="00395738">
        <w:rPr>
          <w:rFonts w:cs="Times New Roman"/>
          <w:color w:val="000000"/>
          <w:sz w:val="24"/>
          <w:szCs w:val="24"/>
        </w:rPr>
        <w:t>the LEI based on three requirements:</w:t>
      </w:r>
    </w:p>
    <w:p w14:paraId="7A75961F" w14:textId="77777777" w:rsidR="007C2AEF" w:rsidRPr="00395738" w:rsidRDefault="00EA2BB3" w:rsidP="007C2AEF">
      <w:pPr>
        <w:pStyle w:val="ListParagraph"/>
        <w:numPr>
          <w:ilvl w:val="0"/>
          <w:numId w:val="41"/>
        </w:numPr>
        <w:autoSpaceDE w:val="0"/>
        <w:autoSpaceDN w:val="0"/>
        <w:adjustRightInd w:val="0"/>
        <w:spacing w:after="240" w:line="360" w:lineRule="auto"/>
        <w:jc w:val="both"/>
        <w:rPr>
          <w:rFonts w:cs="Times New Roman"/>
          <w:color w:val="000000"/>
          <w:sz w:val="24"/>
          <w:szCs w:val="24"/>
        </w:rPr>
      </w:pPr>
      <w:r w:rsidRPr="00395738">
        <w:rPr>
          <w:rFonts w:cs="Times New Roman"/>
          <w:color w:val="000000"/>
          <w:sz w:val="24"/>
          <w:szCs w:val="24"/>
        </w:rPr>
        <w:t xml:space="preserve">Endorsement to operate as a LOU: The ROC has endorsed from October 2013 up to July 2014 so far 26 pre-LOUs (see.wwwleiroc.org). The GLEIF will take over the accreditation responsibility of the ROC at the latest before the year end 2015. </w:t>
      </w:r>
    </w:p>
    <w:p w14:paraId="45040993" w14:textId="77777777" w:rsidR="007C2AEF" w:rsidRPr="00395738" w:rsidRDefault="00EA2BB3" w:rsidP="007C2AEF">
      <w:pPr>
        <w:pStyle w:val="ListParagraph"/>
        <w:numPr>
          <w:ilvl w:val="0"/>
          <w:numId w:val="41"/>
        </w:numPr>
        <w:autoSpaceDE w:val="0"/>
        <w:autoSpaceDN w:val="0"/>
        <w:adjustRightInd w:val="0"/>
        <w:spacing w:after="240" w:line="360" w:lineRule="auto"/>
        <w:jc w:val="both"/>
        <w:rPr>
          <w:rFonts w:cs="Times New Roman"/>
          <w:color w:val="000000"/>
          <w:sz w:val="24"/>
          <w:szCs w:val="24"/>
        </w:rPr>
      </w:pPr>
      <w:r w:rsidRPr="00395738">
        <w:rPr>
          <w:rFonts w:cs="Times New Roman"/>
          <w:color w:val="000000"/>
          <w:sz w:val="24"/>
          <w:szCs w:val="24"/>
        </w:rPr>
        <w:t>Contractual arrangement: Any LOU needs to sign the Master Agreement with the GLEIF with the legal, operational and technical requirement</w:t>
      </w:r>
      <w:r w:rsidR="007C2AEF" w:rsidRPr="00395738">
        <w:rPr>
          <w:rFonts w:cs="Times New Roman"/>
          <w:color w:val="000000"/>
          <w:sz w:val="24"/>
          <w:szCs w:val="24"/>
        </w:rPr>
        <w:t>s</w:t>
      </w:r>
      <w:r w:rsidRPr="00395738">
        <w:rPr>
          <w:rFonts w:cs="Times New Roman"/>
          <w:color w:val="000000"/>
          <w:sz w:val="24"/>
          <w:szCs w:val="24"/>
        </w:rPr>
        <w:t xml:space="preserve"> applicable for any LOU. It is expected that all LOUs will have signed the Master Agreement in </w:t>
      </w:r>
      <w:r w:rsidR="007C2AEF" w:rsidRPr="00395738">
        <w:rPr>
          <w:rFonts w:cs="Times New Roman"/>
          <w:color w:val="000000"/>
          <w:sz w:val="24"/>
          <w:szCs w:val="24"/>
        </w:rPr>
        <w:t xml:space="preserve">the last quarter of </w:t>
      </w:r>
      <w:r w:rsidRPr="00395738">
        <w:rPr>
          <w:rFonts w:cs="Times New Roman"/>
          <w:color w:val="000000"/>
          <w:sz w:val="24"/>
          <w:szCs w:val="24"/>
        </w:rPr>
        <w:t>2015</w:t>
      </w:r>
      <w:r w:rsidR="007C2AEF" w:rsidRPr="00395738">
        <w:rPr>
          <w:rFonts w:cs="Times New Roman"/>
          <w:color w:val="000000"/>
          <w:sz w:val="24"/>
          <w:szCs w:val="24"/>
        </w:rPr>
        <w:t xml:space="preserve">, and at </w:t>
      </w:r>
      <w:r w:rsidRPr="00395738">
        <w:rPr>
          <w:rFonts w:cs="Times New Roman"/>
          <w:color w:val="000000"/>
          <w:sz w:val="24"/>
          <w:szCs w:val="24"/>
        </w:rPr>
        <w:t xml:space="preserve">the latest in </w:t>
      </w:r>
      <w:r w:rsidR="007C2AEF" w:rsidRPr="00395738">
        <w:rPr>
          <w:rFonts w:cs="Times New Roman"/>
          <w:color w:val="000000"/>
          <w:sz w:val="24"/>
          <w:szCs w:val="24"/>
        </w:rPr>
        <w:t xml:space="preserve">the first quarter of </w:t>
      </w:r>
      <w:r w:rsidRPr="00395738">
        <w:rPr>
          <w:rFonts w:cs="Times New Roman"/>
          <w:color w:val="000000"/>
          <w:sz w:val="24"/>
          <w:szCs w:val="24"/>
        </w:rPr>
        <w:t>2016.</w:t>
      </w:r>
    </w:p>
    <w:p w14:paraId="49B0F33D" w14:textId="75736134" w:rsidR="00EA2BB3" w:rsidRPr="00395738" w:rsidRDefault="00EA2BB3" w:rsidP="007C2AEF">
      <w:pPr>
        <w:pStyle w:val="ListParagraph"/>
        <w:numPr>
          <w:ilvl w:val="0"/>
          <w:numId w:val="41"/>
        </w:numPr>
        <w:autoSpaceDE w:val="0"/>
        <w:autoSpaceDN w:val="0"/>
        <w:adjustRightInd w:val="0"/>
        <w:spacing w:after="240" w:line="360" w:lineRule="auto"/>
        <w:jc w:val="both"/>
        <w:rPr>
          <w:rFonts w:cs="Times New Roman"/>
          <w:color w:val="000000"/>
          <w:sz w:val="24"/>
          <w:szCs w:val="24"/>
        </w:rPr>
      </w:pPr>
      <w:r w:rsidRPr="00395738">
        <w:rPr>
          <w:rFonts w:cs="Times New Roman"/>
          <w:color w:val="000000"/>
          <w:sz w:val="24"/>
          <w:szCs w:val="24"/>
        </w:rPr>
        <w:t>Technical standard: The LOUs are obliged to make a LEI available to the registrants in the form of a reference code to uniquely identify legally distinct entities that engage in financial transactions. This reference code is a 20 digit alphanumeric number with no embedded intelligence, partitioning essential: first 4 digits allocated uniquely to each Local Operating Unit (LOU); 5th and 6th digits set to zero; the next 12-digit component is the entity-specific part; the last two digits are the check digits to uniquely identify distinct entities that engage in financial transactions. The LEIs and the data of the legal entity involved issued by any LOU are published on www.gleif.org</w:t>
      </w:r>
    </w:p>
    <w:p w14:paraId="24704348" w14:textId="79633D92" w:rsidR="00EA2BB3" w:rsidRPr="00395738" w:rsidRDefault="00EA2BB3" w:rsidP="00EA2BB3">
      <w:pPr>
        <w:autoSpaceDE w:val="0"/>
        <w:autoSpaceDN w:val="0"/>
        <w:adjustRightInd w:val="0"/>
        <w:spacing w:after="240" w:line="360" w:lineRule="auto"/>
        <w:ind w:left="360"/>
        <w:jc w:val="both"/>
        <w:rPr>
          <w:rFonts w:cs="Times New Roman"/>
          <w:color w:val="000000"/>
          <w:sz w:val="24"/>
          <w:szCs w:val="24"/>
        </w:rPr>
      </w:pPr>
      <w:r w:rsidRPr="00395738">
        <w:rPr>
          <w:rFonts w:cs="Times New Roman"/>
          <w:color w:val="000000"/>
          <w:sz w:val="24"/>
          <w:szCs w:val="24"/>
        </w:rPr>
        <w:t xml:space="preserve">The ROC </w:t>
      </w:r>
      <w:r w:rsidR="007C2AEF" w:rsidRPr="00395738">
        <w:rPr>
          <w:rFonts w:cs="Times New Roman"/>
          <w:color w:val="000000"/>
          <w:sz w:val="24"/>
          <w:szCs w:val="24"/>
        </w:rPr>
        <w:t>m</w:t>
      </w:r>
      <w:r w:rsidRPr="00395738">
        <w:rPr>
          <w:rFonts w:cs="Times New Roman"/>
          <w:color w:val="000000"/>
          <w:sz w:val="24"/>
          <w:szCs w:val="24"/>
        </w:rPr>
        <w:t>embers have</w:t>
      </w:r>
      <w:r w:rsidR="007C2AEF" w:rsidRPr="00395738">
        <w:rPr>
          <w:rFonts w:cs="Times New Roman"/>
          <w:color w:val="000000"/>
          <w:sz w:val="24"/>
          <w:szCs w:val="24"/>
        </w:rPr>
        <w:t>,</w:t>
      </w:r>
      <w:r w:rsidRPr="00395738">
        <w:rPr>
          <w:rFonts w:cs="Times New Roman"/>
          <w:color w:val="000000"/>
          <w:sz w:val="24"/>
          <w:szCs w:val="24"/>
        </w:rPr>
        <w:t xml:space="preserve"> in addition</w:t>
      </w:r>
      <w:r w:rsidR="007C2AEF" w:rsidRPr="00395738">
        <w:rPr>
          <w:rFonts w:cs="Times New Roman"/>
          <w:color w:val="000000"/>
          <w:sz w:val="24"/>
          <w:szCs w:val="24"/>
        </w:rPr>
        <w:t>,</w:t>
      </w:r>
      <w:r w:rsidRPr="00395738">
        <w:rPr>
          <w:rFonts w:cs="Times New Roman"/>
          <w:color w:val="000000"/>
          <w:sz w:val="24"/>
          <w:szCs w:val="24"/>
        </w:rPr>
        <w:t xml:space="preserve"> also made significant progress in rulemaking </w:t>
      </w:r>
      <w:r w:rsidR="007C2AEF" w:rsidRPr="00395738">
        <w:rPr>
          <w:rFonts w:cs="Times New Roman"/>
          <w:color w:val="000000"/>
          <w:sz w:val="24"/>
          <w:szCs w:val="24"/>
        </w:rPr>
        <w:t xml:space="preserve">in their respective jurisdictions, </w:t>
      </w:r>
      <w:r w:rsidRPr="00395738">
        <w:rPr>
          <w:rFonts w:cs="Times New Roman"/>
          <w:color w:val="000000"/>
          <w:sz w:val="24"/>
          <w:szCs w:val="24"/>
        </w:rPr>
        <w:t>where the LEI should be included for regulatory reporting or for other official functions. An overview of the existing and the proposed rulemaking function is available on www.gleif.org.</w:t>
      </w:r>
    </w:p>
    <w:p w14:paraId="71E243B7" w14:textId="104CC808" w:rsidR="00701AC1" w:rsidRPr="00395738" w:rsidRDefault="00701AC1">
      <w:pPr>
        <w:rPr>
          <w:rFonts w:cs="Times New Roman"/>
          <w:color w:val="000000"/>
          <w:sz w:val="24"/>
          <w:szCs w:val="24"/>
        </w:rPr>
      </w:pPr>
      <w:r w:rsidRPr="00395738">
        <w:rPr>
          <w:rFonts w:cs="Times New Roman"/>
          <w:color w:val="000000"/>
          <w:sz w:val="24"/>
          <w:szCs w:val="24"/>
        </w:rPr>
        <w:br w:type="page"/>
      </w:r>
    </w:p>
    <w:p w14:paraId="64D55CB6" w14:textId="48C2BD3A" w:rsidR="00347DAD" w:rsidRPr="00395738" w:rsidRDefault="004A36D1" w:rsidP="0084500F">
      <w:pPr>
        <w:pStyle w:val="Heading1"/>
        <w:spacing w:after="480"/>
        <w:ind w:left="360"/>
      </w:pPr>
      <w:bookmarkStart w:id="12" w:name="_Toc427686031"/>
      <w:r w:rsidRPr="00395738">
        <w:lastRenderedPageBreak/>
        <w:t xml:space="preserve">Annex </w:t>
      </w:r>
      <w:r w:rsidR="00701AC1" w:rsidRPr="00395738">
        <w:t>4</w:t>
      </w:r>
      <w:r w:rsidRPr="00395738">
        <w:t xml:space="preserve">: </w:t>
      </w:r>
      <w:r w:rsidR="00347DAD" w:rsidRPr="00395738">
        <w:t>References</w:t>
      </w:r>
      <w:bookmarkEnd w:id="12"/>
    </w:p>
    <w:p w14:paraId="68529DC9" w14:textId="09CAD115" w:rsidR="00565949" w:rsidRPr="00395738" w:rsidRDefault="00565949" w:rsidP="00565949">
      <w:pPr>
        <w:autoSpaceDE w:val="0"/>
        <w:autoSpaceDN w:val="0"/>
        <w:adjustRightInd w:val="0"/>
        <w:spacing w:after="240" w:line="240" w:lineRule="auto"/>
        <w:ind w:left="360"/>
        <w:jc w:val="both"/>
        <w:rPr>
          <w:rFonts w:cs="Times New Roman"/>
          <w:color w:val="000000"/>
          <w:sz w:val="24"/>
          <w:szCs w:val="24"/>
        </w:rPr>
      </w:pPr>
      <w:r w:rsidRPr="00395738">
        <w:rPr>
          <w:rFonts w:cs="Times New Roman"/>
          <w:color w:val="000000"/>
          <w:sz w:val="24"/>
          <w:szCs w:val="24"/>
        </w:rPr>
        <w:t>Almeida, A. and Damia V.</w:t>
      </w:r>
      <w:r w:rsidR="000C5CA4" w:rsidRPr="00395738">
        <w:rPr>
          <w:rFonts w:cs="Times New Roman"/>
          <w:color w:val="000000"/>
          <w:sz w:val="24"/>
          <w:szCs w:val="24"/>
        </w:rPr>
        <w:t xml:space="preserve"> (2014)</w:t>
      </w:r>
      <w:r w:rsidRPr="00395738">
        <w:rPr>
          <w:rFonts w:cs="Times New Roman"/>
          <w:color w:val="000000"/>
          <w:sz w:val="24"/>
          <w:szCs w:val="24"/>
        </w:rPr>
        <w:t xml:space="preserve">, </w:t>
      </w:r>
      <w:r w:rsidRPr="00395738">
        <w:rPr>
          <w:rFonts w:cs="Times New Roman"/>
          <w:i/>
          <w:color w:val="000000"/>
          <w:sz w:val="24"/>
          <w:szCs w:val="24"/>
        </w:rPr>
        <w:t xml:space="preserve">“Challenges and prospects for setting-up a </w:t>
      </w:r>
      <w:r w:rsidR="000C5CA4" w:rsidRPr="00395738">
        <w:rPr>
          <w:rFonts w:cs="Times New Roman"/>
          <w:i/>
          <w:color w:val="000000"/>
          <w:sz w:val="24"/>
          <w:szCs w:val="24"/>
        </w:rPr>
        <w:t>European Union</w:t>
      </w:r>
      <w:r w:rsidRPr="00395738">
        <w:rPr>
          <w:rFonts w:cs="Times New Roman"/>
          <w:i/>
          <w:color w:val="000000"/>
          <w:sz w:val="24"/>
          <w:szCs w:val="24"/>
        </w:rPr>
        <w:t xml:space="preserve"> shared system on credit”</w:t>
      </w:r>
      <w:r w:rsidRPr="00395738">
        <w:rPr>
          <w:rFonts w:cs="Times New Roman"/>
          <w:color w:val="000000"/>
          <w:sz w:val="24"/>
          <w:szCs w:val="24"/>
        </w:rPr>
        <w:t>, Bank for International Settlement</w:t>
      </w:r>
      <w:r w:rsidR="00D446CC" w:rsidRPr="00395738">
        <w:rPr>
          <w:rFonts w:cs="Times New Roman"/>
          <w:color w:val="000000"/>
          <w:sz w:val="24"/>
          <w:szCs w:val="24"/>
        </w:rPr>
        <w:t>s</w:t>
      </w:r>
      <w:r w:rsidRPr="00395738">
        <w:rPr>
          <w:rFonts w:cs="Times New Roman"/>
          <w:color w:val="000000"/>
          <w:sz w:val="24"/>
          <w:szCs w:val="24"/>
        </w:rPr>
        <w:t>, IFC Bulletin 37 - Proceedings of the Porto Workshop, 20–22 June 2013.</w:t>
      </w:r>
    </w:p>
    <w:p w14:paraId="5446C48A" w14:textId="353D4924" w:rsidR="00BF1A43" w:rsidRPr="00395738" w:rsidRDefault="00BF1A43" w:rsidP="00BF1A43">
      <w:pPr>
        <w:autoSpaceDE w:val="0"/>
        <w:autoSpaceDN w:val="0"/>
        <w:adjustRightInd w:val="0"/>
        <w:spacing w:after="240" w:line="240" w:lineRule="auto"/>
        <w:ind w:left="360"/>
        <w:jc w:val="both"/>
        <w:rPr>
          <w:rFonts w:cs="Times New Roman"/>
          <w:color w:val="000000"/>
          <w:sz w:val="24"/>
          <w:szCs w:val="24"/>
        </w:rPr>
      </w:pPr>
      <w:r w:rsidRPr="00395738">
        <w:rPr>
          <w:rFonts w:cs="Times New Roman"/>
          <w:color w:val="000000"/>
          <w:sz w:val="24"/>
          <w:szCs w:val="24"/>
        </w:rPr>
        <w:t xml:space="preserve">Bank of England (2014a), </w:t>
      </w:r>
      <w:r w:rsidR="00846FAA" w:rsidRPr="00395738">
        <w:rPr>
          <w:rFonts w:cs="Times New Roman"/>
          <w:i/>
          <w:color w:val="000000"/>
          <w:sz w:val="24"/>
          <w:szCs w:val="24"/>
        </w:rPr>
        <w:t>“</w:t>
      </w:r>
      <w:r w:rsidRPr="00395738">
        <w:rPr>
          <w:rFonts w:cs="Times New Roman"/>
          <w:i/>
          <w:color w:val="000000"/>
          <w:sz w:val="24"/>
          <w:szCs w:val="24"/>
        </w:rPr>
        <w:t>Should the availability of UK credit data</w:t>
      </w:r>
      <w:r w:rsidR="00846FAA" w:rsidRPr="00395738">
        <w:rPr>
          <w:rFonts w:cs="Times New Roman"/>
          <w:i/>
          <w:color w:val="000000"/>
          <w:sz w:val="24"/>
          <w:szCs w:val="24"/>
        </w:rPr>
        <w:t xml:space="preserve"> </w:t>
      </w:r>
      <w:r w:rsidRPr="00395738">
        <w:rPr>
          <w:rFonts w:cs="Times New Roman"/>
          <w:i/>
          <w:color w:val="000000"/>
          <w:sz w:val="24"/>
          <w:szCs w:val="24"/>
        </w:rPr>
        <w:t>be improved?</w:t>
      </w:r>
      <w:r w:rsidR="00846FAA" w:rsidRPr="00395738">
        <w:rPr>
          <w:rFonts w:cs="Times New Roman"/>
          <w:i/>
          <w:color w:val="000000"/>
          <w:sz w:val="24"/>
          <w:szCs w:val="24"/>
        </w:rPr>
        <w:t>”</w:t>
      </w:r>
      <w:r w:rsidR="00846FAA" w:rsidRPr="00395738">
        <w:rPr>
          <w:rFonts w:cs="Times New Roman"/>
          <w:color w:val="000000"/>
          <w:sz w:val="24"/>
          <w:szCs w:val="24"/>
        </w:rPr>
        <w:t xml:space="preserve"> Discussion paper. Available</w:t>
      </w:r>
      <w:r w:rsidR="00D73C52" w:rsidRPr="00395738">
        <w:rPr>
          <w:rFonts w:cs="Times New Roman"/>
          <w:color w:val="000000"/>
          <w:sz w:val="24"/>
          <w:szCs w:val="24"/>
        </w:rPr>
        <w:t xml:space="preserve"> online </w:t>
      </w:r>
      <w:r w:rsidR="00846FAA" w:rsidRPr="00395738">
        <w:rPr>
          <w:rFonts w:cs="Times New Roman"/>
          <w:color w:val="000000"/>
          <w:sz w:val="24"/>
          <w:szCs w:val="24"/>
        </w:rPr>
        <w:t xml:space="preserve">at: </w:t>
      </w:r>
      <w:hyperlink r:id="rId15" w:history="1">
        <w:r w:rsidR="00D73C52" w:rsidRPr="00395738">
          <w:rPr>
            <w:rStyle w:val="Hyperlink"/>
            <w:rFonts w:cs="Times New Roman"/>
            <w:sz w:val="24"/>
            <w:szCs w:val="24"/>
          </w:rPr>
          <w:t>http://www.bankofengland.co.uk/publications/Documents/news/2014/dp300514.pdf</w:t>
        </w:r>
      </w:hyperlink>
      <w:r w:rsidR="00D73C52" w:rsidRPr="00395738">
        <w:rPr>
          <w:rFonts w:cs="Times New Roman"/>
          <w:color w:val="000000"/>
          <w:sz w:val="24"/>
          <w:szCs w:val="24"/>
        </w:rPr>
        <w:t xml:space="preserve"> </w:t>
      </w:r>
    </w:p>
    <w:p w14:paraId="292466CE" w14:textId="179406C9" w:rsidR="00BF1A43" w:rsidRPr="00395738" w:rsidRDefault="00BF1A43" w:rsidP="00BF1A43">
      <w:pPr>
        <w:autoSpaceDE w:val="0"/>
        <w:autoSpaceDN w:val="0"/>
        <w:adjustRightInd w:val="0"/>
        <w:spacing w:after="240" w:line="240" w:lineRule="auto"/>
        <w:ind w:left="360"/>
        <w:jc w:val="both"/>
        <w:rPr>
          <w:rFonts w:cs="Times New Roman"/>
          <w:color w:val="000000"/>
          <w:sz w:val="24"/>
          <w:szCs w:val="24"/>
        </w:rPr>
      </w:pPr>
      <w:r w:rsidRPr="00395738">
        <w:rPr>
          <w:rFonts w:cs="Times New Roman"/>
          <w:color w:val="000000"/>
          <w:sz w:val="24"/>
          <w:szCs w:val="24"/>
        </w:rPr>
        <w:t xml:space="preserve">Bank of England (2014b), </w:t>
      </w:r>
      <w:r w:rsidRPr="00395738">
        <w:rPr>
          <w:rFonts w:cs="Times New Roman"/>
          <w:i/>
          <w:color w:val="000000"/>
          <w:sz w:val="24"/>
          <w:szCs w:val="24"/>
        </w:rPr>
        <w:t>“Summary of feedback received on the Bank of England’s May 2014 Discussion Paper on UK credit data”</w:t>
      </w:r>
      <w:r w:rsidRPr="00395738">
        <w:rPr>
          <w:rFonts w:cs="Times New Roman"/>
          <w:color w:val="000000"/>
          <w:sz w:val="24"/>
          <w:szCs w:val="24"/>
        </w:rPr>
        <w:t xml:space="preserve">. Available online at </w:t>
      </w:r>
      <w:hyperlink r:id="rId16" w:history="1">
        <w:r w:rsidRPr="00395738">
          <w:rPr>
            <w:rStyle w:val="Hyperlink"/>
            <w:rFonts w:cs="Times New Roman"/>
            <w:sz w:val="24"/>
            <w:szCs w:val="24"/>
          </w:rPr>
          <w:t>http://www.bankofengland.co.uk/financialstability/Documents/securitisation/responses281114.pdf</w:t>
        </w:r>
      </w:hyperlink>
      <w:r w:rsidRPr="00395738">
        <w:rPr>
          <w:rFonts w:cs="Times New Roman"/>
          <w:color w:val="000000"/>
          <w:sz w:val="24"/>
          <w:szCs w:val="24"/>
        </w:rPr>
        <w:t xml:space="preserve"> </w:t>
      </w:r>
    </w:p>
    <w:p w14:paraId="447C28E5" w14:textId="77777777" w:rsidR="00C462AE" w:rsidRPr="00395738" w:rsidRDefault="00C462AE" w:rsidP="00C462AE">
      <w:pPr>
        <w:autoSpaceDE w:val="0"/>
        <w:autoSpaceDN w:val="0"/>
        <w:adjustRightInd w:val="0"/>
        <w:spacing w:after="240" w:line="240" w:lineRule="auto"/>
        <w:ind w:left="360"/>
        <w:jc w:val="both"/>
        <w:rPr>
          <w:rFonts w:cs="Times New Roman"/>
          <w:color w:val="000000"/>
          <w:sz w:val="24"/>
          <w:szCs w:val="24"/>
        </w:rPr>
      </w:pPr>
      <w:r w:rsidRPr="00395738">
        <w:rPr>
          <w:rFonts w:cs="Times New Roman"/>
          <w:color w:val="000000"/>
          <w:sz w:val="24"/>
          <w:szCs w:val="24"/>
        </w:rPr>
        <w:t>Boissay, F. and L. Cappiello (2014), “</w:t>
      </w:r>
      <w:r w:rsidRPr="00395738">
        <w:rPr>
          <w:rFonts w:cs="Times New Roman"/>
          <w:i/>
          <w:color w:val="000000"/>
          <w:sz w:val="24"/>
          <w:szCs w:val="24"/>
        </w:rPr>
        <w:t>Micro- versus Macro-prudential supervision: potential differences, tensions and complementarities</w:t>
      </w:r>
      <w:r w:rsidRPr="00395738">
        <w:rPr>
          <w:rFonts w:cs="Times New Roman"/>
          <w:color w:val="000000"/>
          <w:sz w:val="24"/>
          <w:szCs w:val="24"/>
        </w:rPr>
        <w:t>”, European Central Bank, Financial Stability Review, May 2014.</w:t>
      </w:r>
    </w:p>
    <w:p w14:paraId="6A39C336" w14:textId="10B47722" w:rsidR="00E07FF6" w:rsidRPr="00395738" w:rsidRDefault="00E07FF6" w:rsidP="00E07FF6">
      <w:pPr>
        <w:autoSpaceDE w:val="0"/>
        <w:autoSpaceDN w:val="0"/>
        <w:adjustRightInd w:val="0"/>
        <w:spacing w:after="240" w:line="240" w:lineRule="auto"/>
        <w:ind w:left="360"/>
        <w:jc w:val="both"/>
        <w:rPr>
          <w:rFonts w:cs="Times New Roman"/>
          <w:color w:val="000000"/>
          <w:sz w:val="24"/>
          <w:szCs w:val="24"/>
        </w:rPr>
      </w:pPr>
      <w:r w:rsidRPr="00395738">
        <w:rPr>
          <w:rFonts w:cs="Times New Roman"/>
          <w:color w:val="000000"/>
          <w:sz w:val="24"/>
          <w:szCs w:val="24"/>
        </w:rPr>
        <w:t>Committee on the Global Financial System</w:t>
      </w:r>
      <w:r w:rsidR="000C5CA4" w:rsidRPr="00395738">
        <w:rPr>
          <w:rFonts w:cs="Times New Roman"/>
          <w:color w:val="000000"/>
          <w:sz w:val="24"/>
          <w:szCs w:val="24"/>
        </w:rPr>
        <w:t xml:space="preserve"> (2010)</w:t>
      </w:r>
      <w:r w:rsidRPr="00395738">
        <w:rPr>
          <w:rFonts w:cs="Times New Roman"/>
          <w:color w:val="000000"/>
          <w:sz w:val="24"/>
          <w:szCs w:val="24"/>
        </w:rPr>
        <w:t xml:space="preserve">, </w:t>
      </w:r>
      <w:r w:rsidRPr="00395738">
        <w:rPr>
          <w:rFonts w:cs="Times New Roman"/>
          <w:i/>
          <w:color w:val="000000"/>
          <w:sz w:val="24"/>
          <w:szCs w:val="24"/>
        </w:rPr>
        <w:t>“Macro-prudential instruments and frameworks: a stocktaking of issues and experiences”</w:t>
      </w:r>
      <w:r w:rsidRPr="00395738">
        <w:rPr>
          <w:rFonts w:cs="Times New Roman"/>
          <w:color w:val="000000"/>
          <w:sz w:val="24"/>
          <w:szCs w:val="24"/>
        </w:rPr>
        <w:t>, CGFS Papers, No 38, Bank for International Settlements</w:t>
      </w:r>
      <w:r w:rsidR="00D446CC" w:rsidRPr="00395738">
        <w:rPr>
          <w:rFonts w:cs="Times New Roman"/>
          <w:color w:val="000000"/>
          <w:sz w:val="24"/>
          <w:szCs w:val="24"/>
        </w:rPr>
        <w:t>, May 2010.</w:t>
      </w:r>
    </w:p>
    <w:p w14:paraId="4502EFA5" w14:textId="755544D7" w:rsidR="00E07FF6" w:rsidRPr="00395738" w:rsidRDefault="00E07FF6" w:rsidP="00E07FF6">
      <w:pPr>
        <w:autoSpaceDE w:val="0"/>
        <w:autoSpaceDN w:val="0"/>
        <w:adjustRightInd w:val="0"/>
        <w:spacing w:after="240" w:line="240" w:lineRule="auto"/>
        <w:ind w:left="360"/>
        <w:jc w:val="both"/>
        <w:rPr>
          <w:rFonts w:cs="Times New Roman"/>
          <w:color w:val="000000"/>
          <w:sz w:val="24"/>
          <w:szCs w:val="24"/>
        </w:rPr>
      </w:pPr>
      <w:r w:rsidRPr="00395738">
        <w:rPr>
          <w:rFonts w:cs="Times New Roman"/>
          <w:color w:val="000000"/>
          <w:sz w:val="24"/>
          <w:szCs w:val="24"/>
        </w:rPr>
        <w:t>Committee on the Global Financial System</w:t>
      </w:r>
      <w:r w:rsidR="000C5CA4" w:rsidRPr="00395738">
        <w:rPr>
          <w:rFonts w:cs="Times New Roman"/>
          <w:color w:val="000000"/>
          <w:sz w:val="24"/>
          <w:szCs w:val="24"/>
        </w:rPr>
        <w:t xml:space="preserve"> (2012)</w:t>
      </w:r>
      <w:r w:rsidRPr="00395738">
        <w:rPr>
          <w:rFonts w:cs="Times New Roman"/>
          <w:color w:val="000000"/>
          <w:sz w:val="24"/>
          <w:szCs w:val="24"/>
        </w:rPr>
        <w:t xml:space="preserve">, </w:t>
      </w:r>
      <w:r w:rsidRPr="00395738">
        <w:rPr>
          <w:rFonts w:cs="Times New Roman"/>
          <w:i/>
          <w:color w:val="000000"/>
          <w:sz w:val="24"/>
          <w:szCs w:val="24"/>
        </w:rPr>
        <w:t>“Operationalising the selection and application of macroprudential instruments”</w:t>
      </w:r>
      <w:r w:rsidRPr="00395738">
        <w:rPr>
          <w:rFonts w:cs="Times New Roman"/>
          <w:color w:val="000000"/>
          <w:sz w:val="24"/>
          <w:szCs w:val="24"/>
        </w:rPr>
        <w:t>, CGFS Pa</w:t>
      </w:r>
      <w:r w:rsidR="003F5C5B" w:rsidRPr="00395738">
        <w:rPr>
          <w:rFonts w:cs="Times New Roman"/>
          <w:color w:val="000000"/>
          <w:sz w:val="24"/>
          <w:szCs w:val="24"/>
        </w:rPr>
        <w:t>pers, No 48, BIS, December 2012.</w:t>
      </w:r>
    </w:p>
    <w:p w14:paraId="4E8F5103" w14:textId="562D7FC2" w:rsidR="0087441A" w:rsidRPr="00395738" w:rsidRDefault="0087441A" w:rsidP="00E07FF6">
      <w:pPr>
        <w:autoSpaceDE w:val="0"/>
        <w:autoSpaceDN w:val="0"/>
        <w:adjustRightInd w:val="0"/>
        <w:spacing w:after="240" w:line="240" w:lineRule="auto"/>
        <w:ind w:left="360"/>
        <w:jc w:val="both"/>
        <w:rPr>
          <w:rFonts w:cs="Times New Roman"/>
          <w:color w:val="000000"/>
          <w:sz w:val="24"/>
          <w:szCs w:val="24"/>
        </w:rPr>
      </w:pPr>
      <w:r w:rsidRPr="00395738">
        <w:rPr>
          <w:rFonts w:cs="Times New Roman"/>
          <w:color w:val="000000"/>
          <w:sz w:val="24"/>
          <w:szCs w:val="24"/>
        </w:rPr>
        <w:t>De Luca, R. (2014), “</w:t>
      </w:r>
      <w:r w:rsidRPr="00395738">
        <w:rPr>
          <w:rFonts w:cs="Times New Roman"/>
          <w:i/>
          <w:color w:val="000000"/>
          <w:sz w:val="24"/>
          <w:szCs w:val="24"/>
        </w:rPr>
        <w:t>Utilizing PCB/PCR Data for Supervisory Purposes</w:t>
      </w:r>
      <w:r w:rsidRPr="00395738">
        <w:rPr>
          <w:rFonts w:cs="Times New Roman"/>
          <w:color w:val="000000"/>
          <w:sz w:val="24"/>
          <w:szCs w:val="24"/>
        </w:rPr>
        <w:t>”, power point presentation presented at the 5</w:t>
      </w:r>
      <w:r w:rsidRPr="00395738">
        <w:rPr>
          <w:rFonts w:cs="Times New Roman"/>
          <w:color w:val="000000"/>
          <w:sz w:val="24"/>
          <w:szCs w:val="24"/>
          <w:vertAlign w:val="superscript"/>
        </w:rPr>
        <w:t>th</w:t>
      </w:r>
      <w:r w:rsidRPr="00395738">
        <w:rPr>
          <w:rFonts w:cs="Times New Roman"/>
          <w:color w:val="000000"/>
          <w:sz w:val="24"/>
          <w:szCs w:val="24"/>
        </w:rPr>
        <w:t xml:space="preserve"> Financial Infrastructure and Risk Management Training, Rabat, Morocco, September 2014.</w:t>
      </w:r>
    </w:p>
    <w:p w14:paraId="1CB05E8A" w14:textId="0EB3E7EC" w:rsidR="00E07FF6" w:rsidRPr="00395738" w:rsidRDefault="00C96A46" w:rsidP="00E07FF6">
      <w:pPr>
        <w:autoSpaceDE w:val="0"/>
        <w:autoSpaceDN w:val="0"/>
        <w:adjustRightInd w:val="0"/>
        <w:spacing w:after="240" w:line="240" w:lineRule="auto"/>
        <w:ind w:left="360"/>
        <w:jc w:val="both"/>
        <w:rPr>
          <w:rFonts w:cs="Times New Roman"/>
          <w:color w:val="000000"/>
          <w:sz w:val="24"/>
          <w:szCs w:val="24"/>
        </w:rPr>
      </w:pPr>
      <w:r w:rsidRPr="00395738">
        <w:rPr>
          <w:rFonts w:cs="Times New Roman"/>
          <w:color w:val="000000"/>
          <w:sz w:val="24"/>
          <w:szCs w:val="24"/>
        </w:rPr>
        <w:t>European Systemic Risk Board (2014), “</w:t>
      </w:r>
      <w:r w:rsidR="00E07FF6" w:rsidRPr="00395738">
        <w:rPr>
          <w:rFonts w:cs="Times New Roman"/>
          <w:i/>
          <w:color w:val="000000"/>
          <w:sz w:val="24"/>
          <w:szCs w:val="24"/>
        </w:rPr>
        <w:t>Flagship Report on macro-prudential policy in the banking sector</w:t>
      </w:r>
      <w:r w:rsidRPr="00395738">
        <w:rPr>
          <w:rFonts w:cs="Times New Roman"/>
          <w:color w:val="000000"/>
          <w:sz w:val="24"/>
          <w:szCs w:val="24"/>
        </w:rPr>
        <w:t>”</w:t>
      </w:r>
      <w:r w:rsidR="00E07FF6" w:rsidRPr="00395738">
        <w:rPr>
          <w:rFonts w:cs="Times New Roman"/>
          <w:color w:val="000000"/>
          <w:sz w:val="24"/>
          <w:szCs w:val="24"/>
        </w:rPr>
        <w:t>.</w:t>
      </w:r>
      <w:r w:rsidR="00D446CC" w:rsidRPr="00395738">
        <w:rPr>
          <w:rFonts w:cs="Times New Roman"/>
          <w:color w:val="000000"/>
          <w:sz w:val="24"/>
          <w:szCs w:val="24"/>
        </w:rPr>
        <w:t xml:space="preserve"> </w:t>
      </w:r>
      <w:r w:rsidR="00D446CC" w:rsidRPr="00395738">
        <w:rPr>
          <w:rFonts w:eastAsiaTheme="minorHAnsi" w:cs="Arial"/>
          <w:color w:val="333333"/>
          <w:sz w:val="24"/>
          <w:szCs w:val="24"/>
        </w:rPr>
        <w:t>ESRB Instrument Working Group.</w:t>
      </w:r>
      <w:r w:rsidR="00D446CC" w:rsidRPr="00395738">
        <w:rPr>
          <w:rFonts w:cs="Times New Roman"/>
          <w:color w:val="000000"/>
          <w:sz w:val="24"/>
          <w:szCs w:val="24"/>
        </w:rPr>
        <w:t xml:space="preserve"> Available online at </w:t>
      </w:r>
      <w:hyperlink r:id="rId17" w:history="1">
        <w:r w:rsidR="00D446CC" w:rsidRPr="00395738">
          <w:rPr>
            <w:rStyle w:val="Hyperlink"/>
            <w:rFonts w:cs="Times New Roman"/>
            <w:sz w:val="24"/>
            <w:szCs w:val="24"/>
          </w:rPr>
          <w:t>https://www.esrb.europa.eu/pub/pdf/other/140303_flagship_report.pdf</w:t>
        </w:r>
      </w:hyperlink>
      <w:r w:rsidR="00D446CC" w:rsidRPr="00395738">
        <w:rPr>
          <w:rFonts w:cs="Times New Roman"/>
          <w:color w:val="000000"/>
          <w:sz w:val="24"/>
          <w:szCs w:val="24"/>
        </w:rPr>
        <w:t xml:space="preserve"> </w:t>
      </w:r>
    </w:p>
    <w:p w14:paraId="3DE7E15E" w14:textId="0C9BD8F9" w:rsidR="003F5C5B" w:rsidRPr="00395738" w:rsidRDefault="003F5C5B" w:rsidP="00E07FF6">
      <w:pPr>
        <w:autoSpaceDE w:val="0"/>
        <w:autoSpaceDN w:val="0"/>
        <w:adjustRightInd w:val="0"/>
        <w:spacing w:after="240" w:line="240" w:lineRule="auto"/>
        <w:ind w:left="360"/>
        <w:jc w:val="both"/>
        <w:rPr>
          <w:rFonts w:cs="Times New Roman"/>
          <w:color w:val="000000"/>
          <w:sz w:val="24"/>
          <w:szCs w:val="24"/>
        </w:rPr>
      </w:pPr>
      <w:r w:rsidRPr="00395738">
        <w:rPr>
          <w:rFonts w:cs="Times New Roman"/>
          <w:color w:val="000000"/>
          <w:sz w:val="24"/>
          <w:szCs w:val="24"/>
        </w:rPr>
        <w:t>Financial Stability Board and International Monetary Fund (2009), “</w:t>
      </w:r>
      <w:r w:rsidRPr="00395738">
        <w:rPr>
          <w:rFonts w:cs="Times New Roman"/>
          <w:i/>
          <w:color w:val="000000"/>
          <w:sz w:val="24"/>
          <w:szCs w:val="24"/>
        </w:rPr>
        <w:t>The financial crisis and information gaps</w:t>
      </w:r>
      <w:r w:rsidRPr="00395738">
        <w:rPr>
          <w:rFonts w:cs="Times New Roman"/>
          <w:color w:val="000000"/>
          <w:sz w:val="24"/>
          <w:szCs w:val="24"/>
        </w:rPr>
        <w:t xml:space="preserve">”, Report to the G-20 Finance Ministers and Central Bank Governors. Available </w:t>
      </w:r>
      <w:r w:rsidR="00BF1A43" w:rsidRPr="00395738">
        <w:rPr>
          <w:rFonts w:cs="Times New Roman"/>
          <w:color w:val="000000"/>
          <w:sz w:val="24"/>
          <w:szCs w:val="24"/>
        </w:rPr>
        <w:t xml:space="preserve">online </w:t>
      </w:r>
      <w:r w:rsidRPr="00395738">
        <w:rPr>
          <w:rFonts w:cs="Times New Roman"/>
          <w:color w:val="000000"/>
          <w:sz w:val="24"/>
          <w:szCs w:val="24"/>
        </w:rPr>
        <w:t xml:space="preserve">at </w:t>
      </w:r>
      <w:hyperlink r:id="rId18" w:history="1">
        <w:r w:rsidRPr="00395738">
          <w:rPr>
            <w:rStyle w:val="Hyperlink"/>
            <w:rFonts w:cs="Times New Roman"/>
            <w:sz w:val="24"/>
            <w:szCs w:val="24"/>
          </w:rPr>
          <w:t>https://www.imf.org/external/np/g20/pdf/102909.pdf</w:t>
        </w:r>
      </w:hyperlink>
      <w:r w:rsidRPr="00395738">
        <w:rPr>
          <w:rFonts w:cs="Times New Roman"/>
          <w:color w:val="000000"/>
          <w:sz w:val="24"/>
          <w:szCs w:val="24"/>
        </w:rPr>
        <w:t xml:space="preserve"> </w:t>
      </w:r>
    </w:p>
    <w:p w14:paraId="2E00BD74" w14:textId="0A5404BF" w:rsidR="00893C79" w:rsidRPr="00395738" w:rsidRDefault="004C55B8" w:rsidP="004C55B8">
      <w:pPr>
        <w:autoSpaceDE w:val="0"/>
        <w:autoSpaceDN w:val="0"/>
        <w:adjustRightInd w:val="0"/>
        <w:spacing w:after="240" w:line="240" w:lineRule="auto"/>
        <w:ind w:left="360"/>
        <w:jc w:val="both"/>
        <w:rPr>
          <w:rFonts w:cs="Times New Roman"/>
          <w:color w:val="000000"/>
          <w:sz w:val="24"/>
          <w:szCs w:val="24"/>
        </w:rPr>
      </w:pPr>
      <w:r w:rsidRPr="00395738">
        <w:rPr>
          <w:rFonts w:cs="Times New Roman"/>
          <w:color w:val="000000"/>
          <w:sz w:val="24"/>
          <w:szCs w:val="24"/>
        </w:rPr>
        <w:t xml:space="preserve">Gutierrez, M. and J. Hwang </w:t>
      </w:r>
      <w:r w:rsidR="00893C79" w:rsidRPr="00395738">
        <w:rPr>
          <w:rFonts w:cs="Times New Roman"/>
          <w:color w:val="000000"/>
          <w:sz w:val="24"/>
          <w:szCs w:val="24"/>
        </w:rPr>
        <w:t>(2011), “</w:t>
      </w:r>
      <w:r w:rsidR="00893C79" w:rsidRPr="00395738">
        <w:rPr>
          <w:rFonts w:cs="Times New Roman"/>
          <w:i/>
          <w:color w:val="000000"/>
          <w:sz w:val="24"/>
          <w:szCs w:val="24"/>
        </w:rPr>
        <w:t>Public Credit Registries as a Tool for Bank Regulation and Supervision</w:t>
      </w:r>
      <w:r w:rsidR="00893C79" w:rsidRPr="00395738">
        <w:rPr>
          <w:rFonts w:cs="Times New Roman"/>
          <w:color w:val="000000"/>
          <w:sz w:val="24"/>
          <w:szCs w:val="24"/>
        </w:rPr>
        <w:t xml:space="preserve">”, Policy Brief, Western Hemisphere Credit and Loan Reporting Initiative. Available </w:t>
      </w:r>
      <w:r w:rsidR="00BF1A43" w:rsidRPr="00395738">
        <w:rPr>
          <w:rFonts w:cs="Times New Roman"/>
          <w:color w:val="000000"/>
          <w:sz w:val="24"/>
          <w:szCs w:val="24"/>
        </w:rPr>
        <w:t xml:space="preserve">online </w:t>
      </w:r>
      <w:r w:rsidR="00893C79" w:rsidRPr="00395738">
        <w:rPr>
          <w:rFonts w:cs="Times New Roman"/>
          <w:color w:val="000000"/>
          <w:sz w:val="24"/>
          <w:szCs w:val="24"/>
        </w:rPr>
        <w:t xml:space="preserve">at </w:t>
      </w:r>
      <w:hyperlink r:id="rId19" w:history="1">
        <w:r w:rsidR="00893C79" w:rsidRPr="00395738">
          <w:rPr>
            <w:rStyle w:val="Hyperlink"/>
            <w:rFonts w:cs="Times New Roman"/>
            <w:sz w:val="24"/>
            <w:szCs w:val="24"/>
          </w:rPr>
          <w:t>http://www.whcri.org/PDF/PublicCreditRegistriesPolicyBrief.pdf</w:t>
        </w:r>
      </w:hyperlink>
      <w:r w:rsidR="00893C79" w:rsidRPr="00395738">
        <w:rPr>
          <w:rFonts w:cs="Times New Roman"/>
          <w:color w:val="000000"/>
          <w:sz w:val="24"/>
          <w:szCs w:val="24"/>
        </w:rPr>
        <w:t xml:space="preserve"> </w:t>
      </w:r>
    </w:p>
    <w:p w14:paraId="3527A68E" w14:textId="59C56DA7" w:rsidR="002E1C62" w:rsidRPr="00395738" w:rsidRDefault="002E1C62" w:rsidP="002E1C62">
      <w:pPr>
        <w:autoSpaceDE w:val="0"/>
        <w:autoSpaceDN w:val="0"/>
        <w:adjustRightInd w:val="0"/>
        <w:spacing w:after="240" w:line="240" w:lineRule="auto"/>
        <w:ind w:left="360"/>
        <w:jc w:val="both"/>
        <w:rPr>
          <w:rFonts w:cs="Times New Roman"/>
          <w:color w:val="000000"/>
          <w:sz w:val="24"/>
          <w:szCs w:val="24"/>
        </w:rPr>
      </w:pPr>
      <w:r w:rsidRPr="00395738">
        <w:rPr>
          <w:rFonts w:cs="Times New Roman"/>
          <w:color w:val="000000"/>
          <w:sz w:val="24"/>
          <w:szCs w:val="24"/>
        </w:rPr>
        <w:t>Korhonen, P.</w:t>
      </w:r>
      <w:r w:rsidR="000C5CA4" w:rsidRPr="00395738">
        <w:rPr>
          <w:rFonts w:cs="Times New Roman"/>
          <w:color w:val="000000"/>
          <w:sz w:val="24"/>
          <w:szCs w:val="24"/>
        </w:rPr>
        <w:t xml:space="preserve"> (2014),</w:t>
      </w:r>
      <w:r w:rsidRPr="00395738">
        <w:rPr>
          <w:rFonts w:cs="Times New Roman"/>
          <w:color w:val="000000"/>
          <w:sz w:val="24"/>
          <w:szCs w:val="24"/>
        </w:rPr>
        <w:t xml:space="preserve"> “</w:t>
      </w:r>
      <w:r w:rsidRPr="00395738">
        <w:rPr>
          <w:rFonts w:cs="Times New Roman"/>
          <w:i/>
          <w:color w:val="000000"/>
          <w:sz w:val="24"/>
          <w:szCs w:val="24"/>
        </w:rPr>
        <w:t>Do macroprudential tools require micro-data?</w:t>
      </w:r>
      <w:r w:rsidRPr="00395738">
        <w:rPr>
          <w:rFonts w:cs="Times New Roman"/>
          <w:color w:val="000000"/>
          <w:sz w:val="24"/>
          <w:szCs w:val="24"/>
        </w:rPr>
        <w:t>”</w:t>
      </w:r>
      <w:r w:rsidR="000C5CA4" w:rsidRPr="00395738">
        <w:rPr>
          <w:rFonts w:cs="Times New Roman"/>
          <w:color w:val="000000"/>
          <w:sz w:val="24"/>
          <w:szCs w:val="24"/>
        </w:rPr>
        <w:t>,</w:t>
      </w:r>
      <w:r w:rsidRPr="00395738">
        <w:rPr>
          <w:rFonts w:cs="Times New Roman"/>
          <w:color w:val="000000"/>
          <w:sz w:val="24"/>
          <w:szCs w:val="24"/>
        </w:rPr>
        <w:t xml:space="preserve"> Bank for International Settlement</w:t>
      </w:r>
      <w:r w:rsidR="00D446CC" w:rsidRPr="00395738">
        <w:rPr>
          <w:rFonts w:cs="Times New Roman"/>
          <w:color w:val="000000"/>
          <w:sz w:val="24"/>
          <w:szCs w:val="24"/>
        </w:rPr>
        <w:t>s</w:t>
      </w:r>
      <w:r w:rsidRPr="00395738">
        <w:rPr>
          <w:rFonts w:cs="Times New Roman"/>
          <w:color w:val="000000"/>
          <w:sz w:val="24"/>
          <w:szCs w:val="24"/>
        </w:rPr>
        <w:t>, IFC Bulletin 37 - Proceedings of the Porto Workshop, 20–22 June 2013, January 2014.</w:t>
      </w:r>
    </w:p>
    <w:p w14:paraId="2A8B2BB7" w14:textId="2CC408B9" w:rsidR="0087441A" w:rsidRPr="00395738" w:rsidRDefault="0087441A" w:rsidP="0087441A">
      <w:pPr>
        <w:autoSpaceDE w:val="0"/>
        <w:autoSpaceDN w:val="0"/>
        <w:adjustRightInd w:val="0"/>
        <w:spacing w:after="240" w:line="240" w:lineRule="auto"/>
        <w:ind w:left="360"/>
        <w:jc w:val="both"/>
        <w:rPr>
          <w:rFonts w:cs="Times New Roman"/>
          <w:color w:val="000000"/>
          <w:sz w:val="24"/>
          <w:szCs w:val="24"/>
        </w:rPr>
      </w:pPr>
      <w:r w:rsidRPr="00395738">
        <w:rPr>
          <w:rFonts w:cs="Times New Roman"/>
          <w:color w:val="000000"/>
          <w:sz w:val="24"/>
          <w:szCs w:val="24"/>
        </w:rPr>
        <w:lastRenderedPageBreak/>
        <w:t xml:space="preserve">Min, B. (2014), </w:t>
      </w:r>
      <w:r w:rsidRPr="00395738">
        <w:rPr>
          <w:rFonts w:cs="Times New Roman"/>
          <w:i/>
          <w:color w:val="000000"/>
          <w:sz w:val="24"/>
          <w:szCs w:val="24"/>
        </w:rPr>
        <w:t>“Use of Consumer Credit Data for Statistical Purposes: Korean Experience”</w:t>
      </w:r>
      <w:r w:rsidRPr="00395738">
        <w:rPr>
          <w:rFonts w:cs="Times New Roman"/>
          <w:color w:val="000000"/>
          <w:sz w:val="24"/>
          <w:szCs w:val="24"/>
        </w:rPr>
        <w:t>,</w:t>
      </w:r>
      <w:r w:rsidR="00974541" w:rsidRPr="00395738">
        <w:rPr>
          <w:rFonts w:cs="Times New Roman"/>
          <w:color w:val="000000"/>
          <w:sz w:val="24"/>
          <w:szCs w:val="24"/>
        </w:rPr>
        <w:t xml:space="preserve"> </w:t>
      </w:r>
      <w:r w:rsidRPr="00395738">
        <w:rPr>
          <w:rFonts w:cs="Times New Roman"/>
          <w:color w:val="000000"/>
          <w:sz w:val="24"/>
          <w:szCs w:val="24"/>
        </w:rPr>
        <w:t>preliminary draft distributed to participants to the IFC Biennial conference</w:t>
      </w:r>
      <w:r w:rsidR="00974541" w:rsidRPr="00395738">
        <w:rPr>
          <w:rFonts w:cs="Times New Roman"/>
          <w:color w:val="000000"/>
          <w:sz w:val="24"/>
          <w:szCs w:val="24"/>
        </w:rPr>
        <w:t xml:space="preserve">, September </w:t>
      </w:r>
      <w:r w:rsidRPr="00395738">
        <w:rPr>
          <w:rFonts w:cs="Times New Roman"/>
          <w:color w:val="000000"/>
          <w:sz w:val="24"/>
          <w:szCs w:val="24"/>
        </w:rPr>
        <w:t>2014</w:t>
      </w:r>
      <w:r w:rsidR="00974541" w:rsidRPr="00395738">
        <w:rPr>
          <w:rFonts w:cs="Times New Roman"/>
          <w:color w:val="000000"/>
          <w:sz w:val="24"/>
          <w:szCs w:val="24"/>
        </w:rPr>
        <w:t>.</w:t>
      </w:r>
    </w:p>
    <w:p w14:paraId="22D8688A" w14:textId="77777777" w:rsidR="007838FA" w:rsidRPr="00395738" w:rsidRDefault="007838FA" w:rsidP="007838FA">
      <w:pPr>
        <w:autoSpaceDE w:val="0"/>
        <w:autoSpaceDN w:val="0"/>
        <w:adjustRightInd w:val="0"/>
        <w:spacing w:after="240" w:line="240" w:lineRule="auto"/>
        <w:ind w:left="360"/>
        <w:jc w:val="both"/>
        <w:rPr>
          <w:rFonts w:cs="Times New Roman"/>
          <w:color w:val="000000"/>
          <w:sz w:val="24"/>
          <w:szCs w:val="24"/>
        </w:rPr>
      </w:pPr>
      <w:r w:rsidRPr="00395738">
        <w:rPr>
          <w:rFonts w:cs="Times New Roman"/>
          <w:color w:val="000000"/>
          <w:sz w:val="24"/>
          <w:szCs w:val="24"/>
        </w:rPr>
        <w:t xml:space="preserve">The World Bank (2011), </w:t>
      </w:r>
      <w:r w:rsidRPr="00395738">
        <w:rPr>
          <w:rFonts w:cs="Times New Roman"/>
          <w:i/>
          <w:color w:val="000000"/>
          <w:sz w:val="24"/>
          <w:szCs w:val="24"/>
        </w:rPr>
        <w:t>“General Principles for Credit Reporting”</w:t>
      </w:r>
      <w:r w:rsidRPr="00395738">
        <w:rPr>
          <w:rFonts w:cs="Times New Roman"/>
          <w:color w:val="000000"/>
          <w:sz w:val="24"/>
          <w:szCs w:val="24"/>
        </w:rPr>
        <w:t>, Washington DC, USA.</w:t>
      </w:r>
    </w:p>
    <w:p w14:paraId="7346263C" w14:textId="581C2CF4" w:rsidR="00D446CC" w:rsidRPr="00395738" w:rsidRDefault="00D446CC" w:rsidP="007838FA">
      <w:pPr>
        <w:autoSpaceDE w:val="0"/>
        <w:autoSpaceDN w:val="0"/>
        <w:adjustRightInd w:val="0"/>
        <w:spacing w:after="240" w:line="240" w:lineRule="auto"/>
        <w:ind w:left="360"/>
        <w:jc w:val="both"/>
        <w:rPr>
          <w:rFonts w:cs="Times New Roman"/>
          <w:color w:val="000000"/>
          <w:sz w:val="24"/>
          <w:szCs w:val="24"/>
        </w:rPr>
      </w:pPr>
      <w:r w:rsidRPr="00395738">
        <w:rPr>
          <w:rFonts w:cs="Times New Roman"/>
          <w:color w:val="000000"/>
          <w:sz w:val="24"/>
          <w:szCs w:val="24"/>
        </w:rPr>
        <w:t xml:space="preserve">Trucharte Artigas, C. (2004), </w:t>
      </w:r>
      <w:r w:rsidRPr="00395738">
        <w:rPr>
          <w:rFonts w:cs="Times New Roman"/>
          <w:i/>
          <w:color w:val="000000"/>
          <w:sz w:val="24"/>
          <w:szCs w:val="24"/>
        </w:rPr>
        <w:t>“A review of Credit Registers and their use for Basel II”,</w:t>
      </w:r>
      <w:r w:rsidRPr="00395738">
        <w:rPr>
          <w:rFonts w:cs="Times New Roman"/>
          <w:color w:val="000000"/>
          <w:sz w:val="24"/>
          <w:szCs w:val="24"/>
        </w:rPr>
        <w:t xml:space="preserve"> Financial Stability Institute, Bank for International Settlements. Available online at: </w:t>
      </w:r>
      <w:hyperlink r:id="rId20" w:history="1">
        <w:r w:rsidRPr="00395738">
          <w:rPr>
            <w:rStyle w:val="Hyperlink"/>
            <w:rFonts w:cs="Times New Roman"/>
            <w:sz w:val="24"/>
            <w:szCs w:val="24"/>
          </w:rPr>
          <w:t>http://www.bis.org/fsi/awp2004.pdf</w:t>
        </w:r>
      </w:hyperlink>
      <w:r w:rsidRPr="00395738">
        <w:rPr>
          <w:rFonts w:cs="Times New Roman"/>
          <w:color w:val="000000"/>
          <w:sz w:val="24"/>
          <w:szCs w:val="24"/>
        </w:rPr>
        <w:t xml:space="preserve"> </w:t>
      </w:r>
    </w:p>
    <w:p w14:paraId="4D2D67EF" w14:textId="77777777" w:rsidR="00DB179A" w:rsidRPr="00395738" w:rsidRDefault="00005141" w:rsidP="00DB179A">
      <w:pPr>
        <w:autoSpaceDE w:val="0"/>
        <w:autoSpaceDN w:val="0"/>
        <w:adjustRightInd w:val="0"/>
        <w:spacing w:after="240" w:line="240" w:lineRule="auto"/>
        <w:ind w:left="360"/>
        <w:jc w:val="both"/>
        <w:rPr>
          <w:rFonts w:cs="Times New Roman"/>
          <w:color w:val="000000"/>
          <w:sz w:val="24"/>
          <w:szCs w:val="24"/>
        </w:rPr>
      </w:pPr>
      <w:r w:rsidRPr="00395738">
        <w:rPr>
          <w:rFonts w:cs="Times New Roman"/>
          <w:color w:val="000000"/>
          <w:sz w:val="24"/>
          <w:szCs w:val="24"/>
        </w:rPr>
        <w:t>V</w:t>
      </w:r>
      <w:r w:rsidR="00DB179A" w:rsidRPr="00395738">
        <w:rPr>
          <w:rFonts w:cs="Times New Roman"/>
          <w:color w:val="000000"/>
          <w:sz w:val="24"/>
          <w:szCs w:val="24"/>
        </w:rPr>
        <w:t>ajanne</w:t>
      </w:r>
      <w:r w:rsidR="00565949" w:rsidRPr="00395738">
        <w:rPr>
          <w:rFonts w:cs="Times New Roman"/>
          <w:color w:val="000000"/>
          <w:sz w:val="24"/>
          <w:szCs w:val="24"/>
        </w:rPr>
        <w:t>, L.</w:t>
      </w:r>
      <w:r w:rsidR="000C5CA4" w:rsidRPr="00395738">
        <w:rPr>
          <w:rFonts w:cs="Times New Roman"/>
          <w:color w:val="000000"/>
          <w:sz w:val="24"/>
          <w:szCs w:val="24"/>
        </w:rPr>
        <w:t xml:space="preserve"> (2013)</w:t>
      </w:r>
      <w:r w:rsidR="00DB179A" w:rsidRPr="00395738">
        <w:rPr>
          <w:rFonts w:cs="Times New Roman"/>
          <w:color w:val="000000"/>
          <w:sz w:val="24"/>
          <w:szCs w:val="24"/>
        </w:rPr>
        <w:t>, “</w:t>
      </w:r>
      <w:r w:rsidR="00DB179A" w:rsidRPr="00395738">
        <w:rPr>
          <w:rFonts w:cs="Times New Roman"/>
          <w:i/>
          <w:color w:val="000000"/>
          <w:sz w:val="24"/>
          <w:szCs w:val="24"/>
        </w:rPr>
        <w:t>The use of central bank databases for macroprudential analysis</w:t>
      </w:r>
      <w:r w:rsidR="00DB179A" w:rsidRPr="00395738">
        <w:rPr>
          <w:rFonts w:cs="Times New Roman"/>
          <w:color w:val="000000"/>
          <w:sz w:val="24"/>
          <w:szCs w:val="24"/>
        </w:rPr>
        <w:t>”</w:t>
      </w:r>
      <w:r w:rsidRPr="00395738">
        <w:rPr>
          <w:rFonts w:cs="Times New Roman"/>
          <w:color w:val="000000"/>
          <w:sz w:val="24"/>
          <w:szCs w:val="24"/>
        </w:rPr>
        <w:t>, Bank for International Settlement, IFC Bulletin 37 - Proceedings of the Porto Workshop, 20–22 June 2013, January 2014.</w:t>
      </w:r>
    </w:p>
    <w:p w14:paraId="00253C75" w14:textId="778F70B4" w:rsidR="004B6AA8" w:rsidRPr="00395738" w:rsidRDefault="002E1C62" w:rsidP="0090278C">
      <w:pPr>
        <w:autoSpaceDE w:val="0"/>
        <w:autoSpaceDN w:val="0"/>
        <w:adjustRightInd w:val="0"/>
        <w:spacing w:after="240" w:line="240" w:lineRule="auto"/>
        <w:ind w:left="360"/>
        <w:jc w:val="both"/>
        <w:rPr>
          <w:rFonts w:cs="Times New Roman"/>
          <w:color w:val="000000"/>
          <w:sz w:val="24"/>
          <w:szCs w:val="24"/>
        </w:rPr>
      </w:pPr>
      <w:r w:rsidRPr="00395738">
        <w:rPr>
          <w:rFonts w:cs="Times New Roman"/>
          <w:color w:val="000000"/>
          <w:sz w:val="24"/>
          <w:szCs w:val="24"/>
        </w:rPr>
        <w:t>Von Kalckreuth, U.</w:t>
      </w:r>
      <w:r w:rsidR="000C5CA4" w:rsidRPr="00395738">
        <w:rPr>
          <w:rFonts w:cs="Times New Roman"/>
          <w:color w:val="000000"/>
          <w:sz w:val="24"/>
          <w:szCs w:val="24"/>
        </w:rPr>
        <w:t xml:space="preserve"> (2013)</w:t>
      </w:r>
      <w:r w:rsidRPr="00395738">
        <w:rPr>
          <w:rFonts w:cs="Times New Roman"/>
          <w:color w:val="000000"/>
          <w:sz w:val="24"/>
          <w:szCs w:val="24"/>
        </w:rPr>
        <w:t>, “</w:t>
      </w:r>
      <w:r w:rsidRPr="00395738">
        <w:rPr>
          <w:rFonts w:cs="Times New Roman"/>
          <w:i/>
          <w:color w:val="000000"/>
          <w:sz w:val="24"/>
          <w:szCs w:val="24"/>
        </w:rPr>
        <w:t>A Research Data and Service Centre (RDSC) at the Deutsche Bundesbank – a draft concept</w:t>
      </w:r>
      <w:r w:rsidRPr="00395738">
        <w:rPr>
          <w:rFonts w:cs="Times New Roman"/>
          <w:color w:val="000000"/>
          <w:sz w:val="24"/>
          <w:szCs w:val="24"/>
        </w:rPr>
        <w:t>”, Bank for International Settlement, IFC Bulletin 37 - Proceedings of the Porto Workshop, 20–22 June 2013, January 2014.</w:t>
      </w:r>
    </w:p>
    <w:sectPr w:rsidR="004B6AA8" w:rsidRPr="00395738" w:rsidSect="00D6538E">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28D98" w14:textId="77777777" w:rsidR="00B21B79" w:rsidRDefault="00B21B79" w:rsidP="00347DAD">
      <w:pPr>
        <w:spacing w:after="0" w:line="240" w:lineRule="auto"/>
      </w:pPr>
      <w:r>
        <w:separator/>
      </w:r>
    </w:p>
  </w:endnote>
  <w:endnote w:type="continuationSeparator" w:id="0">
    <w:p w14:paraId="67B0D00D" w14:textId="77777777" w:rsidR="00B21B79" w:rsidRDefault="00B21B79" w:rsidP="0034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bon">
    <w:altName w:val="Sabon"/>
    <w:panose1 w:val="00000000000000000000"/>
    <w:charset w:val="00"/>
    <w:family w:val="roman"/>
    <w:notTrueType/>
    <w:pitch w:val="default"/>
    <w:sig w:usb0="00000003" w:usb1="00000000" w:usb2="00000000" w:usb3="00000000" w:csb0="00000001" w:csb1="00000000"/>
  </w:font>
  <w:font w:name="GaramondITCbyBT-Ligh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WGL">
    <w:altName w:val="MS Mincho"/>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845592"/>
      <w:docPartObj>
        <w:docPartGallery w:val="Page Numbers (Bottom of Page)"/>
        <w:docPartUnique/>
      </w:docPartObj>
    </w:sdtPr>
    <w:sdtEndPr>
      <w:rPr>
        <w:noProof/>
      </w:rPr>
    </w:sdtEndPr>
    <w:sdtContent>
      <w:p w14:paraId="338E16D1" w14:textId="77777777" w:rsidR="00B21B79" w:rsidRDefault="00B21B79">
        <w:pPr>
          <w:pStyle w:val="Footer"/>
          <w:jc w:val="center"/>
        </w:pPr>
        <w:r>
          <w:fldChar w:fldCharType="begin"/>
        </w:r>
        <w:r>
          <w:instrText xml:space="preserve"> PAGE   \* MERGEFORMAT </w:instrText>
        </w:r>
        <w:r>
          <w:fldChar w:fldCharType="separate"/>
        </w:r>
        <w:r w:rsidR="007234B0">
          <w:rPr>
            <w:noProof/>
          </w:rPr>
          <w:t>53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A8BD0" w14:textId="77777777" w:rsidR="00B21B79" w:rsidRDefault="00B21B79" w:rsidP="00347DAD">
      <w:pPr>
        <w:spacing w:after="0" w:line="240" w:lineRule="auto"/>
      </w:pPr>
      <w:r>
        <w:separator/>
      </w:r>
    </w:p>
  </w:footnote>
  <w:footnote w:type="continuationSeparator" w:id="0">
    <w:p w14:paraId="384B5B5F" w14:textId="77777777" w:rsidR="00B21B79" w:rsidRDefault="00B21B79" w:rsidP="00347DAD">
      <w:pPr>
        <w:spacing w:after="0" w:line="240" w:lineRule="auto"/>
      </w:pPr>
      <w:r>
        <w:continuationSeparator/>
      </w:r>
    </w:p>
  </w:footnote>
  <w:footnote w:id="1">
    <w:p w14:paraId="06400039" w14:textId="0F40B9A5" w:rsidR="00B21B79" w:rsidRPr="00753C46" w:rsidRDefault="00B21B79" w:rsidP="000B757A">
      <w:pPr>
        <w:pStyle w:val="FootnoteText"/>
      </w:pPr>
      <w:r>
        <w:rPr>
          <w:rStyle w:val="FootnoteReference"/>
        </w:rPr>
        <w:footnoteRef/>
      </w:r>
      <w:r>
        <w:t xml:space="preserve"> The World Bank (2011), “</w:t>
      </w:r>
      <w:r w:rsidRPr="00753C46">
        <w:rPr>
          <w:i/>
        </w:rPr>
        <w:t>General Principles for Credit Reporting</w:t>
      </w:r>
      <w:r>
        <w:rPr>
          <w:i/>
        </w:rPr>
        <w:t>”</w:t>
      </w:r>
      <w:r>
        <w:t xml:space="preserve">, Washington DC. </w:t>
      </w:r>
    </w:p>
  </w:footnote>
  <w:footnote w:id="2">
    <w:p w14:paraId="60554167" w14:textId="45C95490" w:rsidR="00B21B79" w:rsidRPr="001731ED" w:rsidRDefault="00B21B79">
      <w:pPr>
        <w:pStyle w:val="FootnoteText"/>
      </w:pPr>
      <w:r>
        <w:rPr>
          <w:rStyle w:val="FootnoteReference"/>
        </w:rPr>
        <w:footnoteRef/>
      </w:r>
      <w:r>
        <w:t xml:space="preserve"> M</w:t>
      </w:r>
      <w:r>
        <w:rPr>
          <w:rFonts w:cs="Times New Roman"/>
          <w:color w:val="000000"/>
        </w:rPr>
        <w:t xml:space="preserve">icro-prudential supervision focuses on </w:t>
      </w:r>
      <w:r w:rsidRPr="001731ED">
        <w:rPr>
          <w:rFonts w:cs="Times New Roman"/>
          <w:color w:val="000000"/>
        </w:rPr>
        <w:t>preserving the soundness of individual banks</w:t>
      </w:r>
      <w:r>
        <w:rPr>
          <w:rFonts w:cs="Times New Roman"/>
          <w:color w:val="000000"/>
        </w:rPr>
        <w:t>,</w:t>
      </w:r>
      <w:r w:rsidRPr="001731ED">
        <w:rPr>
          <w:rFonts w:cs="Times New Roman"/>
          <w:color w:val="000000"/>
        </w:rPr>
        <w:t xml:space="preserve"> </w:t>
      </w:r>
      <w:r>
        <w:rPr>
          <w:rFonts w:cs="Times New Roman"/>
          <w:color w:val="000000"/>
        </w:rPr>
        <w:t>financial conglomerat</w:t>
      </w:r>
      <w:r w:rsidRPr="005373D2">
        <w:rPr>
          <w:rFonts w:cs="Times New Roman"/>
          <w:color w:val="000000"/>
        </w:rPr>
        <w:t xml:space="preserve">es </w:t>
      </w:r>
      <w:r w:rsidRPr="001731ED">
        <w:rPr>
          <w:rFonts w:cs="Times New Roman"/>
          <w:color w:val="000000"/>
        </w:rPr>
        <w:t>and other financial institutions</w:t>
      </w:r>
      <w:r>
        <w:rPr>
          <w:rFonts w:cs="Times New Roman"/>
          <w:color w:val="000000"/>
        </w:rPr>
        <w:t>, while m</w:t>
      </w:r>
      <w:r w:rsidRPr="001731ED">
        <w:rPr>
          <w:rFonts w:cs="Times New Roman"/>
          <w:color w:val="000000"/>
        </w:rPr>
        <w:t xml:space="preserve">acro-prudential </w:t>
      </w:r>
      <w:r>
        <w:rPr>
          <w:rFonts w:cs="Times New Roman"/>
          <w:color w:val="000000"/>
        </w:rPr>
        <w:t xml:space="preserve">supervision is </w:t>
      </w:r>
      <w:r w:rsidRPr="001731ED">
        <w:rPr>
          <w:rFonts w:cs="Times New Roman"/>
          <w:color w:val="000000"/>
        </w:rPr>
        <w:t>concerned with the stability of the financial system as a whole</w:t>
      </w:r>
      <w:r>
        <w:rPr>
          <w:rFonts w:cs="Times New Roman"/>
          <w:color w:val="000000"/>
        </w:rPr>
        <w:t xml:space="preserve">. The two approaches are discussed in further detail throughout this report. </w:t>
      </w:r>
    </w:p>
  </w:footnote>
  <w:footnote w:id="3">
    <w:p w14:paraId="13EADA05" w14:textId="511DD50B" w:rsidR="00B21B79" w:rsidRPr="00C268D6" w:rsidRDefault="00B21B79">
      <w:pPr>
        <w:pStyle w:val="FootnoteText"/>
      </w:pPr>
      <w:r>
        <w:rPr>
          <w:rStyle w:val="FootnoteReference"/>
        </w:rPr>
        <w:footnoteRef/>
      </w:r>
      <w:r>
        <w:t xml:space="preserve"> </w:t>
      </w:r>
      <w:r>
        <w:rPr>
          <w:rFonts w:cs="Arial"/>
          <w:color w:val="000000" w:themeColor="text1"/>
          <w:sz w:val="18"/>
          <w:szCs w:val="18"/>
        </w:rPr>
        <w:t>A</w:t>
      </w:r>
      <w:r w:rsidRPr="00312A61">
        <w:rPr>
          <w:rFonts w:cs="Arial"/>
          <w:color w:val="000000" w:themeColor="text1"/>
          <w:sz w:val="18"/>
          <w:szCs w:val="18"/>
        </w:rPr>
        <w:t xml:space="preserve">dditional details </w:t>
      </w:r>
      <w:r>
        <w:rPr>
          <w:rFonts w:cs="Arial"/>
          <w:color w:val="000000" w:themeColor="text1"/>
          <w:sz w:val="18"/>
          <w:szCs w:val="18"/>
        </w:rPr>
        <w:t xml:space="preserve">are available in </w:t>
      </w:r>
      <w:r w:rsidRPr="00312A61">
        <w:rPr>
          <w:rFonts w:cs="Arial"/>
          <w:color w:val="000000" w:themeColor="text1"/>
          <w:sz w:val="18"/>
          <w:szCs w:val="18"/>
        </w:rPr>
        <w:t>th</w:t>
      </w:r>
      <w:r>
        <w:rPr>
          <w:rFonts w:cs="Arial"/>
          <w:color w:val="000000" w:themeColor="text1"/>
          <w:sz w:val="18"/>
          <w:szCs w:val="18"/>
        </w:rPr>
        <w:t xml:space="preserve">e GPCR </w:t>
      </w:r>
      <w:r w:rsidRPr="00312A61">
        <w:rPr>
          <w:rFonts w:cs="Arial"/>
          <w:color w:val="000000" w:themeColor="text1"/>
          <w:sz w:val="18"/>
          <w:szCs w:val="18"/>
        </w:rPr>
        <w:t>report</w:t>
      </w:r>
      <w:r>
        <w:rPr>
          <w:rFonts w:cs="Arial"/>
          <w:color w:val="000000" w:themeColor="text1"/>
          <w:sz w:val="18"/>
          <w:szCs w:val="18"/>
        </w:rPr>
        <w:t>, including in particular Annex 2 which provides a detailed description of the various models of credit reporting</w:t>
      </w:r>
      <w:r w:rsidRPr="00312A61">
        <w:rPr>
          <w:rFonts w:cs="Arial"/>
          <w:color w:val="000000" w:themeColor="text1"/>
          <w:sz w:val="18"/>
          <w:szCs w:val="18"/>
        </w:rPr>
        <w:t>.</w:t>
      </w:r>
    </w:p>
  </w:footnote>
  <w:footnote w:id="4">
    <w:p w14:paraId="2B951F62" w14:textId="0471CACB" w:rsidR="00B21B79" w:rsidRDefault="00B21B79" w:rsidP="00F5658B">
      <w:pPr>
        <w:pStyle w:val="FootnoteText"/>
      </w:pPr>
      <w:r>
        <w:rPr>
          <w:rStyle w:val="FootnoteReference"/>
        </w:rPr>
        <w:footnoteRef/>
      </w:r>
      <w:r>
        <w:t xml:space="preserve"> Among others, some examples include the central banks of Korea, Mexico, Turkey and the United Kingdom.</w:t>
      </w:r>
    </w:p>
  </w:footnote>
  <w:footnote w:id="5">
    <w:p w14:paraId="3D8FDC13" w14:textId="7541FB18" w:rsidR="00B21B79" w:rsidRPr="005D1393" w:rsidRDefault="00B21B79">
      <w:pPr>
        <w:pStyle w:val="FootnoteText"/>
      </w:pPr>
      <w:r>
        <w:rPr>
          <w:rStyle w:val="FootnoteReference"/>
        </w:rPr>
        <w:footnoteRef/>
      </w:r>
      <w:r>
        <w:t xml:space="preserve"> For example, because of a limited coverage of the credit registry if a minimum reporting threshold exists and has been set at a relatively high level.</w:t>
      </w:r>
    </w:p>
  </w:footnote>
  <w:footnote w:id="6">
    <w:p w14:paraId="0A5355DB" w14:textId="77777777" w:rsidR="00B21B79" w:rsidRPr="00A300E8" w:rsidRDefault="00B21B79" w:rsidP="00CD0C61">
      <w:pPr>
        <w:pStyle w:val="FootnoteText"/>
      </w:pPr>
      <w:r>
        <w:rPr>
          <w:rStyle w:val="FootnoteReference"/>
        </w:rPr>
        <w:footnoteRef/>
      </w:r>
      <w:r>
        <w:t xml:space="preserve"> This report looks primarily at credit reporting service providers, and to a much lesser extent it discusses the role of other credit or credit-related databases that do not have a feedback loop to the data providers (e.g., to lenders).</w:t>
      </w:r>
    </w:p>
  </w:footnote>
  <w:footnote w:id="7">
    <w:p w14:paraId="52F79B01" w14:textId="07048E8E" w:rsidR="00B21B79" w:rsidRPr="00332EE1" w:rsidRDefault="00B21B79">
      <w:pPr>
        <w:pStyle w:val="FootnoteText"/>
      </w:pPr>
      <w:r>
        <w:rPr>
          <w:rStyle w:val="FootnoteReference"/>
        </w:rPr>
        <w:footnoteRef/>
      </w:r>
      <w:r>
        <w:t xml:space="preserve"> </w:t>
      </w:r>
      <w:r w:rsidRPr="00332EE1">
        <w:rPr>
          <w:rFonts w:cs="Times New Roman"/>
          <w:color w:val="000000"/>
        </w:rPr>
        <w:t xml:space="preserve">Box 5 in Chapter IV describes recent work of the Bank of England on </w:t>
      </w:r>
      <w:r>
        <w:rPr>
          <w:rFonts w:cs="Times New Roman"/>
          <w:color w:val="000000"/>
        </w:rPr>
        <w:t xml:space="preserve">ascertaining </w:t>
      </w:r>
      <w:r w:rsidRPr="00332EE1">
        <w:rPr>
          <w:rFonts w:cs="Times New Roman"/>
          <w:color w:val="000000"/>
        </w:rPr>
        <w:t xml:space="preserve">the availability of credit data in the United Kingdom for </w:t>
      </w:r>
      <w:r>
        <w:rPr>
          <w:rFonts w:cs="Times New Roman"/>
          <w:color w:val="000000"/>
        </w:rPr>
        <w:t xml:space="preserve">financial supervision and regulation and </w:t>
      </w:r>
      <w:r w:rsidRPr="00332EE1">
        <w:rPr>
          <w:rFonts w:cs="Times New Roman"/>
          <w:color w:val="000000"/>
        </w:rPr>
        <w:t xml:space="preserve">a </w:t>
      </w:r>
      <w:r>
        <w:rPr>
          <w:rFonts w:cs="Times New Roman"/>
          <w:color w:val="000000"/>
        </w:rPr>
        <w:t xml:space="preserve">number </w:t>
      </w:r>
      <w:r w:rsidRPr="00332EE1">
        <w:rPr>
          <w:rFonts w:cs="Times New Roman"/>
          <w:color w:val="000000"/>
        </w:rPr>
        <w:t xml:space="preserve">of </w:t>
      </w:r>
      <w:r>
        <w:rPr>
          <w:rFonts w:cs="Times New Roman"/>
          <w:color w:val="000000"/>
        </w:rPr>
        <w:t xml:space="preserve">other </w:t>
      </w:r>
      <w:r w:rsidRPr="00332EE1">
        <w:rPr>
          <w:rFonts w:cs="Times New Roman"/>
          <w:color w:val="000000"/>
        </w:rPr>
        <w:t>purposes.</w:t>
      </w:r>
    </w:p>
  </w:footnote>
  <w:footnote w:id="8">
    <w:p w14:paraId="0210477F" w14:textId="77777777" w:rsidR="00B21B79" w:rsidRPr="00D231F7" w:rsidRDefault="00B21B79" w:rsidP="00D231F7">
      <w:pPr>
        <w:pStyle w:val="FootnoteText"/>
      </w:pPr>
      <w:r>
        <w:rPr>
          <w:rStyle w:val="FootnoteReference"/>
        </w:rPr>
        <w:footnoteRef/>
      </w:r>
      <w:r>
        <w:t xml:space="preserve"> Some reporting entities may not be regulated by the central bank or other financial supervisor that operates the CR, although from a broader perspective they would still be considered as regulated. One example is that of some special purpose vehicles that are required to report to CRs. </w:t>
      </w:r>
    </w:p>
  </w:footnote>
  <w:footnote w:id="9">
    <w:p w14:paraId="7D563F9F" w14:textId="77777777" w:rsidR="00B21B79" w:rsidRPr="00761BC8" w:rsidRDefault="00B21B79" w:rsidP="00BA78A2">
      <w:pPr>
        <w:pStyle w:val="FootnoteText"/>
      </w:pPr>
      <w:r>
        <w:rPr>
          <w:rStyle w:val="FootnoteReference"/>
        </w:rPr>
        <w:footnoteRef/>
      </w:r>
      <w:r>
        <w:t xml:space="preserve"> </w:t>
      </w:r>
      <w:r w:rsidRPr="00761BC8">
        <w:rPr>
          <w:rFonts w:cs="Times New Roman"/>
          <w:color w:val="000000"/>
        </w:rPr>
        <w:t xml:space="preserve">For example, </w:t>
      </w:r>
      <w:r>
        <w:rPr>
          <w:rFonts w:cs="Times New Roman"/>
          <w:color w:val="000000"/>
        </w:rPr>
        <w:t>Spain’s central bank (</w:t>
      </w:r>
      <w:r w:rsidRPr="00761BC8">
        <w:rPr>
          <w:rFonts w:cs="Times New Roman"/>
          <w:color w:val="000000"/>
        </w:rPr>
        <w:t>Banco de España</w:t>
      </w:r>
      <w:r>
        <w:rPr>
          <w:rFonts w:cs="Times New Roman"/>
          <w:color w:val="000000"/>
        </w:rPr>
        <w:t>)</w:t>
      </w:r>
      <w:r w:rsidRPr="00761BC8">
        <w:rPr>
          <w:rFonts w:cs="Times New Roman"/>
          <w:color w:val="000000"/>
        </w:rPr>
        <w:t xml:space="preserve"> has a </w:t>
      </w:r>
      <w:r>
        <w:rPr>
          <w:rFonts w:cs="Times New Roman"/>
          <w:color w:val="000000"/>
        </w:rPr>
        <w:t xml:space="preserve">developed a </w:t>
      </w:r>
      <w:r w:rsidRPr="00761BC8">
        <w:rPr>
          <w:rFonts w:cs="Times New Roman"/>
          <w:color w:val="000000"/>
        </w:rPr>
        <w:t xml:space="preserve">stress test tool, so-called FLESB (Forward Looking Exercise on Spanish Banks), that </w:t>
      </w:r>
      <w:r>
        <w:rPr>
          <w:rFonts w:cs="Times New Roman"/>
          <w:color w:val="000000"/>
        </w:rPr>
        <w:t>exploits t</w:t>
      </w:r>
      <w:r w:rsidRPr="00761BC8">
        <w:rPr>
          <w:rFonts w:cs="Times New Roman"/>
          <w:color w:val="000000"/>
        </w:rPr>
        <w:t xml:space="preserve">he very granular information contained in its CR. FLESB is able to develop different </w:t>
      </w:r>
      <w:r>
        <w:rPr>
          <w:rFonts w:cs="Times New Roman"/>
          <w:color w:val="000000"/>
        </w:rPr>
        <w:t>probability of default (</w:t>
      </w:r>
      <w:r w:rsidRPr="00761BC8">
        <w:rPr>
          <w:rFonts w:cs="Times New Roman"/>
          <w:color w:val="000000"/>
        </w:rPr>
        <w:t>PD</w:t>
      </w:r>
      <w:r>
        <w:rPr>
          <w:rFonts w:cs="Times New Roman"/>
          <w:color w:val="000000"/>
        </w:rPr>
        <w:t>)</w:t>
      </w:r>
      <w:r w:rsidRPr="00761BC8">
        <w:rPr>
          <w:rFonts w:cs="Times New Roman"/>
          <w:color w:val="000000"/>
        </w:rPr>
        <w:t xml:space="preserve"> models for homogeneous credit portfolios (i.e. consumer loans, mortgages, loans to SMEs, corporate loans and construction and real estate developer loans), as well as cure rates, credit conversion factors (CCFs) and to understand better loss given default (LGD) and loss given loss (LGL).</w:t>
      </w:r>
    </w:p>
  </w:footnote>
  <w:footnote w:id="10">
    <w:p w14:paraId="4593918D" w14:textId="26862557" w:rsidR="00B21B79" w:rsidRPr="00F063DF" w:rsidRDefault="00B21B79" w:rsidP="00B92674">
      <w:pPr>
        <w:pStyle w:val="FootnoteText"/>
      </w:pPr>
      <w:r>
        <w:rPr>
          <w:rStyle w:val="FootnoteReference"/>
        </w:rPr>
        <w:footnoteRef/>
      </w:r>
      <w:r>
        <w:t xml:space="preserve"> For example, in some countries the CR provides consolidated data on the borrower (i.e. at the system level), and/or a rating of the borrower based on the worst position of such borrower in the system. </w:t>
      </w:r>
    </w:p>
  </w:footnote>
  <w:footnote w:id="11">
    <w:p w14:paraId="15775044" w14:textId="39FA99ED" w:rsidR="00B21B79" w:rsidRPr="00105778" w:rsidRDefault="00B21B79" w:rsidP="00187FB5">
      <w:pPr>
        <w:pStyle w:val="FootnoteText"/>
      </w:pPr>
      <w:r>
        <w:rPr>
          <w:rStyle w:val="FootnoteReference"/>
        </w:rPr>
        <w:footnoteRef/>
      </w:r>
      <w:r>
        <w:t xml:space="preserve"> For example, s</w:t>
      </w:r>
      <w:r w:rsidRPr="00105778">
        <w:rPr>
          <w:rFonts w:cs="Times New Roman"/>
          <w:color w:val="000000"/>
        </w:rPr>
        <w:t xml:space="preserve">ome central banks </w:t>
      </w:r>
      <w:r>
        <w:rPr>
          <w:rFonts w:cs="Times New Roman"/>
          <w:color w:val="000000"/>
        </w:rPr>
        <w:t xml:space="preserve">and other supervisors </w:t>
      </w:r>
      <w:r w:rsidRPr="00105778">
        <w:rPr>
          <w:rFonts w:cs="Times New Roman"/>
          <w:color w:val="000000"/>
        </w:rPr>
        <w:t xml:space="preserve">have developed a loan-by loan database with a </w:t>
      </w:r>
      <w:r>
        <w:rPr>
          <w:rFonts w:cs="Times New Roman"/>
          <w:color w:val="000000"/>
        </w:rPr>
        <w:t xml:space="preserve">large </w:t>
      </w:r>
      <w:r w:rsidRPr="00105778">
        <w:rPr>
          <w:rFonts w:cs="Times New Roman"/>
          <w:color w:val="000000"/>
        </w:rPr>
        <w:t>number of attributes that allows supervisors to follow the whole life cycle of each single credit transaction.</w:t>
      </w:r>
    </w:p>
  </w:footnote>
  <w:footnote w:id="12">
    <w:p w14:paraId="4556A22F" w14:textId="127B9FB0" w:rsidR="00B21B79" w:rsidRPr="00B06009" w:rsidRDefault="00B21B79">
      <w:pPr>
        <w:pStyle w:val="FootnoteText"/>
      </w:pPr>
      <w:r>
        <w:rPr>
          <w:rStyle w:val="FootnoteReference"/>
        </w:rPr>
        <w:footnoteRef/>
      </w:r>
      <w:r>
        <w:t xml:space="preserve"> “Bad cheque” databases frequently also include bills of exchange and promissory notes</w:t>
      </w:r>
      <w:r w:rsidRPr="00B06009">
        <w:t xml:space="preserve">. </w:t>
      </w:r>
      <w:r>
        <w:t>Moreover, i</w:t>
      </w:r>
      <w:r w:rsidRPr="00B06009">
        <w:rPr>
          <w:rFonts w:cs="Times New Roman"/>
          <w:color w:val="000000"/>
        </w:rPr>
        <w:t xml:space="preserve">n some countries </w:t>
      </w:r>
      <w:r>
        <w:rPr>
          <w:rFonts w:cs="Times New Roman"/>
          <w:color w:val="000000"/>
        </w:rPr>
        <w:t xml:space="preserve">these </w:t>
      </w:r>
      <w:r w:rsidRPr="00B06009">
        <w:rPr>
          <w:rFonts w:cs="Times New Roman"/>
          <w:color w:val="000000"/>
        </w:rPr>
        <w:t>dat</w:t>
      </w:r>
      <w:r>
        <w:rPr>
          <w:rFonts w:cs="Times New Roman"/>
          <w:color w:val="000000"/>
        </w:rPr>
        <w:t>a</w:t>
      </w:r>
      <w:r w:rsidRPr="00B06009">
        <w:rPr>
          <w:rFonts w:cs="Times New Roman"/>
          <w:color w:val="000000"/>
        </w:rPr>
        <w:t>bases are developed by the private sector and operate as a type of specialized credit-related risk-management database used by those who accept che</w:t>
      </w:r>
      <w:r>
        <w:rPr>
          <w:rFonts w:cs="Times New Roman"/>
          <w:color w:val="000000"/>
        </w:rPr>
        <w:t>ques</w:t>
      </w:r>
      <w:r w:rsidRPr="00B06009">
        <w:rPr>
          <w:rFonts w:cs="Times New Roman"/>
          <w:color w:val="000000"/>
        </w:rPr>
        <w:t xml:space="preserve"> in the marketplace</w:t>
      </w:r>
      <w:r>
        <w:rPr>
          <w:rFonts w:cs="Times New Roman"/>
          <w:color w:val="000000"/>
        </w:rPr>
        <w:t>,</w:t>
      </w:r>
      <w:r w:rsidRPr="00B06009">
        <w:rPr>
          <w:rFonts w:cs="Times New Roman"/>
          <w:color w:val="000000"/>
        </w:rPr>
        <w:t xml:space="preserve"> and also by banks when evaluating a consumer’s application for a deposit account</w:t>
      </w:r>
      <w:r>
        <w:rPr>
          <w:rFonts w:cs="Times New Roman"/>
          <w:color w:val="000000"/>
        </w:rPr>
        <w:t>.</w:t>
      </w:r>
    </w:p>
  </w:footnote>
  <w:footnote w:id="13">
    <w:p w14:paraId="76842D01" w14:textId="77777777" w:rsidR="00B21B79" w:rsidRPr="000F6509" w:rsidRDefault="00B21B79" w:rsidP="008B5372">
      <w:pPr>
        <w:pStyle w:val="FootnoteText"/>
      </w:pPr>
      <w:r>
        <w:rPr>
          <w:rStyle w:val="FootnoteReference"/>
        </w:rPr>
        <w:footnoteRef/>
      </w:r>
      <w:r>
        <w:t xml:space="preserve"> Some of these other databases may have a feedback loop to data providers.</w:t>
      </w:r>
    </w:p>
  </w:footnote>
  <w:footnote w:id="14">
    <w:p w14:paraId="163DD07B" w14:textId="77777777" w:rsidR="00B21B79" w:rsidRPr="00BF286D" w:rsidRDefault="00B21B79" w:rsidP="00413166">
      <w:pPr>
        <w:pStyle w:val="FootnoteText"/>
      </w:pPr>
      <w:r>
        <w:rPr>
          <w:rStyle w:val="FootnoteReference"/>
        </w:rPr>
        <w:footnoteRef/>
      </w:r>
      <w:r>
        <w:t xml:space="preserve"> The next section of this chapter introduces the distinction between micro- and macro-prudential supervision. </w:t>
      </w:r>
    </w:p>
  </w:footnote>
  <w:footnote w:id="15">
    <w:p w14:paraId="5AE16D6D" w14:textId="358E44F2" w:rsidR="00B21B79" w:rsidRPr="00BD2E92" w:rsidRDefault="00B21B79" w:rsidP="008D050A">
      <w:pPr>
        <w:spacing w:after="0" w:line="240" w:lineRule="auto"/>
        <w:jc w:val="both"/>
        <w:rPr>
          <w:rFonts w:cs="Arial"/>
          <w:sz w:val="20"/>
          <w:szCs w:val="20"/>
        </w:rPr>
      </w:pPr>
      <w:r>
        <w:rPr>
          <w:rStyle w:val="FootnoteReference"/>
        </w:rPr>
        <w:footnoteRef/>
      </w:r>
      <w:r>
        <w:t xml:space="preserve"> </w:t>
      </w:r>
      <w:r>
        <w:rPr>
          <w:rFonts w:cs="Arial"/>
          <w:sz w:val="20"/>
          <w:szCs w:val="20"/>
        </w:rPr>
        <w:t>”Positive data” is defined in the GPCRs as “</w:t>
      </w:r>
      <w:r w:rsidRPr="00BD2E92">
        <w:rPr>
          <w:rFonts w:eastAsia="Arial Unicode MS" w:cs="Arial"/>
          <w:bCs/>
          <w:i/>
          <w:sz w:val="20"/>
          <w:szCs w:val="20"/>
        </w:rPr>
        <w:t>Information that covers facts of contractually compliant behavior. It includes detailed statements about outstanding credit, amount of loans, repayment patterns, assets and liabilities, as well as guarantees and/or collateral...</w:t>
      </w:r>
      <w:r>
        <w:rPr>
          <w:rFonts w:eastAsia="Arial Unicode MS" w:cs="Arial"/>
          <w:bCs/>
          <w:sz w:val="20"/>
          <w:szCs w:val="20"/>
        </w:rPr>
        <w:t xml:space="preserve">” Principle 1 of the GPCRs supports so-called full-file credit reporting, i.e. collecting both positive as well as negative data. For additional details see The World Bank (2011). </w:t>
      </w:r>
    </w:p>
  </w:footnote>
  <w:footnote w:id="16">
    <w:p w14:paraId="7BFFC170" w14:textId="77777777" w:rsidR="00B21B79" w:rsidRPr="00413166" w:rsidRDefault="00B21B79" w:rsidP="00624A59">
      <w:pPr>
        <w:pStyle w:val="FootnoteText"/>
      </w:pPr>
      <w:r>
        <w:rPr>
          <w:rStyle w:val="FootnoteReference"/>
        </w:rPr>
        <w:footnoteRef/>
      </w:r>
      <w:r w:rsidRPr="000E65B0">
        <w:t xml:space="preserve"> </w:t>
      </w:r>
      <w:r w:rsidRPr="00413166">
        <w:rPr>
          <w:rFonts w:cstheme="minorHAnsi"/>
        </w:rPr>
        <w:t>CBs and CCRCs in Mexico must retain the information on payment behavior for at least 72 months.</w:t>
      </w:r>
    </w:p>
  </w:footnote>
  <w:footnote w:id="17">
    <w:p w14:paraId="0ABA67A6" w14:textId="77777777" w:rsidR="00B21B79" w:rsidRPr="007838FA" w:rsidRDefault="00B21B79" w:rsidP="00624A59">
      <w:pPr>
        <w:pStyle w:val="FootnoteText"/>
      </w:pPr>
      <w:r>
        <w:rPr>
          <w:rStyle w:val="FootnoteReference"/>
        </w:rPr>
        <w:footnoteRef/>
      </w:r>
      <w:r w:rsidRPr="00553928">
        <w:t xml:space="preserve"> </w:t>
      </w:r>
      <w:r w:rsidRPr="007838FA">
        <w:rPr>
          <w:rFonts w:cstheme="minorHAnsi"/>
        </w:rPr>
        <w:t>This methodology was developed in 2011 and became effective in July 2013.</w:t>
      </w:r>
    </w:p>
  </w:footnote>
  <w:footnote w:id="18">
    <w:p w14:paraId="2C26FC9C" w14:textId="255CC854" w:rsidR="00B21B79" w:rsidRPr="007838FA" w:rsidRDefault="00B21B79" w:rsidP="00624A59">
      <w:pPr>
        <w:pStyle w:val="FootnoteText"/>
      </w:pPr>
      <w:r>
        <w:rPr>
          <w:rStyle w:val="FootnoteReference"/>
        </w:rPr>
        <w:footnoteRef/>
      </w:r>
      <w:r w:rsidRPr="007C7170">
        <w:t xml:space="preserve"> </w:t>
      </w:r>
      <w:r>
        <w:t>More specifically w</w:t>
      </w:r>
      <w:r w:rsidRPr="007838FA">
        <w:rPr>
          <w:rFonts w:cstheme="minorHAnsi"/>
        </w:rPr>
        <w:t>ith the National Institute of the Fund for the Provision of Housing for Workers (INFONAVIT), which is the main provider of mortgage loans in Mexico. Currently</w:t>
      </w:r>
      <w:r>
        <w:rPr>
          <w:rFonts w:cstheme="minorHAnsi"/>
        </w:rPr>
        <w:t>,</w:t>
      </w:r>
      <w:r w:rsidRPr="007838FA">
        <w:rPr>
          <w:rFonts w:cstheme="minorHAnsi"/>
        </w:rPr>
        <w:t xml:space="preserve"> INFONAVIT has more than 5 million mortgage loans outstanding. </w:t>
      </w:r>
    </w:p>
  </w:footnote>
  <w:footnote w:id="19">
    <w:p w14:paraId="063AE7E9" w14:textId="77777777" w:rsidR="00B21B79" w:rsidRPr="003F5C5B" w:rsidRDefault="00B21B79" w:rsidP="000932E3">
      <w:pPr>
        <w:pStyle w:val="FootnoteText"/>
      </w:pPr>
      <w:r>
        <w:rPr>
          <w:rStyle w:val="FootnoteReference"/>
        </w:rPr>
        <w:footnoteRef/>
      </w:r>
      <w:r>
        <w:t xml:space="preserve"> For full details see FSB and IMF (2009).</w:t>
      </w:r>
    </w:p>
  </w:footnote>
  <w:footnote w:id="20">
    <w:p w14:paraId="77D96310" w14:textId="0AA7EB9E" w:rsidR="00B21B79" w:rsidRPr="002E06A4" w:rsidRDefault="00B21B79" w:rsidP="007008AF">
      <w:pPr>
        <w:pStyle w:val="FootnoteText"/>
      </w:pPr>
      <w:r>
        <w:rPr>
          <w:rStyle w:val="FootnoteReference"/>
        </w:rPr>
        <w:footnoteRef/>
      </w:r>
      <w:r>
        <w:t xml:space="preserve"> </w:t>
      </w:r>
      <w:r w:rsidRPr="002E06A4">
        <w:rPr>
          <w:rFonts w:cs="Times New Roman"/>
          <w:color w:val="000000"/>
        </w:rPr>
        <w:t>When asset prices go up, indicators such as leverage ratios tend to decrease; also, market volatility is typically muted and risk</w:t>
      </w:r>
      <w:r>
        <w:rPr>
          <w:rFonts w:cs="Times New Roman"/>
          <w:color w:val="000000"/>
        </w:rPr>
        <w:t>s</w:t>
      </w:r>
      <w:r w:rsidRPr="002E06A4">
        <w:rPr>
          <w:rFonts w:cs="Times New Roman"/>
          <w:color w:val="000000"/>
        </w:rPr>
        <w:t xml:space="preserve"> tend to be underpriced.</w:t>
      </w:r>
    </w:p>
  </w:footnote>
  <w:footnote w:id="21">
    <w:p w14:paraId="69BA4423" w14:textId="77777777" w:rsidR="00B21B79" w:rsidRPr="009A74E1" w:rsidRDefault="00B21B79">
      <w:pPr>
        <w:pStyle w:val="FootnoteText"/>
      </w:pPr>
      <w:r>
        <w:rPr>
          <w:rStyle w:val="FootnoteReference"/>
        </w:rPr>
        <w:footnoteRef/>
      </w:r>
      <w:r>
        <w:t xml:space="preserve"> Secrecy provisions generally do not affect data flows intended for supervision purposes, but they do affect the flow of data to third parties, including CBs and CCRCs.</w:t>
      </w:r>
    </w:p>
  </w:footnote>
  <w:footnote w:id="22">
    <w:p w14:paraId="29D4DF23" w14:textId="77777777" w:rsidR="00B21B79" w:rsidRPr="00A86279" w:rsidRDefault="00B21B79">
      <w:pPr>
        <w:pStyle w:val="FootnoteText"/>
      </w:pPr>
      <w:r>
        <w:rPr>
          <w:rStyle w:val="FootnoteReference"/>
        </w:rPr>
        <w:footnoteRef/>
      </w:r>
      <w:r>
        <w:t xml:space="preserve"> Many of the features of such a model or regime are prescribed in international regulatory and policy standards (i.e. principles, standards, recommendations and other forms of guidance). Especially relevant to banking regulation and supervision are the standards produced by the Basel Committee on Banking Supervision (BCBS), as well as those of the Financial Stability Board (FSB).</w:t>
      </w:r>
    </w:p>
  </w:footnote>
  <w:footnote w:id="23">
    <w:p w14:paraId="6681152F" w14:textId="77777777" w:rsidR="00B21B79" w:rsidRPr="00F37C68" w:rsidRDefault="00B21B79" w:rsidP="00F37C68">
      <w:pPr>
        <w:pStyle w:val="CommentText"/>
        <w:spacing w:after="0"/>
      </w:pPr>
      <w:r>
        <w:rPr>
          <w:rStyle w:val="FootnoteReference"/>
        </w:rPr>
        <w:footnoteRef/>
      </w:r>
      <w:r>
        <w:t xml:space="preserve"> In addition to this “financial cycle” dimension of systemic risk, there is also the “interconnectedness” dimension.</w:t>
      </w:r>
    </w:p>
  </w:footnote>
  <w:footnote w:id="24">
    <w:p w14:paraId="60F488ED" w14:textId="7324B03E" w:rsidR="00B21B79" w:rsidRPr="00701AC1" w:rsidRDefault="00B21B79" w:rsidP="00C925FC">
      <w:pPr>
        <w:pStyle w:val="FootnoteText"/>
      </w:pPr>
      <w:r>
        <w:rPr>
          <w:rStyle w:val="FootnoteReference"/>
        </w:rPr>
        <w:footnoteRef/>
      </w:r>
      <w:r>
        <w:t xml:space="preserve"> This project, known as </w:t>
      </w:r>
      <w:r w:rsidRPr="00701AC1">
        <w:rPr>
          <w:rFonts w:cs="Times New Roman"/>
          <w:color w:val="000000"/>
        </w:rPr>
        <w:t xml:space="preserve">AnaCredit, </w:t>
      </w:r>
      <w:r>
        <w:rPr>
          <w:rFonts w:cs="Times New Roman"/>
          <w:color w:val="000000"/>
        </w:rPr>
        <w:t>is described in some detail in Annex 2 of this report.</w:t>
      </w:r>
      <w:r w:rsidRPr="00701AC1">
        <w:t xml:space="preserve"> </w:t>
      </w:r>
    </w:p>
  </w:footnote>
  <w:footnote w:id="25">
    <w:p w14:paraId="00E62602" w14:textId="5F5C753E" w:rsidR="00B21B79" w:rsidRPr="008C6C26" w:rsidRDefault="00B21B79">
      <w:pPr>
        <w:pStyle w:val="FootnoteText"/>
      </w:pPr>
      <w:r>
        <w:rPr>
          <w:rStyle w:val="FootnoteReference"/>
        </w:rPr>
        <w:footnoteRef/>
      </w:r>
      <w:r>
        <w:t xml:space="preserve"> For details see: </w:t>
      </w:r>
      <w:hyperlink r:id="rId1" w:history="1">
        <w:r w:rsidRPr="00A27A82">
          <w:rPr>
            <w:rStyle w:val="Hyperlink"/>
          </w:rPr>
          <w:t>http://www.eba.europa.eu/regulation-and-policy/supervisory-reporting</w:t>
        </w:r>
      </w:hyperlink>
      <w:r>
        <w:t xml:space="preserve"> </w:t>
      </w:r>
    </w:p>
  </w:footnote>
  <w:footnote w:id="26">
    <w:p w14:paraId="5A1BDCA9" w14:textId="77777777" w:rsidR="00B21B79" w:rsidRPr="00B8704A" w:rsidRDefault="00B21B79" w:rsidP="00F30B04">
      <w:pPr>
        <w:autoSpaceDE w:val="0"/>
        <w:autoSpaceDN w:val="0"/>
        <w:adjustRightInd w:val="0"/>
        <w:spacing w:after="0" w:line="240" w:lineRule="auto"/>
        <w:rPr>
          <w:sz w:val="20"/>
          <w:szCs w:val="20"/>
        </w:rPr>
      </w:pPr>
      <w:r>
        <w:rPr>
          <w:rStyle w:val="FootnoteReference"/>
        </w:rPr>
        <w:footnoteRef/>
      </w:r>
      <w:r>
        <w:t xml:space="preserve"> </w:t>
      </w:r>
      <w:r w:rsidRPr="00B8704A">
        <w:rPr>
          <w:rFonts w:eastAsiaTheme="minorHAnsi" w:cs="TimesNewRomanWGL"/>
          <w:sz w:val="20"/>
          <w:szCs w:val="20"/>
        </w:rPr>
        <w:t>The key difference between MFI data and supervisory consolidated data relates to the reporting population and the geographical consolidation scope. For MFI data, the reporting population consists of MFIs resident in each Member State – no consolidation is performed for cross-border subsidiaries or non-bank subsidiaries.</w:t>
      </w:r>
    </w:p>
  </w:footnote>
  <w:footnote w:id="27">
    <w:p w14:paraId="79ED1423" w14:textId="77777777" w:rsidR="00B21B79" w:rsidRPr="00F30B04" w:rsidRDefault="00B21B79">
      <w:pPr>
        <w:pStyle w:val="FootnoteText"/>
      </w:pPr>
      <w:r>
        <w:rPr>
          <w:rStyle w:val="FootnoteReference"/>
        </w:rPr>
        <w:footnoteRef/>
      </w:r>
      <w:r>
        <w:t xml:space="preserve"> </w:t>
      </w:r>
      <w:r>
        <w:rPr>
          <w:rFonts w:cs="Times New Roman"/>
          <w:color w:val="000000"/>
        </w:rPr>
        <w:t>T</w:t>
      </w:r>
      <w:r w:rsidRPr="00F30B04">
        <w:rPr>
          <w:rFonts w:cs="Times New Roman"/>
          <w:color w:val="000000"/>
        </w:rPr>
        <w:t>o facilitate, for example, stress testing</w:t>
      </w:r>
      <w:r>
        <w:rPr>
          <w:rFonts w:cs="Times New Roman"/>
          <w:color w:val="000000"/>
        </w:rPr>
        <w:t>.</w:t>
      </w:r>
    </w:p>
  </w:footnote>
  <w:footnote w:id="28">
    <w:p w14:paraId="172A78BB" w14:textId="77777777" w:rsidR="00B21B79" w:rsidRPr="002F5F16" w:rsidRDefault="00B21B79">
      <w:pPr>
        <w:pStyle w:val="FootnoteText"/>
      </w:pPr>
      <w:r>
        <w:rPr>
          <w:rStyle w:val="FootnoteReference"/>
        </w:rPr>
        <w:footnoteRef/>
      </w:r>
      <w:r>
        <w:t xml:space="preserve"> Such as, for example, the analysis of banks’ periodic (e.g. monthly) reports to supervisors.</w:t>
      </w:r>
    </w:p>
  </w:footnote>
  <w:footnote w:id="29">
    <w:p w14:paraId="536654B5" w14:textId="77777777" w:rsidR="00B21B79" w:rsidRPr="0012577D" w:rsidRDefault="00B21B79">
      <w:pPr>
        <w:pStyle w:val="FootnoteText"/>
      </w:pPr>
      <w:r>
        <w:rPr>
          <w:rStyle w:val="FootnoteReference"/>
        </w:rPr>
        <w:footnoteRef/>
      </w:r>
      <w:r>
        <w:t xml:space="preserve"> </w:t>
      </w:r>
      <w:r w:rsidRPr="00242501">
        <w:rPr>
          <w:rFonts w:cs="Times New Roman"/>
          <w:color w:val="000000"/>
        </w:rPr>
        <w:t xml:space="preserve">Subsequent work on the framework for systemically important banks (both global and domestic) has further expanded the </w:t>
      </w:r>
      <w:r>
        <w:rPr>
          <w:rFonts w:cs="Times New Roman"/>
          <w:color w:val="000000"/>
        </w:rPr>
        <w:t xml:space="preserve">BCBS’s </w:t>
      </w:r>
      <w:r w:rsidRPr="00242501">
        <w:rPr>
          <w:rFonts w:cs="Times New Roman"/>
          <w:color w:val="000000"/>
        </w:rPr>
        <w:t>input into th</w:t>
      </w:r>
      <w:r>
        <w:rPr>
          <w:rFonts w:cs="Times New Roman"/>
          <w:color w:val="000000"/>
        </w:rPr>
        <w:t>e macro-prudential field.</w:t>
      </w:r>
    </w:p>
  </w:footnote>
  <w:footnote w:id="30">
    <w:p w14:paraId="17CC7521" w14:textId="77777777" w:rsidR="00B21B79" w:rsidRPr="00EE6A2A" w:rsidRDefault="00B21B79">
      <w:pPr>
        <w:pStyle w:val="FootnoteText"/>
      </w:pPr>
      <w:r>
        <w:rPr>
          <w:rStyle w:val="FootnoteReference"/>
        </w:rPr>
        <w:footnoteRef/>
      </w:r>
      <w:r>
        <w:t xml:space="preserve"> </w:t>
      </w:r>
      <w:r>
        <w:rPr>
          <w:rFonts w:cs="Segoe UI"/>
          <w:lang w:val="en"/>
        </w:rPr>
        <w:t xml:space="preserve">Keynote </w:t>
      </w:r>
      <w:r w:rsidRPr="00EE6A2A">
        <w:rPr>
          <w:rFonts w:cs="Segoe UI"/>
          <w:lang w:val="en"/>
        </w:rPr>
        <w:t xml:space="preserve">address by </w:t>
      </w:r>
      <w:hyperlink r:id="rId2" w:tooltip="Mr Stefan Ingves, Governor, Sveriges Riksbank" w:history="1">
        <w:r w:rsidRPr="00EE6A2A">
          <w:rPr>
            <w:rFonts w:cs="Segoe UI"/>
            <w:lang w:val="en"/>
          </w:rPr>
          <w:t>Stefan Ingves</w:t>
        </w:r>
      </w:hyperlink>
      <w:r w:rsidRPr="00EE6A2A">
        <w:rPr>
          <w:rFonts w:cs="Segoe UI"/>
          <w:lang w:val="en"/>
        </w:rPr>
        <w:t>, Chairman of the B</w:t>
      </w:r>
      <w:r>
        <w:rPr>
          <w:rFonts w:cs="Segoe UI"/>
          <w:lang w:val="en"/>
        </w:rPr>
        <w:t>CBS</w:t>
      </w:r>
      <w:r w:rsidRPr="00EE6A2A">
        <w:rPr>
          <w:rFonts w:cs="Segoe UI"/>
          <w:lang w:val="en"/>
        </w:rPr>
        <w:t xml:space="preserve"> and Governor of Sveriges Riksbank, at a symposium to mark 25 years of the Basel Capital Accord "25 years of international financial regulation: Challenges and opportunities", Basel, 26 September 2013. </w:t>
      </w:r>
      <w:r>
        <w:rPr>
          <w:rFonts w:cs="Segoe UI"/>
          <w:lang w:val="en"/>
        </w:rPr>
        <w:t>Full speech is a</w:t>
      </w:r>
      <w:r w:rsidRPr="00EE6A2A">
        <w:rPr>
          <w:rFonts w:cs="Segoe UI"/>
          <w:lang w:val="en"/>
        </w:rPr>
        <w:t xml:space="preserve">vailable at </w:t>
      </w:r>
      <w:hyperlink r:id="rId3" w:history="1">
        <w:r w:rsidRPr="00EE6A2A">
          <w:rPr>
            <w:rStyle w:val="Hyperlink"/>
            <w:rFonts w:cs="Segoe UI"/>
            <w:lang w:val="en"/>
          </w:rPr>
          <w:t>http://www.bis.org/speeches/sp130926.htm</w:t>
        </w:r>
      </w:hyperlink>
      <w:r w:rsidRPr="00EE6A2A">
        <w:rPr>
          <w:rFonts w:cs="Segoe UI"/>
          <w:color w:val="372F32"/>
          <w:lang w:val="en"/>
        </w:rPr>
        <w:t xml:space="preserve"> </w:t>
      </w:r>
    </w:p>
  </w:footnote>
  <w:footnote w:id="31">
    <w:p w14:paraId="19B63082" w14:textId="77777777" w:rsidR="00B21B79" w:rsidRPr="005F5889" w:rsidRDefault="00B21B79">
      <w:pPr>
        <w:pStyle w:val="FootnoteText"/>
      </w:pPr>
      <w:r>
        <w:rPr>
          <w:rStyle w:val="FootnoteReference"/>
        </w:rPr>
        <w:footnoteRef/>
      </w:r>
      <w:r w:rsidRPr="005F5889">
        <w:t xml:space="preserve"> </w:t>
      </w:r>
      <w:r w:rsidRPr="005F5889">
        <w:rPr>
          <w:rFonts w:cs="Times New Roman"/>
          <w:color w:val="000000"/>
        </w:rPr>
        <w:t xml:space="preserve">Apart from supervisory activities, other pillars of this model include: i) effective and </w:t>
      </w:r>
      <w:r>
        <w:rPr>
          <w:rFonts w:cs="Times New Roman"/>
          <w:color w:val="000000"/>
        </w:rPr>
        <w:t xml:space="preserve">prudent </w:t>
      </w:r>
      <w:r w:rsidRPr="005F5889">
        <w:rPr>
          <w:rFonts w:cs="Times New Roman"/>
          <w:color w:val="000000"/>
        </w:rPr>
        <w:t>regulation</w:t>
      </w:r>
      <w:r>
        <w:rPr>
          <w:rFonts w:cs="Times New Roman"/>
          <w:color w:val="000000"/>
        </w:rPr>
        <w:t>s</w:t>
      </w:r>
      <w:r w:rsidRPr="005F5889">
        <w:rPr>
          <w:rFonts w:cs="Times New Roman"/>
          <w:color w:val="000000"/>
        </w:rPr>
        <w:t xml:space="preserve">; ii) corrective measures, including supervisory recommendations and orders, </w:t>
      </w:r>
      <w:r>
        <w:rPr>
          <w:rFonts w:cs="Times New Roman"/>
          <w:color w:val="000000"/>
        </w:rPr>
        <w:t xml:space="preserve">restructuring plans, intervention of institutions, removal of management; iii) a disciplinary and sanctioning regime affecting both the supervised entities as a whole as well as their managers, individually or collectively. </w:t>
      </w:r>
    </w:p>
  </w:footnote>
  <w:footnote w:id="32">
    <w:p w14:paraId="7D6FA392" w14:textId="0F3B6537" w:rsidR="00B21B79" w:rsidRPr="00374959" w:rsidRDefault="00B21B79">
      <w:pPr>
        <w:pStyle w:val="FootnoteText"/>
      </w:pPr>
      <w:r>
        <w:rPr>
          <w:rStyle w:val="FootnoteReference"/>
        </w:rPr>
        <w:footnoteRef/>
      </w:r>
      <w:r>
        <w:t xml:space="preserve"> </w:t>
      </w:r>
      <w:r w:rsidRPr="00374959">
        <w:t xml:space="preserve">As mentioned in section </w:t>
      </w:r>
      <w:r>
        <w:t>III</w:t>
      </w:r>
      <w:r w:rsidRPr="00374959">
        <w:t xml:space="preserve">.1, </w:t>
      </w:r>
      <w:r>
        <w:t>i</w:t>
      </w:r>
      <w:r w:rsidRPr="00374959">
        <w:rPr>
          <w:rFonts w:cs="Times New Roman"/>
          <w:color w:val="000000"/>
        </w:rPr>
        <w:t>n a modern financial regulatory and supervisory regime the ultimate objective of all these analytical tasks is to identify sources of risk in order to anticipate and/or prevent the materialization of such risks.</w:t>
      </w:r>
      <w:r>
        <w:rPr>
          <w:rFonts w:cs="Times New Roman"/>
          <w:color w:val="000000"/>
        </w:rPr>
        <w:t xml:space="preserve"> Hence, the analysis is forward-looking rather than focusing merely on compliance with applicable rules.</w:t>
      </w:r>
    </w:p>
  </w:footnote>
  <w:footnote w:id="33">
    <w:p w14:paraId="3EE308A8" w14:textId="54759C52" w:rsidR="00B21B79" w:rsidRPr="00A02F10" w:rsidRDefault="00B21B79">
      <w:pPr>
        <w:pStyle w:val="FootnoteText"/>
      </w:pPr>
      <w:r>
        <w:rPr>
          <w:rStyle w:val="FootnoteReference"/>
        </w:rPr>
        <w:footnoteRef/>
      </w:r>
      <w:r>
        <w:t xml:space="preserve"> Clearly, peer reviews/benchmarking exercises go beyond loan portfolios and cover a wide variety of aspects of the activity of the bank or other financial institution.</w:t>
      </w:r>
    </w:p>
  </w:footnote>
  <w:footnote w:id="34">
    <w:p w14:paraId="50A6503A" w14:textId="46E8534E" w:rsidR="00B21B79" w:rsidRPr="00870253" w:rsidRDefault="00B21B79">
      <w:pPr>
        <w:pStyle w:val="FootnoteText"/>
      </w:pPr>
      <w:r>
        <w:rPr>
          <w:rStyle w:val="FootnoteReference"/>
        </w:rPr>
        <w:footnoteRef/>
      </w:r>
      <w:r>
        <w:t xml:space="preserve"> Other relevant analyses of this kind include for the design and calibration of regulatory tools. These are discussed in chapter 5 of this report.</w:t>
      </w:r>
    </w:p>
  </w:footnote>
  <w:footnote w:id="35">
    <w:p w14:paraId="7B4812C2" w14:textId="010A8D32" w:rsidR="00B21B79" w:rsidRPr="00C972DB" w:rsidRDefault="00B21B79">
      <w:pPr>
        <w:pStyle w:val="FootnoteText"/>
      </w:pPr>
      <w:r>
        <w:rPr>
          <w:rStyle w:val="FootnoteReference"/>
        </w:rPr>
        <w:footnoteRef/>
      </w:r>
      <w:r>
        <w:t xml:space="preserve"> See GPCR report, page 2.</w:t>
      </w:r>
    </w:p>
  </w:footnote>
  <w:footnote w:id="36">
    <w:p w14:paraId="6D58EE3C" w14:textId="6CC792CE" w:rsidR="00B21B79" w:rsidRPr="00192F92" w:rsidRDefault="00B21B79" w:rsidP="00C32189">
      <w:pPr>
        <w:pStyle w:val="CommentText"/>
        <w:spacing w:after="0"/>
      </w:pPr>
      <w:r>
        <w:rPr>
          <w:rStyle w:val="FootnoteReference"/>
        </w:rPr>
        <w:footnoteRef/>
      </w:r>
      <w:r>
        <w:t xml:space="preserve"> In Italy, for example, to address these types of problems the central bank coordinates an interbank working group that permanently analyzes and interprets the reporting regulations and produces very detailed documentation in order to guide all the banks in extracting data from their archives.</w:t>
      </w:r>
    </w:p>
  </w:footnote>
  <w:footnote w:id="37">
    <w:p w14:paraId="211F2583" w14:textId="32B21605" w:rsidR="00B21B79" w:rsidRPr="00D85D4E" w:rsidRDefault="00B21B79" w:rsidP="00D85D4E">
      <w:pPr>
        <w:rPr>
          <w:sz w:val="20"/>
          <w:szCs w:val="20"/>
        </w:rPr>
      </w:pPr>
      <w:r>
        <w:rPr>
          <w:rStyle w:val="FootnoteReference"/>
        </w:rPr>
        <w:footnoteRef/>
      </w:r>
      <w:r w:rsidRPr="00D85D4E">
        <w:rPr>
          <w:sz w:val="20"/>
          <w:szCs w:val="20"/>
        </w:rPr>
        <w:t xml:space="preserve"> On the other hand, </w:t>
      </w:r>
      <w:r>
        <w:rPr>
          <w:sz w:val="20"/>
          <w:szCs w:val="20"/>
        </w:rPr>
        <w:t xml:space="preserve">as mentioned earlier, CRs in some countries are increasingly being used by both micro- and macro-prudential supervisors for other types of analyses, like stress testing. </w:t>
      </w:r>
    </w:p>
  </w:footnote>
  <w:footnote w:id="38">
    <w:p w14:paraId="26CFEF2C" w14:textId="77777777" w:rsidR="00B21B79" w:rsidRPr="001D1645" w:rsidRDefault="00B21B79">
      <w:pPr>
        <w:pStyle w:val="FootnoteText"/>
      </w:pPr>
      <w:r>
        <w:rPr>
          <w:rStyle w:val="FootnoteReference"/>
        </w:rPr>
        <w:footnoteRef/>
      </w:r>
      <w:r>
        <w:t xml:space="preserve"> </w:t>
      </w:r>
      <w:r w:rsidRPr="001D1645">
        <w:rPr>
          <w:rFonts w:cs="Times New Roman"/>
          <w:bCs/>
          <w:color w:val="000000"/>
          <w:lang w:val="en-GB"/>
        </w:rPr>
        <w:t>In this last regard, it should be kept in mind that the main purpose of CBs and CCRCs is to improve the quality and availability of data for creditors rather than to assist in financial supervision.</w:t>
      </w:r>
      <w:r>
        <w:rPr>
          <w:rFonts w:cs="Times New Roman"/>
          <w:bCs/>
          <w:color w:val="000000"/>
          <w:lang w:val="en-GB"/>
        </w:rPr>
        <w:t xml:space="preserve"> Hence, the data architecture of CBs and CCRCs is not necessarily aligned to prudential standards.</w:t>
      </w:r>
    </w:p>
  </w:footnote>
  <w:footnote w:id="39">
    <w:p w14:paraId="24E1745D" w14:textId="58C1DAEB" w:rsidR="00B21B79" w:rsidRPr="00105778" w:rsidRDefault="00B21B79">
      <w:pPr>
        <w:pStyle w:val="FootnoteText"/>
      </w:pPr>
      <w:r>
        <w:rPr>
          <w:rStyle w:val="FootnoteReference"/>
        </w:rPr>
        <w:footnoteRef/>
      </w:r>
      <w:r>
        <w:t xml:space="preserve"> </w:t>
      </w:r>
      <w:r w:rsidRPr="00105778">
        <w:rPr>
          <w:rFonts w:cs="Times New Roman"/>
          <w:color w:val="000000"/>
        </w:rPr>
        <w:t xml:space="preserve">Central </w:t>
      </w:r>
      <w:r>
        <w:rPr>
          <w:rFonts w:cs="Times New Roman"/>
          <w:color w:val="000000"/>
        </w:rPr>
        <w:t>b</w:t>
      </w:r>
      <w:r w:rsidRPr="00105778">
        <w:rPr>
          <w:rFonts w:cs="Times New Roman"/>
          <w:color w:val="000000"/>
        </w:rPr>
        <w:t>anks</w:t>
      </w:r>
      <w:r>
        <w:rPr>
          <w:rFonts w:cs="Times New Roman"/>
          <w:color w:val="000000"/>
        </w:rPr>
        <w:t xml:space="preserve"> and other supervisors</w:t>
      </w:r>
      <w:r w:rsidRPr="00105778">
        <w:rPr>
          <w:rFonts w:cs="Times New Roman"/>
          <w:color w:val="000000"/>
        </w:rPr>
        <w:t>, as owners and managers of CRs</w:t>
      </w:r>
      <w:r>
        <w:rPr>
          <w:rFonts w:cs="Times New Roman"/>
          <w:color w:val="000000"/>
        </w:rPr>
        <w:t>,</w:t>
      </w:r>
      <w:r w:rsidRPr="00105778">
        <w:rPr>
          <w:rFonts w:cs="Times New Roman"/>
          <w:color w:val="000000"/>
        </w:rPr>
        <w:t xml:space="preserve"> often have sanctioning powers on the reporting agents which fail to report accurate free of error, truthful, complete and up to date data.</w:t>
      </w:r>
    </w:p>
  </w:footnote>
  <w:footnote w:id="40">
    <w:p w14:paraId="14CACAF6" w14:textId="375A1830" w:rsidR="00B21B79" w:rsidRPr="007A1DAB" w:rsidRDefault="00B21B79" w:rsidP="00D642BC">
      <w:pPr>
        <w:pStyle w:val="FootnoteText"/>
      </w:pPr>
      <w:r>
        <w:rPr>
          <w:rStyle w:val="FootnoteReference"/>
        </w:rPr>
        <w:footnoteRef/>
      </w:r>
      <w:r>
        <w:t xml:space="preserve"> Some CRs do collect data on securities, like in the case of the CR operated by the central bank of Spain.</w:t>
      </w:r>
    </w:p>
  </w:footnote>
  <w:footnote w:id="41">
    <w:p w14:paraId="42D8FAC9" w14:textId="28A5651D" w:rsidR="00B21B79" w:rsidRPr="00C32189" w:rsidRDefault="00B21B79" w:rsidP="00D642BC">
      <w:pPr>
        <w:pStyle w:val="FootnoteText"/>
        <w:rPr>
          <w:sz w:val="18"/>
          <w:szCs w:val="18"/>
        </w:rPr>
      </w:pPr>
      <w:r>
        <w:rPr>
          <w:rStyle w:val="FootnoteReference"/>
        </w:rPr>
        <w:footnoteRef/>
      </w:r>
      <w:r>
        <w:t xml:space="preserve"> F</w:t>
      </w:r>
      <w:r w:rsidRPr="0001720E">
        <w:t xml:space="preserve">or example, </w:t>
      </w:r>
      <w:r>
        <w:t xml:space="preserve">in the EU as part of the AnaCredit project </w:t>
      </w:r>
      <w:r w:rsidRPr="0001720E">
        <w:t>the ESCB</w:t>
      </w:r>
      <w:r>
        <w:t>’s</w:t>
      </w:r>
      <w:r w:rsidRPr="0001720E">
        <w:t xml:space="preserve"> Statistics Committee </w:t>
      </w:r>
      <w:r>
        <w:t xml:space="preserve">and its Financial Supervision Committee are </w:t>
      </w:r>
      <w:r w:rsidRPr="0001720E">
        <w:t xml:space="preserve">currently working on </w:t>
      </w:r>
      <w:r>
        <w:t xml:space="preserve">linking AnaCredit with other databases, including centralized databases containing data on securities </w:t>
      </w:r>
      <w:r w:rsidRPr="00D85A54">
        <w:t>holdings. The AnaCredit pro</w:t>
      </w:r>
      <w:r>
        <w:t xml:space="preserve">ject is described in annex 2. </w:t>
      </w:r>
    </w:p>
  </w:footnote>
  <w:footnote w:id="42">
    <w:p w14:paraId="1A101E14" w14:textId="7EB42A62" w:rsidR="00B21B79" w:rsidRPr="00E722D5" w:rsidRDefault="00B21B79">
      <w:pPr>
        <w:pStyle w:val="FootnoteText"/>
      </w:pPr>
      <w:r>
        <w:rPr>
          <w:rStyle w:val="FootnoteReference"/>
        </w:rPr>
        <w:footnoteRef/>
      </w:r>
      <w:r>
        <w:t xml:space="preserve"> </w:t>
      </w:r>
      <w:r>
        <w:rPr>
          <w:rFonts w:cs="Times New Roman"/>
          <w:color w:val="000000"/>
        </w:rPr>
        <w:t>O</w:t>
      </w:r>
      <w:r w:rsidRPr="00E722D5">
        <w:rPr>
          <w:rFonts w:cs="Times New Roman"/>
          <w:color w:val="000000"/>
        </w:rPr>
        <w:t>r the way such provisions are interpreted by CRSPs when the provisions are not clear enough and there is no additional guidance from regulators on these matters</w:t>
      </w:r>
    </w:p>
  </w:footnote>
  <w:footnote w:id="43">
    <w:p w14:paraId="14EE8032" w14:textId="5B92BAAA" w:rsidR="00B21B79" w:rsidRPr="00BE6970" w:rsidRDefault="00B21B79">
      <w:pPr>
        <w:pStyle w:val="FootnoteText"/>
      </w:pPr>
      <w:r>
        <w:rPr>
          <w:rStyle w:val="FootnoteReference"/>
        </w:rPr>
        <w:footnoteRef/>
      </w:r>
      <w:r>
        <w:t xml:space="preserve"> As it will be detailed later in this report, some modern analytical techniques used by financial sector authorities require collecting certain data that would normally be considered to be of a sensitive nature. For example, obtaining, or at least estimating, data on an individual’s income or a household’s income for the design and calibration of certain policy measures and/or regulations.</w:t>
      </w:r>
    </w:p>
  </w:footnote>
  <w:footnote w:id="44">
    <w:p w14:paraId="2C58777C" w14:textId="1F6BB998" w:rsidR="00B21B79" w:rsidRPr="00412A67" w:rsidRDefault="00B21B79" w:rsidP="003A3550">
      <w:pPr>
        <w:pStyle w:val="FootnoteText"/>
      </w:pPr>
      <w:r>
        <w:rPr>
          <w:rStyle w:val="FootnoteReference"/>
        </w:rPr>
        <w:footnoteRef/>
      </w:r>
      <w:r w:rsidRPr="00412A67">
        <w:rPr>
          <w:rFonts w:cs="Times New Roman"/>
          <w:color w:val="000000"/>
        </w:rPr>
        <w:t xml:space="preserve"> For example, </w:t>
      </w:r>
      <w:r>
        <w:rPr>
          <w:rFonts w:cs="Times New Roman"/>
          <w:color w:val="000000"/>
        </w:rPr>
        <w:t>members of Association of Consumer Credit Information Suppliers (</w:t>
      </w:r>
      <w:r w:rsidRPr="00412A67">
        <w:rPr>
          <w:rFonts w:cs="Times New Roman"/>
          <w:color w:val="000000"/>
        </w:rPr>
        <w:t>ACCIS</w:t>
      </w:r>
      <w:r>
        <w:rPr>
          <w:rFonts w:cs="Times New Roman"/>
          <w:color w:val="000000"/>
        </w:rPr>
        <w:t>), based on the mod</w:t>
      </w:r>
      <w:r w:rsidRPr="00412A67">
        <w:rPr>
          <w:rFonts w:cs="Times New Roman"/>
          <w:color w:val="000000"/>
        </w:rPr>
        <w:t>el ACCIS agreement on cross border-data exchange</w:t>
      </w:r>
      <w:r>
        <w:rPr>
          <w:rFonts w:cs="Times New Roman"/>
          <w:color w:val="000000"/>
        </w:rPr>
        <w:t xml:space="preserve">, </w:t>
      </w:r>
      <w:r w:rsidRPr="00412A67">
        <w:rPr>
          <w:rFonts w:cs="Times New Roman"/>
          <w:color w:val="000000"/>
        </w:rPr>
        <w:t xml:space="preserve">have concluded a number of bilateral agreements on sharing data between different member states. </w:t>
      </w:r>
      <w:r>
        <w:rPr>
          <w:rFonts w:cs="Times New Roman"/>
          <w:color w:val="000000"/>
        </w:rPr>
        <w:t xml:space="preserve">Further, </w:t>
      </w:r>
      <w:r w:rsidRPr="00412A67">
        <w:rPr>
          <w:rFonts w:cs="Times New Roman"/>
          <w:color w:val="000000"/>
        </w:rPr>
        <w:t xml:space="preserve">ACCIS is </w:t>
      </w:r>
      <w:r>
        <w:rPr>
          <w:rFonts w:cs="Times New Roman"/>
          <w:color w:val="000000"/>
        </w:rPr>
        <w:t>currently i</w:t>
      </w:r>
      <w:r w:rsidRPr="00412A67">
        <w:rPr>
          <w:rFonts w:cs="Times New Roman"/>
          <w:color w:val="000000"/>
        </w:rPr>
        <w:t xml:space="preserve">n the process of revising its cross-border data exchange system in </w:t>
      </w:r>
      <w:r w:rsidRPr="00D85A54">
        <w:rPr>
          <w:rFonts w:cs="Times New Roman"/>
          <w:color w:val="000000"/>
        </w:rPr>
        <w:t xml:space="preserve">order to create a pan-EU data exchange mechanism. As regards the public sector, relevant initiatives include the existing system of Memoranda of Understanding between central banks in the EU, the AnaCredit project (see </w:t>
      </w:r>
      <w:r>
        <w:rPr>
          <w:rFonts w:cs="Times New Roman"/>
          <w:color w:val="000000"/>
        </w:rPr>
        <w:t>annex 2</w:t>
      </w:r>
      <w:r w:rsidRPr="00D85A54">
        <w:rPr>
          <w:rFonts w:cs="Times New Roman"/>
          <w:color w:val="000000"/>
        </w:rPr>
        <w:t xml:space="preserve">) and the </w:t>
      </w:r>
      <w:r>
        <w:rPr>
          <w:rFonts w:cs="Times New Roman"/>
          <w:color w:val="000000"/>
        </w:rPr>
        <w:t xml:space="preserve">Global </w:t>
      </w:r>
      <w:r w:rsidRPr="00D85A54">
        <w:rPr>
          <w:rFonts w:cs="Times New Roman"/>
          <w:color w:val="000000"/>
        </w:rPr>
        <w:t xml:space="preserve">Legal Entity Identifier project (see </w:t>
      </w:r>
      <w:r>
        <w:rPr>
          <w:rFonts w:cs="Times New Roman"/>
          <w:color w:val="000000"/>
        </w:rPr>
        <w:t>a</w:t>
      </w:r>
      <w:r w:rsidRPr="00D85A54">
        <w:rPr>
          <w:rFonts w:cs="Times New Roman"/>
          <w:color w:val="000000"/>
        </w:rPr>
        <w:t xml:space="preserve">nnex </w:t>
      </w:r>
      <w:r>
        <w:rPr>
          <w:rFonts w:cs="Times New Roman"/>
          <w:color w:val="000000"/>
        </w:rPr>
        <w:t>3</w:t>
      </w:r>
      <w:r w:rsidRPr="00D85A54">
        <w:rPr>
          <w:rFonts w:cs="Times New Roman"/>
          <w:color w:val="000000"/>
        </w:rPr>
        <w:t>).</w:t>
      </w:r>
      <w:r>
        <w:rPr>
          <w:rFonts w:cs="Times New Roman"/>
          <w:color w:val="000000"/>
        </w:rPr>
        <w:t xml:space="preserve"> </w:t>
      </w:r>
    </w:p>
  </w:footnote>
  <w:footnote w:id="45">
    <w:p w14:paraId="6DD95EC4" w14:textId="77777777" w:rsidR="00B21B79" w:rsidRPr="00746BDE" w:rsidRDefault="00B21B79" w:rsidP="00746BDE">
      <w:pPr>
        <w:pStyle w:val="FootnoteText"/>
      </w:pPr>
      <w:r>
        <w:rPr>
          <w:rStyle w:val="FootnoteReference"/>
        </w:rPr>
        <w:footnoteRef/>
      </w:r>
      <w:r>
        <w:t xml:space="preserve"> These “difficulties” do not necessarily mean that the desired reports cannot be produced, but that it may take a long time and high costs to produce them. </w:t>
      </w:r>
    </w:p>
  </w:footnote>
  <w:footnote w:id="46">
    <w:p w14:paraId="4715693B" w14:textId="618FB17C" w:rsidR="00B21B79" w:rsidRPr="00BF2CF8" w:rsidRDefault="00B21B79">
      <w:pPr>
        <w:pStyle w:val="FootnoteText"/>
      </w:pPr>
      <w:r>
        <w:rPr>
          <w:rStyle w:val="FootnoteReference"/>
        </w:rPr>
        <w:footnoteRef/>
      </w:r>
      <w:r>
        <w:t xml:space="preserve"> An additional step in a macro-prudential supervisory framework is the so-called </w:t>
      </w:r>
      <w:r w:rsidRPr="00C96A46">
        <w:rPr>
          <w:rFonts w:cs="Times New Roman"/>
          <w:color w:val="000000"/>
        </w:rPr>
        <w:t>evaluation phase, where the impact of instruments</w:t>
      </w:r>
      <w:r>
        <w:rPr>
          <w:rFonts w:cs="Times New Roman"/>
          <w:color w:val="000000"/>
        </w:rPr>
        <w:t xml:space="preserve"> or measures</w:t>
      </w:r>
      <w:r w:rsidRPr="00C96A46">
        <w:rPr>
          <w:rFonts w:cs="Times New Roman"/>
          <w:color w:val="000000"/>
        </w:rPr>
        <w:t xml:space="preserve"> is assessed.</w:t>
      </w:r>
      <w:r>
        <w:rPr>
          <w:rFonts w:cs="Times New Roman"/>
          <w:color w:val="000000"/>
        </w:rPr>
        <w:t xml:space="preserve"> For additional information see, for example, the ESRB’s “Flagship report on macro-prudential policy in the banking sector” (2014). </w:t>
      </w:r>
    </w:p>
  </w:footnote>
  <w:footnote w:id="47">
    <w:p w14:paraId="1B72E928" w14:textId="77777777" w:rsidR="00B21B79" w:rsidRPr="006A7F14" w:rsidRDefault="00B21B79" w:rsidP="0092693C">
      <w:pPr>
        <w:pStyle w:val="FootnoteText"/>
      </w:pPr>
      <w:r>
        <w:rPr>
          <w:rStyle w:val="FootnoteReference"/>
        </w:rPr>
        <w:footnoteRef/>
      </w:r>
      <w:r>
        <w:t xml:space="preserve"> </w:t>
      </w:r>
      <w:r w:rsidRPr="006A7F14">
        <w:rPr>
          <w:rFonts w:cs="Times New Roman"/>
          <w:color w:val="000000"/>
        </w:rPr>
        <w:t xml:space="preserve">Credit booms are not necessarily a source of concern for micro-prudential supervision, as banks, taken in isolation, </w:t>
      </w:r>
      <w:r>
        <w:rPr>
          <w:rFonts w:cs="Times New Roman"/>
          <w:color w:val="000000"/>
        </w:rPr>
        <w:t xml:space="preserve">tend to </w:t>
      </w:r>
      <w:r w:rsidRPr="006A7F14">
        <w:rPr>
          <w:rFonts w:cs="Times New Roman"/>
          <w:color w:val="000000"/>
        </w:rPr>
        <w:t xml:space="preserve">look healthy during boom periods.  </w:t>
      </w:r>
      <w:r>
        <w:rPr>
          <w:rFonts w:cs="Times New Roman"/>
          <w:color w:val="000000"/>
        </w:rPr>
        <w:t>For example, w</w:t>
      </w:r>
      <w:r w:rsidRPr="006A7F14">
        <w:rPr>
          <w:rFonts w:cs="Times New Roman"/>
          <w:color w:val="000000"/>
        </w:rPr>
        <w:t xml:space="preserve">hen asset prices go up, indicators such as </w:t>
      </w:r>
      <w:r>
        <w:rPr>
          <w:rFonts w:cs="Times New Roman"/>
          <w:color w:val="000000"/>
        </w:rPr>
        <w:t xml:space="preserve">the leverage ratio </w:t>
      </w:r>
      <w:r w:rsidRPr="006A7F14">
        <w:rPr>
          <w:rFonts w:cs="Times New Roman"/>
          <w:color w:val="000000"/>
        </w:rPr>
        <w:t>tend to decrease.</w:t>
      </w:r>
    </w:p>
  </w:footnote>
  <w:footnote w:id="48">
    <w:p w14:paraId="39A30E11" w14:textId="77777777" w:rsidR="00B21B79" w:rsidRPr="002560E9" w:rsidRDefault="00B21B79">
      <w:pPr>
        <w:pStyle w:val="FootnoteText"/>
      </w:pPr>
      <w:r>
        <w:rPr>
          <w:rStyle w:val="FootnoteReference"/>
        </w:rPr>
        <w:footnoteRef/>
      </w:r>
      <w:r>
        <w:t xml:space="preserve"> O</w:t>
      </w:r>
      <w:r w:rsidRPr="002560E9">
        <w:rPr>
          <w:rFonts w:cs="Times New Roman"/>
          <w:color w:val="000000"/>
        </w:rPr>
        <w:t xml:space="preserve">n this basis </w:t>
      </w:r>
      <w:r>
        <w:rPr>
          <w:rFonts w:cs="Times New Roman"/>
          <w:color w:val="000000"/>
        </w:rPr>
        <w:t xml:space="preserve">it is also useful to drill down to obtain </w:t>
      </w:r>
      <w:r w:rsidRPr="002560E9">
        <w:rPr>
          <w:rFonts w:cs="Times New Roman"/>
          <w:color w:val="000000"/>
        </w:rPr>
        <w:t xml:space="preserve">disaggregated data on </w:t>
      </w:r>
      <w:r w:rsidRPr="002560E9">
        <w:t xml:space="preserve">households and corporates, like </w:t>
      </w:r>
      <w:r>
        <w:t xml:space="preserve">for example the </w:t>
      </w:r>
      <w:r w:rsidRPr="002560E9">
        <w:t>types of households that are particularly prone to a default</w:t>
      </w:r>
      <w:r>
        <w:t>.</w:t>
      </w:r>
    </w:p>
  </w:footnote>
  <w:footnote w:id="49">
    <w:p w14:paraId="4A45983B" w14:textId="6B703949" w:rsidR="00B21B79" w:rsidRPr="002560E9" w:rsidRDefault="00B21B79">
      <w:pPr>
        <w:pStyle w:val="FootnoteText"/>
      </w:pPr>
      <w:r>
        <w:rPr>
          <w:rStyle w:val="FootnoteReference"/>
        </w:rPr>
        <w:footnoteRef/>
      </w:r>
      <w:r>
        <w:t xml:space="preserve"> This statement refers specifically to credit data. Beyond such credit data, macro-prudential analysis gathers several other data items on the real sector and financial conditions in which the financial entities are operating.</w:t>
      </w:r>
    </w:p>
  </w:footnote>
  <w:footnote w:id="50">
    <w:p w14:paraId="6AEDFC01" w14:textId="77777777" w:rsidR="00B21B79" w:rsidRPr="00861872" w:rsidRDefault="00B21B79">
      <w:pPr>
        <w:pStyle w:val="FootnoteText"/>
      </w:pPr>
      <w:r>
        <w:rPr>
          <w:rStyle w:val="FootnoteReference"/>
        </w:rPr>
        <w:footnoteRef/>
      </w:r>
      <w:r>
        <w:t xml:space="preserve"> M</w:t>
      </w:r>
      <w:r w:rsidRPr="00861872">
        <w:rPr>
          <w:rFonts w:cs="Times New Roman"/>
          <w:color w:val="000000"/>
        </w:rPr>
        <w:t xml:space="preserve">any loans to these sectors are not reported </w:t>
      </w:r>
      <w:r>
        <w:rPr>
          <w:rFonts w:cs="Times New Roman"/>
          <w:color w:val="000000"/>
        </w:rPr>
        <w:t>because</w:t>
      </w:r>
      <w:r w:rsidRPr="00861872">
        <w:rPr>
          <w:rFonts w:cs="Times New Roman"/>
          <w:color w:val="000000"/>
        </w:rPr>
        <w:t xml:space="preserve"> the loan amount </w:t>
      </w:r>
      <w:r>
        <w:rPr>
          <w:rFonts w:cs="Times New Roman"/>
          <w:color w:val="000000"/>
        </w:rPr>
        <w:t xml:space="preserve">is </w:t>
      </w:r>
      <w:r w:rsidRPr="00861872">
        <w:rPr>
          <w:rFonts w:cs="Times New Roman"/>
          <w:color w:val="000000"/>
        </w:rPr>
        <w:t>under the reporting threshold</w:t>
      </w:r>
      <w:r>
        <w:rPr>
          <w:rFonts w:cs="Times New Roman"/>
          <w:color w:val="000000"/>
        </w:rPr>
        <w:t>.</w:t>
      </w:r>
    </w:p>
  </w:footnote>
  <w:footnote w:id="51">
    <w:p w14:paraId="46E993C5" w14:textId="77777777" w:rsidR="00B21B79" w:rsidRPr="002560E9" w:rsidRDefault="00B21B79">
      <w:pPr>
        <w:pStyle w:val="FootnoteText"/>
      </w:pPr>
      <w:r>
        <w:rPr>
          <w:rStyle w:val="FootnoteReference"/>
        </w:rPr>
        <w:footnoteRef/>
      </w:r>
      <w:r>
        <w:t xml:space="preserve"> </w:t>
      </w:r>
      <w:r w:rsidRPr="002560E9">
        <w:rPr>
          <w:rFonts w:cs="Times New Roman"/>
          <w:color w:val="000000"/>
        </w:rPr>
        <w:t xml:space="preserve">Still, for macro-prudential purposes data on income/assets of debtors is necessary for some analyses (e.g. to calculate debt service ratios), and such data </w:t>
      </w:r>
      <w:r>
        <w:rPr>
          <w:rFonts w:cs="Times New Roman"/>
          <w:color w:val="000000"/>
        </w:rPr>
        <w:t xml:space="preserve">is often not </w:t>
      </w:r>
      <w:r w:rsidRPr="002560E9">
        <w:rPr>
          <w:rFonts w:cs="Times New Roman"/>
          <w:color w:val="000000"/>
        </w:rPr>
        <w:t xml:space="preserve">captured by </w:t>
      </w:r>
      <w:r>
        <w:rPr>
          <w:rFonts w:cs="Times New Roman"/>
          <w:color w:val="000000"/>
        </w:rPr>
        <w:t xml:space="preserve">CRs, </w:t>
      </w:r>
      <w:r w:rsidRPr="002560E9">
        <w:rPr>
          <w:rFonts w:cs="Times New Roman"/>
          <w:color w:val="000000"/>
        </w:rPr>
        <w:t>CBs or CCRCs</w:t>
      </w:r>
      <w:r>
        <w:rPr>
          <w:rFonts w:cs="Times New Roman"/>
          <w:color w:val="000000"/>
        </w:rPr>
        <w:t>, or may not be reliable</w:t>
      </w:r>
      <w:r w:rsidRPr="002560E9">
        <w:rPr>
          <w:rFonts w:cs="Times New Roman"/>
          <w:color w:val="000000"/>
        </w:rPr>
        <w:t>.</w:t>
      </w:r>
    </w:p>
  </w:footnote>
  <w:footnote w:id="52">
    <w:p w14:paraId="09D6CB81" w14:textId="77777777" w:rsidR="00B21B79" w:rsidRPr="0013127D" w:rsidRDefault="00B21B79">
      <w:pPr>
        <w:pStyle w:val="FootnoteText"/>
      </w:pPr>
      <w:r>
        <w:rPr>
          <w:rStyle w:val="FootnoteReference"/>
        </w:rPr>
        <w:footnoteRef/>
      </w:r>
      <w:r>
        <w:t xml:space="preserve"> The problems and challenges for CBs and CCRCs to become useful for supervisory purposes have also been noted in section III.3 of this report.</w:t>
      </w:r>
    </w:p>
  </w:footnote>
  <w:footnote w:id="53">
    <w:p w14:paraId="1049CCAA" w14:textId="18725CF0" w:rsidR="00B21B79" w:rsidRPr="00D37F0D" w:rsidRDefault="00B21B79">
      <w:pPr>
        <w:pStyle w:val="FootnoteText"/>
      </w:pPr>
      <w:r>
        <w:rPr>
          <w:rStyle w:val="FootnoteReference"/>
        </w:rPr>
        <w:footnoteRef/>
      </w:r>
      <w:r>
        <w:t xml:space="preserve"> The last paragraph of this section includes a discussion on the potential linkages of CRSPs with other databases.</w:t>
      </w:r>
    </w:p>
  </w:footnote>
  <w:footnote w:id="54">
    <w:p w14:paraId="7A3D3D18" w14:textId="77777777" w:rsidR="00B21B79" w:rsidRPr="00CC3993" w:rsidRDefault="00B21B79">
      <w:pPr>
        <w:pStyle w:val="FootnoteText"/>
      </w:pPr>
      <w:r>
        <w:rPr>
          <w:rStyle w:val="FootnoteReference"/>
        </w:rPr>
        <w:footnoteRef/>
      </w:r>
      <w:r>
        <w:t xml:space="preserve"> Due to various types of links or ties amongst them.</w:t>
      </w:r>
    </w:p>
  </w:footnote>
  <w:footnote w:id="55">
    <w:p w14:paraId="163956B3" w14:textId="77777777" w:rsidR="00B21B79" w:rsidRPr="006653C4" w:rsidRDefault="00B21B79">
      <w:pPr>
        <w:pStyle w:val="FootnoteText"/>
      </w:pPr>
      <w:r>
        <w:rPr>
          <w:rStyle w:val="FootnoteReference"/>
        </w:rPr>
        <w:footnoteRef/>
      </w:r>
      <w:r>
        <w:t xml:space="preserve"> </w:t>
      </w:r>
      <w:r w:rsidRPr="006653C4">
        <w:rPr>
          <w:rFonts w:cs="Times New Roman"/>
        </w:rPr>
        <w:t xml:space="preserve">In turn this would help improve the understanding of </w:t>
      </w:r>
      <w:r>
        <w:rPr>
          <w:rFonts w:cs="Times New Roman"/>
        </w:rPr>
        <w:t xml:space="preserve">any existing </w:t>
      </w:r>
      <w:r w:rsidRPr="006653C4">
        <w:rPr>
          <w:rFonts w:cs="Times New Roman"/>
        </w:rPr>
        <w:t>inter</w:t>
      </w:r>
      <w:r>
        <w:rPr>
          <w:rFonts w:cs="Times New Roman"/>
        </w:rPr>
        <w:t>-</w:t>
      </w:r>
      <w:r w:rsidRPr="006653C4">
        <w:rPr>
          <w:rFonts w:cs="Times New Roman"/>
        </w:rPr>
        <w:t xml:space="preserve">linkages (e.g. mutual risk exposures), and </w:t>
      </w:r>
      <w:r>
        <w:rPr>
          <w:rFonts w:cs="Times New Roman"/>
        </w:rPr>
        <w:t xml:space="preserve">therefore a better assessment of each player’s </w:t>
      </w:r>
      <w:r w:rsidRPr="006653C4">
        <w:rPr>
          <w:rFonts w:cs="Times New Roman"/>
        </w:rPr>
        <w:t xml:space="preserve">relevance for </w:t>
      </w:r>
      <w:r>
        <w:rPr>
          <w:rFonts w:cs="Times New Roman"/>
        </w:rPr>
        <w:t xml:space="preserve">systemic </w:t>
      </w:r>
      <w:r w:rsidRPr="006653C4">
        <w:rPr>
          <w:rFonts w:cs="Times New Roman"/>
        </w:rPr>
        <w:t>financial stability.</w:t>
      </w:r>
    </w:p>
  </w:footnote>
  <w:footnote w:id="56">
    <w:p w14:paraId="47CA0A42" w14:textId="5FBFFBD7" w:rsidR="00B21B79" w:rsidRPr="009B7E93" w:rsidRDefault="00B21B79">
      <w:pPr>
        <w:pStyle w:val="FootnoteText"/>
      </w:pPr>
      <w:r>
        <w:rPr>
          <w:rStyle w:val="FootnoteReference"/>
        </w:rPr>
        <w:footnoteRef/>
      </w:r>
      <w:r>
        <w:t xml:space="preserve"> Both this report and the original report may be accessed online. See Bank of England 2014a and 2014 b. </w:t>
      </w:r>
    </w:p>
  </w:footnote>
  <w:footnote w:id="57">
    <w:p w14:paraId="30BFC8ED" w14:textId="77777777" w:rsidR="00B21B79" w:rsidRPr="00B13A92" w:rsidRDefault="00B21B79">
      <w:pPr>
        <w:pStyle w:val="FootnoteText"/>
      </w:pPr>
      <w:r>
        <w:rPr>
          <w:rStyle w:val="FootnoteReference"/>
        </w:rPr>
        <w:footnoteRef/>
      </w:r>
      <w:r>
        <w:t xml:space="preserve"> </w:t>
      </w:r>
      <w:r w:rsidRPr="00B13A92">
        <w:rPr>
          <w:rFonts w:cs="Times New Roman"/>
          <w:color w:val="000000"/>
        </w:rPr>
        <w:t>To</w:t>
      </w:r>
      <w:r>
        <w:rPr>
          <w:rFonts w:cs="Times New Roman"/>
          <w:color w:val="000000"/>
        </w:rPr>
        <w:t>, for example,</w:t>
      </w:r>
      <w:r w:rsidRPr="00B13A92">
        <w:rPr>
          <w:rFonts w:cs="Times New Roman"/>
          <w:color w:val="000000"/>
        </w:rPr>
        <w:t xml:space="preserve"> better measure the consolidated activity of systemically important credit institutions</w:t>
      </w:r>
      <w:r>
        <w:rPr>
          <w:rFonts w:cs="Times New Roman"/>
          <w:color w:val="000000"/>
        </w:rPr>
        <w:t xml:space="preserve">, to </w:t>
      </w:r>
      <w:r w:rsidRPr="00B13A92">
        <w:rPr>
          <w:rFonts w:cs="Times New Roman"/>
          <w:color w:val="000000"/>
        </w:rPr>
        <w:t>understand the overall level of indebtedness of resident households and the corporate sector, and to have a better sense of potential cross-border spillover effects</w:t>
      </w:r>
      <w:r>
        <w:rPr>
          <w:rFonts w:cs="Times New Roman"/>
          <w:color w:val="000000"/>
        </w:rPr>
        <w:t>.</w:t>
      </w:r>
    </w:p>
  </w:footnote>
  <w:footnote w:id="58">
    <w:p w14:paraId="4332D8D9" w14:textId="74E6FED6" w:rsidR="00B21B79" w:rsidRPr="00F14445" w:rsidRDefault="00B21B79" w:rsidP="00D93997">
      <w:pPr>
        <w:pStyle w:val="FootnoteText"/>
      </w:pPr>
      <w:r>
        <w:rPr>
          <w:rStyle w:val="FootnoteReference"/>
        </w:rPr>
        <w:footnoteRef/>
      </w:r>
      <w:r>
        <w:t xml:space="preserve"> Amongst others: </w:t>
      </w:r>
      <w:r w:rsidRPr="00F14445">
        <w:rPr>
          <w:rFonts w:cs="Times New Roman"/>
          <w:color w:val="000000"/>
        </w:rPr>
        <w:t xml:space="preserve">aggregation of all debts of each individual data subject; </w:t>
      </w:r>
      <w:r>
        <w:rPr>
          <w:rFonts w:cs="Times New Roman"/>
          <w:color w:val="000000"/>
        </w:rPr>
        <w:t xml:space="preserve">calculating </w:t>
      </w:r>
      <w:r w:rsidRPr="00F14445">
        <w:rPr>
          <w:rFonts w:cs="Times New Roman"/>
          <w:color w:val="000000"/>
        </w:rPr>
        <w:t>the corresponding repayment obligations (mandatory principal repayment plus interest)</w:t>
      </w:r>
      <w:r>
        <w:rPr>
          <w:rFonts w:cs="Times New Roman"/>
          <w:color w:val="000000"/>
        </w:rPr>
        <w:t>, and having a</w:t>
      </w:r>
      <w:r w:rsidRPr="00F14445">
        <w:rPr>
          <w:rFonts w:cs="Times New Roman"/>
          <w:color w:val="000000"/>
        </w:rPr>
        <w:t xml:space="preserve"> </w:t>
      </w:r>
      <w:r>
        <w:rPr>
          <w:rFonts w:cs="Times New Roman"/>
          <w:color w:val="000000"/>
        </w:rPr>
        <w:t xml:space="preserve">usable </w:t>
      </w:r>
      <w:r w:rsidRPr="00F14445">
        <w:rPr>
          <w:rFonts w:cs="Times New Roman"/>
          <w:color w:val="000000"/>
        </w:rPr>
        <w:t xml:space="preserve">measure of income </w:t>
      </w:r>
      <w:r>
        <w:rPr>
          <w:rFonts w:cs="Times New Roman"/>
          <w:color w:val="000000"/>
        </w:rPr>
        <w:t xml:space="preserve">(e.g., monthly salary or a way to estimate the same) </w:t>
      </w:r>
      <w:r w:rsidRPr="00F14445">
        <w:rPr>
          <w:rFonts w:cs="Times New Roman"/>
          <w:color w:val="000000"/>
        </w:rPr>
        <w:t>and/or financial wealth.</w:t>
      </w:r>
    </w:p>
  </w:footnote>
  <w:footnote w:id="59">
    <w:p w14:paraId="7DDE9A2E" w14:textId="2A6CB707" w:rsidR="00B21B79" w:rsidRPr="00724BF2" w:rsidRDefault="00B21B79">
      <w:pPr>
        <w:pStyle w:val="FootnoteText"/>
      </w:pPr>
      <w:r>
        <w:rPr>
          <w:rStyle w:val="FootnoteReference"/>
        </w:rPr>
        <w:footnoteRef/>
      </w:r>
      <w:r>
        <w:t xml:space="preserve"> </w:t>
      </w:r>
      <w:r w:rsidRPr="00724BF2">
        <w:rPr>
          <w:rFonts w:cs="Times New Roman"/>
          <w:color w:val="000000"/>
        </w:rPr>
        <w:t>In more advanced national credit reporting systems, data in CRSPs reflects the situation of borrowers with most of the financial and non-financial lenders operating in th</w:t>
      </w:r>
      <w:r>
        <w:rPr>
          <w:rFonts w:cs="Times New Roman"/>
          <w:color w:val="000000"/>
        </w:rPr>
        <w:t>at jurisdiction</w:t>
      </w:r>
      <w:r w:rsidRPr="00724BF2">
        <w:rPr>
          <w:rFonts w:cs="Times New Roman"/>
          <w:color w:val="000000"/>
        </w:rPr>
        <w:t>.</w:t>
      </w:r>
    </w:p>
  </w:footnote>
  <w:footnote w:id="60">
    <w:p w14:paraId="1DC659C6" w14:textId="21A78AB3" w:rsidR="00B21B79" w:rsidRPr="008B52A7" w:rsidRDefault="00B21B79">
      <w:pPr>
        <w:pStyle w:val="FootnoteText"/>
      </w:pPr>
      <w:r>
        <w:rPr>
          <w:rStyle w:val="FootnoteReference"/>
        </w:rPr>
        <w:footnoteRef/>
      </w:r>
      <w:r>
        <w:t xml:space="preserve"> These risk parameters are u</w:t>
      </w:r>
      <w:r w:rsidRPr="008B52A7">
        <w:rPr>
          <w:rFonts w:cs="Arial"/>
          <w:color w:val="000000" w:themeColor="text1"/>
        </w:rPr>
        <w:t xml:space="preserve">sed to calculate “unexpected losses”, which are to be covered by capital. </w:t>
      </w:r>
      <w:r>
        <w:rPr>
          <w:rFonts w:cs="Arial"/>
          <w:color w:val="000000" w:themeColor="text1"/>
        </w:rPr>
        <w:t xml:space="preserve">These parameters along with exposure at default (EAD) are also used to estimate “expected loss” or EL, whereby </w:t>
      </w:r>
      <w:r>
        <w:t>EL = PD x LGD x EAD</w:t>
      </w:r>
      <w:r>
        <w:rPr>
          <w:rFonts w:cs="Arial"/>
          <w:color w:val="000000" w:themeColor="text1"/>
        </w:rPr>
        <w:t xml:space="preserve">. Expected losses are to be covered by provisions. </w:t>
      </w:r>
    </w:p>
  </w:footnote>
  <w:footnote w:id="61">
    <w:p w14:paraId="0A5C3353" w14:textId="6D4CBECA" w:rsidR="00B21B79" w:rsidRPr="00371AF1" w:rsidRDefault="00B21B79">
      <w:pPr>
        <w:pStyle w:val="FootnoteText"/>
      </w:pPr>
      <w:r>
        <w:rPr>
          <w:rStyle w:val="FootnoteReference"/>
        </w:rPr>
        <w:footnoteRef/>
      </w:r>
      <w:r>
        <w:t xml:space="preserve"> </w:t>
      </w:r>
      <w:r w:rsidRPr="00371AF1">
        <w:rPr>
          <w:rFonts w:cs="Times New Roman"/>
          <w:color w:val="000000"/>
        </w:rPr>
        <w:t xml:space="preserve">In some cases SCR </w:t>
      </w:r>
      <w:r>
        <w:rPr>
          <w:rFonts w:cs="Times New Roman"/>
          <w:color w:val="000000"/>
        </w:rPr>
        <w:t xml:space="preserve">may be applied </w:t>
      </w:r>
      <w:r w:rsidRPr="00371AF1">
        <w:rPr>
          <w:rFonts w:cs="Times New Roman"/>
          <w:color w:val="000000"/>
        </w:rPr>
        <w:t>to certain lenders only (e.g. those that are not diversified).</w:t>
      </w:r>
    </w:p>
  </w:footnote>
  <w:footnote w:id="62">
    <w:p w14:paraId="5237A97A" w14:textId="544068C0" w:rsidR="00B21B79" w:rsidRPr="005B0748" w:rsidRDefault="00B21B79" w:rsidP="002C364D">
      <w:pPr>
        <w:pStyle w:val="FootnoteText"/>
      </w:pPr>
      <w:r>
        <w:rPr>
          <w:rStyle w:val="FootnoteReference"/>
        </w:rPr>
        <w:footnoteRef/>
      </w:r>
      <w:r>
        <w:t xml:space="preserve"> For example, in the </w:t>
      </w:r>
      <w:r w:rsidRPr="005B0748">
        <w:rPr>
          <w:rFonts w:cs="Times New Roman"/>
          <w:color w:val="000000"/>
        </w:rPr>
        <w:t xml:space="preserve">European Commission's work on </w:t>
      </w:r>
      <w:r>
        <w:rPr>
          <w:rFonts w:cs="Times New Roman"/>
          <w:color w:val="000000"/>
        </w:rPr>
        <w:t>small and medium enterprise (</w:t>
      </w:r>
      <w:r w:rsidRPr="005B0748">
        <w:rPr>
          <w:rFonts w:cs="Times New Roman"/>
          <w:color w:val="000000"/>
        </w:rPr>
        <w:t>SME</w:t>
      </w:r>
      <w:r>
        <w:rPr>
          <w:rFonts w:cs="Times New Roman"/>
          <w:color w:val="000000"/>
        </w:rPr>
        <w:t>)</w:t>
      </w:r>
      <w:r w:rsidRPr="005B0748">
        <w:rPr>
          <w:rFonts w:cs="Times New Roman"/>
          <w:color w:val="000000"/>
        </w:rPr>
        <w:t xml:space="preserve"> access to finance</w:t>
      </w:r>
      <w:r>
        <w:rPr>
          <w:rFonts w:cs="Times New Roman"/>
          <w:color w:val="000000"/>
        </w:rPr>
        <w:t xml:space="preserve">, </w:t>
      </w:r>
      <w:r w:rsidRPr="005B0748">
        <w:rPr>
          <w:rFonts w:cs="Times New Roman"/>
          <w:color w:val="000000"/>
        </w:rPr>
        <w:t xml:space="preserve">SME credit data is considered as a useful tool to achieve the policy objective of </w:t>
      </w:r>
      <w:r>
        <w:rPr>
          <w:rFonts w:cs="Times New Roman"/>
          <w:color w:val="000000"/>
        </w:rPr>
        <w:t xml:space="preserve">enhancing </w:t>
      </w:r>
      <w:r w:rsidRPr="005B0748">
        <w:rPr>
          <w:rFonts w:cs="Times New Roman"/>
          <w:color w:val="000000"/>
        </w:rPr>
        <w:t xml:space="preserve">SME access to finance. </w:t>
      </w:r>
      <w:r>
        <w:rPr>
          <w:rFonts w:cs="Times New Roman"/>
          <w:color w:val="000000"/>
        </w:rPr>
        <w:t xml:space="preserve">Hence, preliminary </w:t>
      </w:r>
      <w:r w:rsidRPr="005B0748">
        <w:rPr>
          <w:rFonts w:cs="Times New Roman"/>
          <w:color w:val="000000"/>
        </w:rPr>
        <w:t xml:space="preserve">policy proposals </w:t>
      </w:r>
      <w:r>
        <w:rPr>
          <w:rFonts w:cs="Times New Roman"/>
          <w:color w:val="000000"/>
        </w:rPr>
        <w:t xml:space="preserve">are being discussed </w:t>
      </w:r>
      <w:r w:rsidRPr="005B0748">
        <w:rPr>
          <w:rFonts w:cs="Times New Roman"/>
          <w:color w:val="000000"/>
        </w:rPr>
        <w:t>on improving the availability and quality of SME credit data.</w:t>
      </w:r>
      <w:r>
        <w:rPr>
          <w:rFonts w:cs="Times New Roman"/>
          <w:color w:val="000000"/>
        </w:rPr>
        <w:t xml:space="preserve"> For additional details see </w:t>
      </w:r>
      <w:hyperlink r:id="rId4" w:history="1">
        <w:r w:rsidRPr="003D4D5E">
          <w:rPr>
            <w:rStyle w:val="Hyperlink"/>
            <w:rFonts w:cs="Times New Roman"/>
          </w:rPr>
          <w:t>http://ec.europa.eu/finance/consultations/2015/capital-markets-union/index_en.htm</w:t>
        </w:r>
      </w:hyperlink>
      <w:r>
        <w:rPr>
          <w:rFonts w:cs="Times New Roman"/>
          <w:color w:val="000000"/>
        </w:rPr>
        <w:t>.</w:t>
      </w:r>
    </w:p>
  </w:footnote>
  <w:footnote w:id="63">
    <w:p w14:paraId="1E7E64E0" w14:textId="0ABAB0A5" w:rsidR="00B21B79" w:rsidRPr="008B53D2" w:rsidRDefault="00B21B79">
      <w:pPr>
        <w:pStyle w:val="FootnoteText"/>
      </w:pPr>
      <w:r>
        <w:rPr>
          <w:rStyle w:val="FootnoteReference"/>
        </w:rPr>
        <w:footnoteRef/>
      </w:r>
      <w:r>
        <w:t xml:space="preserve"> </w:t>
      </w:r>
      <w:r w:rsidRPr="008B53D2">
        <w:rPr>
          <w:rFonts w:cs="Times New Roman"/>
          <w:color w:val="000000"/>
        </w:rPr>
        <w:t>Additionally, it should be kept in mind that</w:t>
      </w:r>
      <w:r>
        <w:rPr>
          <w:rFonts w:cs="Times New Roman"/>
          <w:color w:val="000000"/>
        </w:rPr>
        <w:t>, as mentioned earlier,</w:t>
      </w:r>
      <w:r w:rsidRPr="008B53D2">
        <w:rPr>
          <w:rFonts w:cs="Times New Roman"/>
          <w:color w:val="000000"/>
        </w:rPr>
        <w:t xml:space="preserve"> in many cases the supervisors are at the same time the regulators.</w:t>
      </w:r>
    </w:p>
  </w:footnote>
  <w:footnote w:id="64">
    <w:p w14:paraId="6371EACF" w14:textId="434B6650" w:rsidR="00B21B79" w:rsidRPr="000431C0" w:rsidRDefault="00B21B79">
      <w:pPr>
        <w:pStyle w:val="FootnoteText"/>
      </w:pPr>
      <w:r>
        <w:rPr>
          <w:rStyle w:val="FootnoteReference"/>
        </w:rPr>
        <w:footnoteRef/>
      </w:r>
      <w:r>
        <w:t xml:space="preserve"> </w:t>
      </w:r>
      <w:r w:rsidRPr="000431C0">
        <w:t>See GPCR report, p</w:t>
      </w:r>
      <w:r>
        <w:t>ages</w:t>
      </w:r>
      <w:r w:rsidRPr="000431C0">
        <w:t>. 27-28.</w:t>
      </w:r>
    </w:p>
  </w:footnote>
  <w:footnote w:id="65">
    <w:p w14:paraId="1AEC2692" w14:textId="0164B43E" w:rsidR="00B21B79" w:rsidRPr="000431C0" w:rsidRDefault="00B21B79">
      <w:pPr>
        <w:pStyle w:val="FootnoteText"/>
      </w:pPr>
      <w:r>
        <w:rPr>
          <w:rStyle w:val="FootnoteReference"/>
        </w:rPr>
        <w:footnoteRef/>
      </w:r>
      <w:r>
        <w:t xml:space="preserve"> See GPCR report, page 23-24.</w:t>
      </w:r>
    </w:p>
  </w:footnote>
  <w:footnote w:id="66">
    <w:p w14:paraId="22B7D5C9" w14:textId="77777777" w:rsidR="00B21B79" w:rsidRPr="000431C0" w:rsidRDefault="00B21B79" w:rsidP="009B2258">
      <w:pPr>
        <w:pStyle w:val="FootnoteText"/>
      </w:pPr>
      <w:r>
        <w:rPr>
          <w:rStyle w:val="FootnoteReference"/>
        </w:rPr>
        <w:footnoteRef/>
      </w:r>
      <w:r>
        <w:t xml:space="preserve"> See GPCR report, page 24.</w:t>
      </w:r>
    </w:p>
  </w:footnote>
  <w:footnote w:id="67">
    <w:p w14:paraId="056FF8B0" w14:textId="6AF3C76C" w:rsidR="00B21B79" w:rsidRPr="000431C0" w:rsidRDefault="00B21B79" w:rsidP="001C1A17">
      <w:pPr>
        <w:pStyle w:val="FootnoteText"/>
      </w:pPr>
      <w:r>
        <w:rPr>
          <w:rStyle w:val="FootnoteReference"/>
        </w:rPr>
        <w:footnoteRef/>
      </w:r>
      <w:r>
        <w:t xml:space="preserve"> See GPCR report, pages 39-42.</w:t>
      </w:r>
    </w:p>
  </w:footnote>
  <w:footnote w:id="68">
    <w:p w14:paraId="70DE3924" w14:textId="77777777" w:rsidR="00B21B79" w:rsidRPr="001A5CA4" w:rsidRDefault="00B21B79" w:rsidP="00C925FC">
      <w:pPr>
        <w:pStyle w:val="FootnoteText"/>
      </w:pPr>
      <w:r>
        <w:rPr>
          <w:rStyle w:val="FootnoteReference"/>
        </w:rPr>
        <w:footnoteRef/>
      </w:r>
      <w:r>
        <w:t xml:space="preserve"> Adapted from the ECB’s website.</w:t>
      </w:r>
    </w:p>
  </w:footnote>
  <w:footnote w:id="69">
    <w:p w14:paraId="19190511" w14:textId="77777777" w:rsidR="00B21B79" w:rsidRPr="00E017AB" w:rsidRDefault="00B21B79" w:rsidP="001376F0">
      <w:pPr>
        <w:pStyle w:val="FootnoteText"/>
      </w:pPr>
      <w:r>
        <w:rPr>
          <w:rStyle w:val="FootnoteReference"/>
        </w:rPr>
        <w:footnoteRef/>
      </w:r>
      <w:r>
        <w:t xml:space="preserve"> </w:t>
      </w:r>
      <w:r>
        <w:rPr>
          <w:rFonts w:cs="Times New Roman"/>
          <w:color w:val="000000"/>
        </w:rPr>
        <w:t>A</w:t>
      </w:r>
      <w:r w:rsidRPr="00313A16">
        <w:rPr>
          <w:rFonts w:cs="Times New Roman"/>
          <w:color w:val="000000"/>
        </w:rPr>
        <w:t xml:space="preserve">dapted from </w:t>
      </w:r>
      <w:r>
        <w:rPr>
          <w:rFonts w:cs="Times New Roman"/>
          <w:color w:val="000000"/>
        </w:rPr>
        <w:t xml:space="preserve">the </w:t>
      </w:r>
      <w:r w:rsidRPr="00313A16">
        <w:rPr>
          <w:rFonts w:cs="Times New Roman"/>
          <w:color w:val="000000"/>
        </w:rPr>
        <w:t>Financial Stability Board</w:t>
      </w:r>
      <w:r>
        <w:rPr>
          <w:rFonts w:cs="Times New Roman"/>
          <w:color w:val="000000"/>
        </w:rPr>
        <w:t>’s website</w:t>
      </w:r>
      <w:r w:rsidRPr="00313A16">
        <w:rPr>
          <w:rFonts w:cs="Times New Roman"/>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BD518BC"/>
    <w:multiLevelType w:val="hybridMultilevel"/>
    <w:tmpl w:val="8D6B40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5EB68"/>
    <w:multiLevelType w:val="hybridMultilevel"/>
    <w:tmpl w:val="36E2BB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71EA0"/>
    <w:multiLevelType w:val="hybridMultilevel"/>
    <w:tmpl w:val="204A2B4C"/>
    <w:lvl w:ilvl="0" w:tplc="E6D416FE">
      <w:numFmt w:val="bullet"/>
      <w:lvlText w:val="•"/>
      <w:lvlJc w:val="left"/>
      <w:pPr>
        <w:ind w:left="1080" w:hanging="360"/>
      </w:pPr>
      <w:rPr>
        <w:rFonts w:ascii="Calibri" w:eastAsia="PMingLiU"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8E5B8B"/>
    <w:multiLevelType w:val="hybridMultilevel"/>
    <w:tmpl w:val="89564972"/>
    <w:lvl w:ilvl="0" w:tplc="7200DE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527BC"/>
    <w:multiLevelType w:val="hybridMultilevel"/>
    <w:tmpl w:val="B09278B0"/>
    <w:lvl w:ilvl="0" w:tplc="C4CAEB62">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87EF4"/>
    <w:multiLevelType w:val="hybridMultilevel"/>
    <w:tmpl w:val="37DC84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B7A06D7"/>
    <w:multiLevelType w:val="hybridMultilevel"/>
    <w:tmpl w:val="15C6B57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E317B5"/>
    <w:multiLevelType w:val="hybridMultilevel"/>
    <w:tmpl w:val="E25C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0A735D"/>
    <w:multiLevelType w:val="hybridMultilevel"/>
    <w:tmpl w:val="1DC43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E591947"/>
    <w:multiLevelType w:val="hybridMultilevel"/>
    <w:tmpl w:val="89564972"/>
    <w:lvl w:ilvl="0" w:tplc="7200DE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4A7687"/>
    <w:multiLevelType w:val="hybridMultilevel"/>
    <w:tmpl w:val="08B09546"/>
    <w:lvl w:ilvl="0" w:tplc="1F9A9FB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E7579"/>
    <w:multiLevelType w:val="hybridMultilevel"/>
    <w:tmpl w:val="E8DA9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D81EE1"/>
    <w:multiLevelType w:val="hybridMultilevel"/>
    <w:tmpl w:val="88D85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281A46"/>
    <w:multiLevelType w:val="hybridMultilevel"/>
    <w:tmpl w:val="65469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B17811"/>
    <w:multiLevelType w:val="hybridMultilevel"/>
    <w:tmpl w:val="EA80C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330304"/>
    <w:multiLevelType w:val="hybridMultilevel"/>
    <w:tmpl w:val="B450EB7A"/>
    <w:lvl w:ilvl="0" w:tplc="4CC466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5793AA9"/>
    <w:multiLevelType w:val="hybridMultilevel"/>
    <w:tmpl w:val="08B09546"/>
    <w:lvl w:ilvl="0" w:tplc="1F9A9FB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D97A8B"/>
    <w:multiLevelType w:val="hybridMultilevel"/>
    <w:tmpl w:val="6B7AB630"/>
    <w:lvl w:ilvl="0" w:tplc="4AECA4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CD0C6A"/>
    <w:multiLevelType w:val="hybridMultilevel"/>
    <w:tmpl w:val="A7DE64C2"/>
    <w:lvl w:ilvl="0" w:tplc="CA3E46FE">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FF6E82"/>
    <w:multiLevelType w:val="multilevel"/>
    <w:tmpl w:val="7C68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C346CD"/>
    <w:multiLevelType w:val="hybridMultilevel"/>
    <w:tmpl w:val="CDA60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F2B384D"/>
    <w:multiLevelType w:val="hybridMultilevel"/>
    <w:tmpl w:val="3CA2A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FB43DA0"/>
    <w:multiLevelType w:val="hybridMultilevel"/>
    <w:tmpl w:val="08B09546"/>
    <w:lvl w:ilvl="0" w:tplc="1F9A9FB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F1D75"/>
    <w:multiLevelType w:val="hybridMultilevel"/>
    <w:tmpl w:val="B344EBD4"/>
    <w:lvl w:ilvl="0" w:tplc="5056750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54E3648"/>
    <w:multiLevelType w:val="hybridMultilevel"/>
    <w:tmpl w:val="06F89C12"/>
    <w:lvl w:ilvl="0" w:tplc="8092E8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8F5CF8"/>
    <w:multiLevelType w:val="hybridMultilevel"/>
    <w:tmpl w:val="2D4E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304B71"/>
    <w:multiLevelType w:val="hybridMultilevel"/>
    <w:tmpl w:val="D4265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8427DA6"/>
    <w:multiLevelType w:val="hybridMultilevel"/>
    <w:tmpl w:val="1D14E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096644"/>
    <w:multiLevelType w:val="multilevel"/>
    <w:tmpl w:val="09FAF8B0"/>
    <w:lvl w:ilvl="0">
      <w:start w:val="1"/>
      <w:numFmt w:val="decimal"/>
      <w:lvlText w:val="%1."/>
      <w:lvlJc w:val="left"/>
      <w:pPr>
        <w:ind w:left="540" w:hanging="360"/>
      </w:pPr>
      <w:rPr>
        <w:rFonts w:cs="Times New Roman" w:hint="default"/>
      </w:rPr>
    </w:lvl>
    <w:lvl w:ilvl="1">
      <w:start w:val="5"/>
      <w:numFmt w:val="decimal"/>
      <w:isLgl/>
      <w:lvlText w:val="%1.%2."/>
      <w:lvlJc w:val="left"/>
      <w:pPr>
        <w:ind w:left="123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454237D1"/>
    <w:multiLevelType w:val="hybridMultilevel"/>
    <w:tmpl w:val="759AF818"/>
    <w:lvl w:ilvl="0" w:tplc="1826BED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837BFB"/>
    <w:multiLevelType w:val="hybridMultilevel"/>
    <w:tmpl w:val="87240CCE"/>
    <w:lvl w:ilvl="0" w:tplc="0D5AB1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450E93"/>
    <w:multiLevelType w:val="hybridMultilevel"/>
    <w:tmpl w:val="A072D5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F984D4A"/>
    <w:multiLevelType w:val="hybridMultilevel"/>
    <w:tmpl w:val="B7F49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A26710"/>
    <w:multiLevelType w:val="hybridMultilevel"/>
    <w:tmpl w:val="530A0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67514F9"/>
    <w:multiLevelType w:val="hybridMultilevel"/>
    <w:tmpl w:val="942CC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F0A3B20"/>
    <w:multiLevelType w:val="hybridMultilevel"/>
    <w:tmpl w:val="168E9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EA0A48"/>
    <w:multiLevelType w:val="hybridMultilevel"/>
    <w:tmpl w:val="08B09546"/>
    <w:lvl w:ilvl="0" w:tplc="1F9A9FB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BA369D"/>
    <w:multiLevelType w:val="hybridMultilevel"/>
    <w:tmpl w:val="C1C05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ADB2AE4"/>
    <w:multiLevelType w:val="hybridMultilevel"/>
    <w:tmpl w:val="ECDE8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BFA1A0A"/>
    <w:multiLevelType w:val="hybridMultilevel"/>
    <w:tmpl w:val="335CA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7EA11AC"/>
    <w:multiLevelType w:val="hybridMultilevel"/>
    <w:tmpl w:val="08B09546"/>
    <w:lvl w:ilvl="0" w:tplc="1F9A9FB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673B1"/>
    <w:multiLevelType w:val="hybridMultilevel"/>
    <w:tmpl w:val="5010F382"/>
    <w:lvl w:ilvl="0" w:tplc="9E2A61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9223DB"/>
    <w:multiLevelType w:val="hybridMultilevel"/>
    <w:tmpl w:val="69F6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
  </w:num>
  <w:num w:numId="4">
    <w:abstractNumId w:val="37"/>
  </w:num>
  <w:num w:numId="5">
    <w:abstractNumId w:val="11"/>
  </w:num>
  <w:num w:numId="6">
    <w:abstractNumId w:val="39"/>
  </w:num>
  <w:num w:numId="7">
    <w:abstractNumId w:val="32"/>
  </w:num>
  <w:num w:numId="8">
    <w:abstractNumId w:val="26"/>
  </w:num>
  <w:num w:numId="9">
    <w:abstractNumId w:val="21"/>
  </w:num>
  <w:num w:numId="10">
    <w:abstractNumId w:val="13"/>
  </w:num>
  <w:num w:numId="11">
    <w:abstractNumId w:val="4"/>
  </w:num>
  <w:num w:numId="12">
    <w:abstractNumId w:val="34"/>
  </w:num>
  <w:num w:numId="13">
    <w:abstractNumId w:val="12"/>
  </w:num>
  <w:num w:numId="14">
    <w:abstractNumId w:val="33"/>
  </w:num>
  <w:num w:numId="15">
    <w:abstractNumId w:val="14"/>
  </w:num>
  <w:num w:numId="16">
    <w:abstractNumId w:val="27"/>
  </w:num>
  <w:num w:numId="17">
    <w:abstractNumId w:val="29"/>
  </w:num>
  <w:num w:numId="18">
    <w:abstractNumId w:val="38"/>
  </w:num>
  <w:num w:numId="19">
    <w:abstractNumId w:val="28"/>
  </w:num>
  <w:num w:numId="20">
    <w:abstractNumId w:val="23"/>
  </w:num>
  <w:num w:numId="21">
    <w:abstractNumId w:val="30"/>
  </w:num>
  <w:num w:numId="22">
    <w:abstractNumId w:val="1"/>
  </w:num>
  <w:num w:numId="23">
    <w:abstractNumId w:val="0"/>
  </w:num>
  <w:num w:numId="24">
    <w:abstractNumId w:val="10"/>
  </w:num>
  <w:num w:numId="25">
    <w:abstractNumId w:val="31"/>
  </w:num>
  <w:num w:numId="26">
    <w:abstractNumId w:val="6"/>
  </w:num>
  <w:num w:numId="27">
    <w:abstractNumId w:val="40"/>
  </w:num>
  <w:num w:numId="28">
    <w:abstractNumId w:val="3"/>
  </w:num>
  <w:num w:numId="29">
    <w:abstractNumId w:val="8"/>
  </w:num>
  <w:num w:numId="30">
    <w:abstractNumId w:val="42"/>
  </w:num>
  <w:num w:numId="31">
    <w:abstractNumId w:val="15"/>
  </w:num>
  <w:num w:numId="32">
    <w:abstractNumId w:val="36"/>
  </w:num>
  <w:num w:numId="33">
    <w:abstractNumId w:val="17"/>
  </w:num>
  <w:num w:numId="34">
    <w:abstractNumId w:val="18"/>
  </w:num>
  <w:num w:numId="35">
    <w:abstractNumId w:val="24"/>
  </w:num>
  <w:num w:numId="36">
    <w:abstractNumId w:val="41"/>
  </w:num>
  <w:num w:numId="37">
    <w:abstractNumId w:val="20"/>
  </w:num>
  <w:num w:numId="38">
    <w:abstractNumId w:val="35"/>
  </w:num>
  <w:num w:numId="39">
    <w:abstractNumId w:val="22"/>
  </w:num>
  <w:num w:numId="40">
    <w:abstractNumId w:val="7"/>
  </w:num>
  <w:num w:numId="41">
    <w:abstractNumId w:val="25"/>
  </w:num>
  <w:num w:numId="42">
    <w:abstractNumId w:val="5"/>
  </w:num>
  <w:num w:numId="4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AD"/>
    <w:rsid w:val="000001F8"/>
    <w:rsid w:val="00000431"/>
    <w:rsid w:val="00004A77"/>
    <w:rsid w:val="00005141"/>
    <w:rsid w:val="00006DF0"/>
    <w:rsid w:val="00007843"/>
    <w:rsid w:val="0001194D"/>
    <w:rsid w:val="000139D5"/>
    <w:rsid w:val="0001720E"/>
    <w:rsid w:val="00017F87"/>
    <w:rsid w:val="000200BE"/>
    <w:rsid w:val="00020C05"/>
    <w:rsid w:val="000210F4"/>
    <w:rsid w:val="000215F2"/>
    <w:rsid w:val="00021FE4"/>
    <w:rsid w:val="0002209D"/>
    <w:rsid w:val="0002410F"/>
    <w:rsid w:val="0002737F"/>
    <w:rsid w:val="00030B1B"/>
    <w:rsid w:val="000316EF"/>
    <w:rsid w:val="0003351B"/>
    <w:rsid w:val="000337B3"/>
    <w:rsid w:val="000338A2"/>
    <w:rsid w:val="00034257"/>
    <w:rsid w:val="00036AFD"/>
    <w:rsid w:val="00040EF9"/>
    <w:rsid w:val="000431C0"/>
    <w:rsid w:val="000439C7"/>
    <w:rsid w:val="00045C7E"/>
    <w:rsid w:val="00045CDE"/>
    <w:rsid w:val="00045FFD"/>
    <w:rsid w:val="0004617B"/>
    <w:rsid w:val="00047316"/>
    <w:rsid w:val="000506F9"/>
    <w:rsid w:val="00050D87"/>
    <w:rsid w:val="00051CD9"/>
    <w:rsid w:val="000536C8"/>
    <w:rsid w:val="000538E4"/>
    <w:rsid w:val="00054584"/>
    <w:rsid w:val="00055DFA"/>
    <w:rsid w:val="00056D2F"/>
    <w:rsid w:val="000579DB"/>
    <w:rsid w:val="00060686"/>
    <w:rsid w:val="00061357"/>
    <w:rsid w:val="000614CF"/>
    <w:rsid w:val="00063056"/>
    <w:rsid w:val="0006346A"/>
    <w:rsid w:val="00065FE7"/>
    <w:rsid w:val="00067A18"/>
    <w:rsid w:val="00067AE5"/>
    <w:rsid w:val="00071655"/>
    <w:rsid w:val="00071E31"/>
    <w:rsid w:val="0007262D"/>
    <w:rsid w:val="000727AA"/>
    <w:rsid w:val="000756FC"/>
    <w:rsid w:val="000766EF"/>
    <w:rsid w:val="0007708B"/>
    <w:rsid w:val="00080ED8"/>
    <w:rsid w:val="00083C52"/>
    <w:rsid w:val="00084258"/>
    <w:rsid w:val="000859CE"/>
    <w:rsid w:val="0008669F"/>
    <w:rsid w:val="00086974"/>
    <w:rsid w:val="000869F6"/>
    <w:rsid w:val="00086D0B"/>
    <w:rsid w:val="00087561"/>
    <w:rsid w:val="00091D15"/>
    <w:rsid w:val="0009218F"/>
    <w:rsid w:val="000932E3"/>
    <w:rsid w:val="0009580E"/>
    <w:rsid w:val="00096C49"/>
    <w:rsid w:val="00097126"/>
    <w:rsid w:val="000A03C4"/>
    <w:rsid w:val="000A053A"/>
    <w:rsid w:val="000A0FD4"/>
    <w:rsid w:val="000A23C6"/>
    <w:rsid w:val="000A2BEE"/>
    <w:rsid w:val="000A3E86"/>
    <w:rsid w:val="000A46F3"/>
    <w:rsid w:val="000A5C38"/>
    <w:rsid w:val="000A7FF6"/>
    <w:rsid w:val="000B1593"/>
    <w:rsid w:val="000B164A"/>
    <w:rsid w:val="000B1DC9"/>
    <w:rsid w:val="000B1E52"/>
    <w:rsid w:val="000B412F"/>
    <w:rsid w:val="000B417A"/>
    <w:rsid w:val="000B6AFB"/>
    <w:rsid w:val="000B757A"/>
    <w:rsid w:val="000C07FD"/>
    <w:rsid w:val="000C1360"/>
    <w:rsid w:val="000C2039"/>
    <w:rsid w:val="000C273A"/>
    <w:rsid w:val="000C3A84"/>
    <w:rsid w:val="000C3B22"/>
    <w:rsid w:val="000C5CA4"/>
    <w:rsid w:val="000C5E31"/>
    <w:rsid w:val="000C6B67"/>
    <w:rsid w:val="000C6CD7"/>
    <w:rsid w:val="000D1EC1"/>
    <w:rsid w:val="000D2DFC"/>
    <w:rsid w:val="000D3344"/>
    <w:rsid w:val="000D343D"/>
    <w:rsid w:val="000D40B0"/>
    <w:rsid w:val="000D4626"/>
    <w:rsid w:val="000D791E"/>
    <w:rsid w:val="000E2DD1"/>
    <w:rsid w:val="000E48C0"/>
    <w:rsid w:val="000E55D7"/>
    <w:rsid w:val="000E5F2B"/>
    <w:rsid w:val="000E62C1"/>
    <w:rsid w:val="000F0BAE"/>
    <w:rsid w:val="000F13CE"/>
    <w:rsid w:val="000F2C47"/>
    <w:rsid w:val="000F323D"/>
    <w:rsid w:val="000F4A74"/>
    <w:rsid w:val="000F4B78"/>
    <w:rsid w:val="000F4C32"/>
    <w:rsid w:val="000F4F59"/>
    <w:rsid w:val="000F5D83"/>
    <w:rsid w:val="000F62AD"/>
    <w:rsid w:val="000F6509"/>
    <w:rsid w:val="000F6909"/>
    <w:rsid w:val="00102088"/>
    <w:rsid w:val="0010388E"/>
    <w:rsid w:val="0010499C"/>
    <w:rsid w:val="00105778"/>
    <w:rsid w:val="0010610A"/>
    <w:rsid w:val="001062B7"/>
    <w:rsid w:val="00106348"/>
    <w:rsid w:val="00111B0D"/>
    <w:rsid w:val="00113950"/>
    <w:rsid w:val="00114156"/>
    <w:rsid w:val="00114921"/>
    <w:rsid w:val="001159A3"/>
    <w:rsid w:val="001171E0"/>
    <w:rsid w:val="00117DC2"/>
    <w:rsid w:val="00122ACD"/>
    <w:rsid w:val="001233C4"/>
    <w:rsid w:val="0012577D"/>
    <w:rsid w:val="0013021B"/>
    <w:rsid w:val="00130A7C"/>
    <w:rsid w:val="0013127D"/>
    <w:rsid w:val="0013408F"/>
    <w:rsid w:val="00134595"/>
    <w:rsid w:val="001350EF"/>
    <w:rsid w:val="00135DF4"/>
    <w:rsid w:val="00136232"/>
    <w:rsid w:val="001376F0"/>
    <w:rsid w:val="00142098"/>
    <w:rsid w:val="00144FEF"/>
    <w:rsid w:val="00151DE1"/>
    <w:rsid w:val="001525FE"/>
    <w:rsid w:val="00152D86"/>
    <w:rsid w:val="0015353D"/>
    <w:rsid w:val="00154A74"/>
    <w:rsid w:val="0015501B"/>
    <w:rsid w:val="001629B3"/>
    <w:rsid w:val="00165E2F"/>
    <w:rsid w:val="00166048"/>
    <w:rsid w:val="001667C0"/>
    <w:rsid w:val="001711BC"/>
    <w:rsid w:val="001731ED"/>
    <w:rsid w:val="001739DC"/>
    <w:rsid w:val="001745AA"/>
    <w:rsid w:val="00176174"/>
    <w:rsid w:val="0017673C"/>
    <w:rsid w:val="00176BF1"/>
    <w:rsid w:val="00176CF2"/>
    <w:rsid w:val="00176D10"/>
    <w:rsid w:val="00182D09"/>
    <w:rsid w:val="001843D7"/>
    <w:rsid w:val="00185C14"/>
    <w:rsid w:val="00185C38"/>
    <w:rsid w:val="00187FB5"/>
    <w:rsid w:val="00191228"/>
    <w:rsid w:val="00191EAD"/>
    <w:rsid w:val="001928E3"/>
    <w:rsid w:val="00192A73"/>
    <w:rsid w:val="00192F92"/>
    <w:rsid w:val="001943A5"/>
    <w:rsid w:val="00196C28"/>
    <w:rsid w:val="001A354D"/>
    <w:rsid w:val="001A3C2E"/>
    <w:rsid w:val="001A5CA4"/>
    <w:rsid w:val="001A665A"/>
    <w:rsid w:val="001A6F95"/>
    <w:rsid w:val="001B370D"/>
    <w:rsid w:val="001B3770"/>
    <w:rsid w:val="001B3B5C"/>
    <w:rsid w:val="001B56C1"/>
    <w:rsid w:val="001B7D96"/>
    <w:rsid w:val="001C1A17"/>
    <w:rsid w:val="001C2560"/>
    <w:rsid w:val="001C2E47"/>
    <w:rsid w:val="001C57C3"/>
    <w:rsid w:val="001C5C2D"/>
    <w:rsid w:val="001C695E"/>
    <w:rsid w:val="001C7E86"/>
    <w:rsid w:val="001D09AA"/>
    <w:rsid w:val="001D141F"/>
    <w:rsid w:val="001D1638"/>
    <w:rsid w:val="001D1645"/>
    <w:rsid w:val="001D2F4E"/>
    <w:rsid w:val="001D7120"/>
    <w:rsid w:val="001E0DEB"/>
    <w:rsid w:val="001E1354"/>
    <w:rsid w:val="001E1F05"/>
    <w:rsid w:val="001E22DC"/>
    <w:rsid w:val="001E4814"/>
    <w:rsid w:val="001E5B61"/>
    <w:rsid w:val="001E7B75"/>
    <w:rsid w:val="001F09B5"/>
    <w:rsid w:val="001F11E6"/>
    <w:rsid w:val="001F21DE"/>
    <w:rsid w:val="001F2B34"/>
    <w:rsid w:val="001F4E30"/>
    <w:rsid w:val="00202C9F"/>
    <w:rsid w:val="00203676"/>
    <w:rsid w:val="00203848"/>
    <w:rsid w:val="002059A7"/>
    <w:rsid w:val="00207370"/>
    <w:rsid w:val="00207B2E"/>
    <w:rsid w:val="00210F3E"/>
    <w:rsid w:val="00212DBB"/>
    <w:rsid w:val="0021353F"/>
    <w:rsid w:val="00213931"/>
    <w:rsid w:val="00214212"/>
    <w:rsid w:val="00214F27"/>
    <w:rsid w:val="002152D6"/>
    <w:rsid w:val="002159E1"/>
    <w:rsid w:val="00217808"/>
    <w:rsid w:val="00220233"/>
    <w:rsid w:val="002210BF"/>
    <w:rsid w:val="00221423"/>
    <w:rsid w:val="00221538"/>
    <w:rsid w:val="0022166C"/>
    <w:rsid w:val="0022264C"/>
    <w:rsid w:val="002265D3"/>
    <w:rsid w:val="002304BE"/>
    <w:rsid w:val="0023164F"/>
    <w:rsid w:val="002340C2"/>
    <w:rsid w:val="00234573"/>
    <w:rsid w:val="002347C1"/>
    <w:rsid w:val="00237E65"/>
    <w:rsid w:val="00240ECD"/>
    <w:rsid w:val="00242501"/>
    <w:rsid w:val="002425B7"/>
    <w:rsid w:val="0024304D"/>
    <w:rsid w:val="00243269"/>
    <w:rsid w:val="0024488E"/>
    <w:rsid w:val="00245289"/>
    <w:rsid w:val="002456FD"/>
    <w:rsid w:val="00246480"/>
    <w:rsid w:val="00251081"/>
    <w:rsid w:val="002518E8"/>
    <w:rsid w:val="002533B9"/>
    <w:rsid w:val="00253A45"/>
    <w:rsid w:val="002545EA"/>
    <w:rsid w:val="002560E9"/>
    <w:rsid w:val="00256ABB"/>
    <w:rsid w:val="00261ED5"/>
    <w:rsid w:val="00267338"/>
    <w:rsid w:val="0027143E"/>
    <w:rsid w:val="0027366A"/>
    <w:rsid w:val="00276451"/>
    <w:rsid w:val="00277711"/>
    <w:rsid w:val="00281DF3"/>
    <w:rsid w:val="0028512B"/>
    <w:rsid w:val="00285F11"/>
    <w:rsid w:val="00287D62"/>
    <w:rsid w:val="00290620"/>
    <w:rsid w:val="00290FF3"/>
    <w:rsid w:val="00291E4E"/>
    <w:rsid w:val="00296039"/>
    <w:rsid w:val="00296CD9"/>
    <w:rsid w:val="00297D80"/>
    <w:rsid w:val="002A2469"/>
    <w:rsid w:val="002A7924"/>
    <w:rsid w:val="002B058A"/>
    <w:rsid w:val="002B3730"/>
    <w:rsid w:val="002B7925"/>
    <w:rsid w:val="002B7FBD"/>
    <w:rsid w:val="002C0532"/>
    <w:rsid w:val="002C193C"/>
    <w:rsid w:val="002C26B5"/>
    <w:rsid w:val="002C319C"/>
    <w:rsid w:val="002C364D"/>
    <w:rsid w:val="002C3E8F"/>
    <w:rsid w:val="002C51EF"/>
    <w:rsid w:val="002C6C0B"/>
    <w:rsid w:val="002C7E6E"/>
    <w:rsid w:val="002D0893"/>
    <w:rsid w:val="002D1A42"/>
    <w:rsid w:val="002D23C1"/>
    <w:rsid w:val="002D2444"/>
    <w:rsid w:val="002D43B9"/>
    <w:rsid w:val="002D60E6"/>
    <w:rsid w:val="002D68C3"/>
    <w:rsid w:val="002E05D4"/>
    <w:rsid w:val="002E06A4"/>
    <w:rsid w:val="002E16FF"/>
    <w:rsid w:val="002E1C62"/>
    <w:rsid w:val="002E312F"/>
    <w:rsid w:val="002E4C53"/>
    <w:rsid w:val="002E6A17"/>
    <w:rsid w:val="002F1A07"/>
    <w:rsid w:val="002F3976"/>
    <w:rsid w:val="002F398C"/>
    <w:rsid w:val="002F57B4"/>
    <w:rsid w:val="002F5AD5"/>
    <w:rsid w:val="002F5F16"/>
    <w:rsid w:val="002F6866"/>
    <w:rsid w:val="002F7ECF"/>
    <w:rsid w:val="0030074E"/>
    <w:rsid w:val="00303485"/>
    <w:rsid w:val="0030469F"/>
    <w:rsid w:val="00304D0B"/>
    <w:rsid w:val="00304E0B"/>
    <w:rsid w:val="00304E11"/>
    <w:rsid w:val="00305228"/>
    <w:rsid w:val="003055EA"/>
    <w:rsid w:val="00306052"/>
    <w:rsid w:val="0030765E"/>
    <w:rsid w:val="00307A81"/>
    <w:rsid w:val="00311EA8"/>
    <w:rsid w:val="003126F2"/>
    <w:rsid w:val="00312723"/>
    <w:rsid w:val="00312A61"/>
    <w:rsid w:val="0031322E"/>
    <w:rsid w:val="00313A16"/>
    <w:rsid w:val="00313E69"/>
    <w:rsid w:val="00314262"/>
    <w:rsid w:val="003156F1"/>
    <w:rsid w:val="0031617B"/>
    <w:rsid w:val="0031658B"/>
    <w:rsid w:val="00320030"/>
    <w:rsid w:val="0032137A"/>
    <w:rsid w:val="00321FA5"/>
    <w:rsid w:val="003225EE"/>
    <w:rsid w:val="00322C06"/>
    <w:rsid w:val="003237B1"/>
    <w:rsid w:val="00323C9B"/>
    <w:rsid w:val="0032625F"/>
    <w:rsid w:val="00326CBE"/>
    <w:rsid w:val="00330F71"/>
    <w:rsid w:val="00332EE1"/>
    <w:rsid w:val="00333A34"/>
    <w:rsid w:val="00334A74"/>
    <w:rsid w:val="003375AC"/>
    <w:rsid w:val="00337CD1"/>
    <w:rsid w:val="00340670"/>
    <w:rsid w:val="00341603"/>
    <w:rsid w:val="0034379A"/>
    <w:rsid w:val="00343FDD"/>
    <w:rsid w:val="003461C8"/>
    <w:rsid w:val="003469FA"/>
    <w:rsid w:val="00346C04"/>
    <w:rsid w:val="00346DE0"/>
    <w:rsid w:val="00347DAD"/>
    <w:rsid w:val="00350482"/>
    <w:rsid w:val="00352D13"/>
    <w:rsid w:val="003539BC"/>
    <w:rsid w:val="00355F76"/>
    <w:rsid w:val="00357185"/>
    <w:rsid w:val="00357CE1"/>
    <w:rsid w:val="00361280"/>
    <w:rsid w:val="00362D49"/>
    <w:rsid w:val="003645FA"/>
    <w:rsid w:val="0037124E"/>
    <w:rsid w:val="00371AF1"/>
    <w:rsid w:val="00371C45"/>
    <w:rsid w:val="00372B7C"/>
    <w:rsid w:val="00374959"/>
    <w:rsid w:val="00380323"/>
    <w:rsid w:val="00383430"/>
    <w:rsid w:val="003864B9"/>
    <w:rsid w:val="003867B3"/>
    <w:rsid w:val="0039082D"/>
    <w:rsid w:val="00391388"/>
    <w:rsid w:val="00392F9D"/>
    <w:rsid w:val="00394961"/>
    <w:rsid w:val="00395738"/>
    <w:rsid w:val="00395809"/>
    <w:rsid w:val="003967E6"/>
    <w:rsid w:val="003976DA"/>
    <w:rsid w:val="003A033B"/>
    <w:rsid w:val="003A19FB"/>
    <w:rsid w:val="003A2D5F"/>
    <w:rsid w:val="003A2D61"/>
    <w:rsid w:val="003A3550"/>
    <w:rsid w:val="003A4307"/>
    <w:rsid w:val="003A4A2A"/>
    <w:rsid w:val="003A678F"/>
    <w:rsid w:val="003A6D7C"/>
    <w:rsid w:val="003A7432"/>
    <w:rsid w:val="003B3278"/>
    <w:rsid w:val="003B32B7"/>
    <w:rsid w:val="003B446F"/>
    <w:rsid w:val="003B6DB7"/>
    <w:rsid w:val="003C0689"/>
    <w:rsid w:val="003C09CF"/>
    <w:rsid w:val="003C1985"/>
    <w:rsid w:val="003C2E8A"/>
    <w:rsid w:val="003C3500"/>
    <w:rsid w:val="003C4040"/>
    <w:rsid w:val="003C542F"/>
    <w:rsid w:val="003C65DF"/>
    <w:rsid w:val="003D12E6"/>
    <w:rsid w:val="003D1AD4"/>
    <w:rsid w:val="003D2C1C"/>
    <w:rsid w:val="003D5657"/>
    <w:rsid w:val="003D60EF"/>
    <w:rsid w:val="003D64BD"/>
    <w:rsid w:val="003D7712"/>
    <w:rsid w:val="003D7C7B"/>
    <w:rsid w:val="003E315E"/>
    <w:rsid w:val="003E3507"/>
    <w:rsid w:val="003E598D"/>
    <w:rsid w:val="003E6048"/>
    <w:rsid w:val="003F1241"/>
    <w:rsid w:val="003F4816"/>
    <w:rsid w:val="003F5176"/>
    <w:rsid w:val="003F5643"/>
    <w:rsid w:val="003F5C5B"/>
    <w:rsid w:val="003F6673"/>
    <w:rsid w:val="003F699D"/>
    <w:rsid w:val="003F6EB9"/>
    <w:rsid w:val="003F755B"/>
    <w:rsid w:val="00400BA2"/>
    <w:rsid w:val="00402293"/>
    <w:rsid w:val="0040256D"/>
    <w:rsid w:val="00402946"/>
    <w:rsid w:val="00403165"/>
    <w:rsid w:val="00404861"/>
    <w:rsid w:val="00404E73"/>
    <w:rsid w:val="00406C72"/>
    <w:rsid w:val="0041197D"/>
    <w:rsid w:val="00412734"/>
    <w:rsid w:val="00412A67"/>
    <w:rsid w:val="00413166"/>
    <w:rsid w:val="00413BC8"/>
    <w:rsid w:val="004178C4"/>
    <w:rsid w:val="004205E8"/>
    <w:rsid w:val="0042085A"/>
    <w:rsid w:val="00421EE8"/>
    <w:rsid w:val="0042244D"/>
    <w:rsid w:val="00422A23"/>
    <w:rsid w:val="0042507A"/>
    <w:rsid w:val="00425494"/>
    <w:rsid w:val="00426892"/>
    <w:rsid w:val="00430C36"/>
    <w:rsid w:val="004316AA"/>
    <w:rsid w:val="00431982"/>
    <w:rsid w:val="00431E6B"/>
    <w:rsid w:val="00433BE7"/>
    <w:rsid w:val="00434D53"/>
    <w:rsid w:val="00436810"/>
    <w:rsid w:val="00437925"/>
    <w:rsid w:val="0044211C"/>
    <w:rsid w:val="00442E0F"/>
    <w:rsid w:val="004434F7"/>
    <w:rsid w:val="00443B9D"/>
    <w:rsid w:val="004443D9"/>
    <w:rsid w:val="0045543F"/>
    <w:rsid w:val="00455DD3"/>
    <w:rsid w:val="00457400"/>
    <w:rsid w:val="00460DF3"/>
    <w:rsid w:val="00462961"/>
    <w:rsid w:val="0046311C"/>
    <w:rsid w:val="0046496C"/>
    <w:rsid w:val="00464A11"/>
    <w:rsid w:val="00464B7B"/>
    <w:rsid w:val="00465CB4"/>
    <w:rsid w:val="00466185"/>
    <w:rsid w:val="00470310"/>
    <w:rsid w:val="00471957"/>
    <w:rsid w:val="00473081"/>
    <w:rsid w:val="00473D13"/>
    <w:rsid w:val="00474804"/>
    <w:rsid w:val="004773D9"/>
    <w:rsid w:val="00480D81"/>
    <w:rsid w:val="004827B6"/>
    <w:rsid w:val="00482DA8"/>
    <w:rsid w:val="004874C7"/>
    <w:rsid w:val="00492C60"/>
    <w:rsid w:val="0049340D"/>
    <w:rsid w:val="00493721"/>
    <w:rsid w:val="00494768"/>
    <w:rsid w:val="004958E0"/>
    <w:rsid w:val="00496672"/>
    <w:rsid w:val="004977AF"/>
    <w:rsid w:val="004A169F"/>
    <w:rsid w:val="004A24AD"/>
    <w:rsid w:val="004A36D1"/>
    <w:rsid w:val="004A4C72"/>
    <w:rsid w:val="004A6A14"/>
    <w:rsid w:val="004B003F"/>
    <w:rsid w:val="004B0BEE"/>
    <w:rsid w:val="004B2CB7"/>
    <w:rsid w:val="004B2ED6"/>
    <w:rsid w:val="004B6AA8"/>
    <w:rsid w:val="004B6B2C"/>
    <w:rsid w:val="004C279B"/>
    <w:rsid w:val="004C2D01"/>
    <w:rsid w:val="004C55B8"/>
    <w:rsid w:val="004C69AF"/>
    <w:rsid w:val="004C6FF7"/>
    <w:rsid w:val="004D0E68"/>
    <w:rsid w:val="004D0F4D"/>
    <w:rsid w:val="004D108F"/>
    <w:rsid w:val="004D1AAF"/>
    <w:rsid w:val="004D3539"/>
    <w:rsid w:val="004D5401"/>
    <w:rsid w:val="004D74A1"/>
    <w:rsid w:val="004E16A8"/>
    <w:rsid w:val="004E1D3B"/>
    <w:rsid w:val="004E2FD9"/>
    <w:rsid w:val="004E3A7A"/>
    <w:rsid w:val="004E5015"/>
    <w:rsid w:val="004E62DF"/>
    <w:rsid w:val="004E7460"/>
    <w:rsid w:val="004E7AB4"/>
    <w:rsid w:val="004F347C"/>
    <w:rsid w:val="004F43B4"/>
    <w:rsid w:val="004F5702"/>
    <w:rsid w:val="004F6D55"/>
    <w:rsid w:val="004F6DF1"/>
    <w:rsid w:val="00503A05"/>
    <w:rsid w:val="00503BA1"/>
    <w:rsid w:val="0050649F"/>
    <w:rsid w:val="00506814"/>
    <w:rsid w:val="0051113B"/>
    <w:rsid w:val="00514B3E"/>
    <w:rsid w:val="00514CA2"/>
    <w:rsid w:val="00515139"/>
    <w:rsid w:val="005153DB"/>
    <w:rsid w:val="00515FEE"/>
    <w:rsid w:val="0051613E"/>
    <w:rsid w:val="005205E9"/>
    <w:rsid w:val="00520BAB"/>
    <w:rsid w:val="0052192B"/>
    <w:rsid w:val="00521D5E"/>
    <w:rsid w:val="00523722"/>
    <w:rsid w:val="00527E10"/>
    <w:rsid w:val="00530403"/>
    <w:rsid w:val="005328F7"/>
    <w:rsid w:val="005339F8"/>
    <w:rsid w:val="00533A01"/>
    <w:rsid w:val="00533B85"/>
    <w:rsid w:val="005352B5"/>
    <w:rsid w:val="005359A8"/>
    <w:rsid w:val="00535F0B"/>
    <w:rsid w:val="005373D2"/>
    <w:rsid w:val="005402F9"/>
    <w:rsid w:val="0054102B"/>
    <w:rsid w:val="005411D3"/>
    <w:rsid w:val="00541AB8"/>
    <w:rsid w:val="00544412"/>
    <w:rsid w:val="005461E4"/>
    <w:rsid w:val="00547057"/>
    <w:rsid w:val="00547B45"/>
    <w:rsid w:val="0055115A"/>
    <w:rsid w:val="00551BC4"/>
    <w:rsid w:val="00551CE9"/>
    <w:rsid w:val="0055229F"/>
    <w:rsid w:val="00553A46"/>
    <w:rsid w:val="00554076"/>
    <w:rsid w:val="005555D7"/>
    <w:rsid w:val="00555D86"/>
    <w:rsid w:val="005564FA"/>
    <w:rsid w:val="00561687"/>
    <w:rsid w:val="00561BC2"/>
    <w:rsid w:val="0056235F"/>
    <w:rsid w:val="00563174"/>
    <w:rsid w:val="00563617"/>
    <w:rsid w:val="00563C06"/>
    <w:rsid w:val="005649A7"/>
    <w:rsid w:val="00565949"/>
    <w:rsid w:val="00565C7D"/>
    <w:rsid w:val="005702DF"/>
    <w:rsid w:val="005719DC"/>
    <w:rsid w:val="0057472A"/>
    <w:rsid w:val="00574C15"/>
    <w:rsid w:val="00575209"/>
    <w:rsid w:val="005762F2"/>
    <w:rsid w:val="00580C72"/>
    <w:rsid w:val="00581102"/>
    <w:rsid w:val="005818CE"/>
    <w:rsid w:val="0058486F"/>
    <w:rsid w:val="005865B0"/>
    <w:rsid w:val="00586929"/>
    <w:rsid w:val="00590CCE"/>
    <w:rsid w:val="00591B4F"/>
    <w:rsid w:val="005927D6"/>
    <w:rsid w:val="00592D55"/>
    <w:rsid w:val="00594660"/>
    <w:rsid w:val="005A151A"/>
    <w:rsid w:val="005A23F2"/>
    <w:rsid w:val="005A3881"/>
    <w:rsid w:val="005A7BAE"/>
    <w:rsid w:val="005B0748"/>
    <w:rsid w:val="005B12A7"/>
    <w:rsid w:val="005B227D"/>
    <w:rsid w:val="005B269B"/>
    <w:rsid w:val="005B4E90"/>
    <w:rsid w:val="005B60E8"/>
    <w:rsid w:val="005C06A0"/>
    <w:rsid w:val="005C0B2C"/>
    <w:rsid w:val="005C213B"/>
    <w:rsid w:val="005C6A9B"/>
    <w:rsid w:val="005D1393"/>
    <w:rsid w:val="005D1505"/>
    <w:rsid w:val="005D1FBA"/>
    <w:rsid w:val="005D20D1"/>
    <w:rsid w:val="005D2E9A"/>
    <w:rsid w:val="005D32B9"/>
    <w:rsid w:val="005D5373"/>
    <w:rsid w:val="005D7C64"/>
    <w:rsid w:val="005D7FA3"/>
    <w:rsid w:val="005E01C3"/>
    <w:rsid w:val="005E050C"/>
    <w:rsid w:val="005E1928"/>
    <w:rsid w:val="005E2FFA"/>
    <w:rsid w:val="005E4A5F"/>
    <w:rsid w:val="005E4B67"/>
    <w:rsid w:val="005E5D0F"/>
    <w:rsid w:val="005E5E19"/>
    <w:rsid w:val="005F5622"/>
    <w:rsid w:val="005F5889"/>
    <w:rsid w:val="005F5FE3"/>
    <w:rsid w:val="005F6282"/>
    <w:rsid w:val="005F68F3"/>
    <w:rsid w:val="005F6C4A"/>
    <w:rsid w:val="006009FF"/>
    <w:rsid w:val="00601726"/>
    <w:rsid w:val="00602FCD"/>
    <w:rsid w:val="00603ACB"/>
    <w:rsid w:val="006048F9"/>
    <w:rsid w:val="0060656A"/>
    <w:rsid w:val="0060696B"/>
    <w:rsid w:val="006110E7"/>
    <w:rsid w:val="00611AF5"/>
    <w:rsid w:val="00614850"/>
    <w:rsid w:val="00614F14"/>
    <w:rsid w:val="00615803"/>
    <w:rsid w:val="0061665E"/>
    <w:rsid w:val="006174F3"/>
    <w:rsid w:val="00617D59"/>
    <w:rsid w:val="00617E53"/>
    <w:rsid w:val="00617F2B"/>
    <w:rsid w:val="00624A59"/>
    <w:rsid w:val="006256FD"/>
    <w:rsid w:val="00625F51"/>
    <w:rsid w:val="00626C33"/>
    <w:rsid w:val="0063171C"/>
    <w:rsid w:val="00632257"/>
    <w:rsid w:val="00635FF4"/>
    <w:rsid w:val="006415EA"/>
    <w:rsid w:val="00641FCD"/>
    <w:rsid w:val="00644250"/>
    <w:rsid w:val="00646D97"/>
    <w:rsid w:val="00647AFC"/>
    <w:rsid w:val="00650922"/>
    <w:rsid w:val="00650E5A"/>
    <w:rsid w:val="00652AF3"/>
    <w:rsid w:val="00653158"/>
    <w:rsid w:val="00653587"/>
    <w:rsid w:val="00655D17"/>
    <w:rsid w:val="00656924"/>
    <w:rsid w:val="006569D6"/>
    <w:rsid w:val="006574A1"/>
    <w:rsid w:val="006609DD"/>
    <w:rsid w:val="006618F4"/>
    <w:rsid w:val="00661A86"/>
    <w:rsid w:val="006653C4"/>
    <w:rsid w:val="006658BA"/>
    <w:rsid w:val="00665BD7"/>
    <w:rsid w:val="00665D7D"/>
    <w:rsid w:val="00667833"/>
    <w:rsid w:val="00671A53"/>
    <w:rsid w:val="00673509"/>
    <w:rsid w:val="00673881"/>
    <w:rsid w:val="00673C5A"/>
    <w:rsid w:val="00673DC8"/>
    <w:rsid w:val="006769C8"/>
    <w:rsid w:val="00676A43"/>
    <w:rsid w:val="00677ADC"/>
    <w:rsid w:val="00680072"/>
    <w:rsid w:val="00680F8A"/>
    <w:rsid w:val="0068148D"/>
    <w:rsid w:val="0068173B"/>
    <w:rsid w:val="00682F0D"/>
    <w:rsid w:val="00683F78"/>
    <w:rsid w:val="00684A07"/>
    <w:rsid w:val="00687505"/>
    <w:rsid w:val="00691C62"/>
    <w:rsid w:val="00691D92"/>
    <w:rsid w:val="006928C0"/>
    <w:rsid w:val="00693D0A"/>
    <w:rsid w:val="006955A2"/>
    <w:rsid w:val="00695A20"/>
    <w:rsid w:val="00696EE7"/>
    <w:rsid w:val="006A0E0E"/>
    <w:rsid w:val="006A35A9"/>
    <w:rsid w:val="006A426B"/>
    <w:rsid w:val="006A4F18"/>
    <w:rsid w:val="006A62BC"/>
    <w:rsid w:val="006A699C"/>
    <w:rsid w:val="006A776F"/>
    <w:rsid w:val="006A7F14"/>
    <w:rsid w:val="006B0904"/>
    <w:rsid w:val="006B0FA7"/>
    <w:rsid w:val="006B194F"/>
    <w:rsid w:val="006B3C1B"/>
    <w:rsid w:val="006B5959"/>
    <w:rsid w:val="006B5F8B"/>
    <w:rsid w:val="006B7737"/>
    <w:rsid w:val="006C08C0"/>
    <w:rsid w:val="006C09DF"/>
    <w:rsid w:val="006C13CC"/>
    <w:rsid w:val="006C26DD"/>
    <w:rsid w:val="006C4E82"/>
    <w:rsid w:val="006C6347"/>
    <w:rsid w:val="006C6910"/>
    <w:rsid w:val="006C7BBA"/>
    <w:rsid w:val="006D1E1A"/>
    <w:rsid w:val="006D7E9F"/>
    <w:rsid w:val="006E4F62"/>
    <w:rsid w:val="006F08F7"/>
    <w:rsid w:val="006F0E1C"/>
    <w:rsid w:val="006F504B"/>
    <w:rsid w:val="006F6E8D"/>
    <w:rsid w:val="006F7868"/>
    <w:rsid w:val="007008AF"/>
    <w:rsid w:val="0070192F"/>
    <w:rsid w:val="00701AC1"/>
    <w:rsid w:val="0070633E"/>
    <w:rsid w:val="0071102B"/>
    <w:rsid w:val="00711B1B"/>
    <w:rsid w:val="00715048"/>
    <w:rsid w:val="007156E2"/>
    <w:rsid w:val="00717463"/>
    <w:rsid w:val="00720967"/>
    <w:rsid w:val="00720E51"/>
    <w:rsid w:val="00720FFF"/>
    <w:rsid w:val="00721B48"/>
    <w:rsid w:val="007232A8"/>
    <w:rsid w:val="007234B0"/>
    <w:rsid w:val="00723EEB"/>
    <w:rsid w:val="00724BF2"/>
    <w:rsid w:val="007255F9"/>
    <w:rsid w:val="007259F8"/>
    <w:rsid w:val="007266DF"/>
    <w:rsid w:val="0072760F"/>
    <w:rsid w:val="00730C3D"/>
    <w:rsid w:val="0073371A"/>
    <w:rsid w:val="00741BB2"/>
    <w:rsid w:val="007424D5"/>
    <w:rsid w:val="0074287B"/>
    <w:rsid w:val="007458DA"/>
    <w:rsid w:val="00746642"/>
    <w:rsid w:val="00746BDE"/>
    <w:rsid w:val="007474FD"/>
    <w:rsid w:val="00750616"/>
    <w:rsid w:val="00753016"/>
    <w:rsid w:val="0075324E"/>
    <w:rsid w:val="007532F2"/>
    <w:rsid w:val="00753C46"/>
    <w:rsid w:val="007608EE"/>
    <w:rsid w:val="00761BC8"/>
    <w:rsid w:val="00761F67"/>
    <w:rsid w:val="0076342E"/>
    <w:rsid w:val="00767C20"/>
    <w:rsid w:val="007708FA"/>
    <w:rsid w:val="00773A69"/>
    <w:rsid w:val="00773A99"/>
    <w:rsid w:val="007757C1"/>
    <w:rsid w:val="00776849"/>
    <w:rsid w:val="00776CC6"/>
    <w:rsid w:val="00777414"/>
    <w:rsid w:val="007838FA"/>
    <w:rsid w:val="0078408F"/>
    <w:rsid w:val="00784C9C"/>
    <w:rsid w:val="00785688"/>
    <w:rsid w:val="00786D06"/>
    <w:rsid w:val="00787B35"/>
    <w:rsid w:val="0079127B"/>
    <w:rsid w:val="00791A4D"/>
    <w:rsid w:val="0079511D"/>
    <w:rsid w:val="00796AC4"/>
    <w:rsid w:val="00797B4B"/>
    <w:rsid w:val="007A0C1B"/>
    <w:rsid w:val="007A113E"/>
    <w:rsid w:val="007A1B57"/>
    <w:rsid w:val="007A1DAB"/>
    <w:rsid w:val="007A2714"/>
    <w:rsid w:val="007A454C"/>
    <w:rsid w:val="007A5EB7"/>
    <w:rsid w:val="007A69D2"/>
    <w:rsid w:val="007A69D3"/>
    <w:rsid w:val="007A7363"/>
    <w:rsid w:val="007B48AB"/>
    <w:rsid w:val="007B68F4"/>
    <w:rsid w:val="007B6E0F"/>
    <w:rsid w:val="007B7FD7"/>
    <w:rsid w:val="007C0488"/>
    <w:rsid w:val="007C2AEF"/>
    <w:rsid w:val="007C4EB7"/>
    <w:rsid w:val="007C5426"/>
    <w:rsid w:val="007C55D1"/>
    <w:rsid w:val="007D06A6"/>
    <w:rsid w:val="007D260D"/>
    <w:rsid w:val="007D3916"/>
    <w:rsid w:val="007D3AC5"/>
    <w:rsid w:val="007D6BC2"/>
    <w:rsid w:val="007D7639"/>
    <w:rsid w:val="007D7ED4"/>
    <w:rsid w:val="007E0671"/>
    <w:rsid w:val="007E0C2C"/>
    <w:rsid w:val="007E0EE6"/>
    <w:rsid w:val="007E36FC"/>
    <w:rsid w:val="007E4248"/>
    <w:rsid w:val="007E714F"/>
    <w:rsid w:val="007E741A"/>
    <w:rsid w:val="007F0A8A"/>
    <w:rsid w:val="007F0E16"/>
    <w:rsid w:val="007F10C6"/>
    <w:rsid w:val="007F174A"/>
    <w:rsid w:val="007F2111"/>
    <w:rsid w:val="007F464D"/>
    <w:rsid w:val="007F63D3"/>
    <w:rsid w:val="007F64AC"/>
    <w:rsid w:val="007F6CDE"/>
    <w:rsid w:val="008004BB"/>
    <w:rsid w:val="0080158E"/>
    <w:rsid w:val="00801AEB"/>
    <w:rsid w:val="00803C5A"/>
    <w:rsid w:val="008079EB"/>
    <w:rsid w:val="00810419"/>
    <w:rsid w:val="00810E63"/>
    <w:rsid w:val="0081227A"/>
    <w:rsid w:val="008122E8"/>
    <w:rsid w:val="00812EE3"/>
    <w:rsid w:val="0081369C"/>
    <w:rsid w:val="00813D8D"/>
    <w:rsid w:val="008166B2"/>
    <w:rsid w:val="00821808"/>
    <w:rsid w:val="00822E8B"/>
    <w:rsid w:val="00824520"/>
    <w:rsid w:val="008251EB"/>
    <w:rsid w:val="008254A2"/>
    <w:rsid w:val="00825D1C"/>
    <w:rsid w:val="00826017"/>
    <w:rsid w:val="00826EE6"/>
    <w:rsid w:val="008273B9"/>
    <w:rsid w:val="00827E38"/>
    <w:rsid w:val="00835D9A"/>
    <w:rsid w:val="00836236"/>
    <w:rsid w:val="008378CF"/>
    <w:rsid w:val="00840539"/>
    <w:rsid w:val="008406DF"/>
    <w:rsid w:val="0084113F"/>
    <w:rsid w:val="00841D4F"/>
    <w:rsid w:val="00843646"/>
    <w:rsid w:val="00844D1E"/>
    <w:rsid w:val="0084500F"/>
    <w:rsid w:val="00845985"/>
    <w:rsid w:val="00845A0C"/>
    <w:rsid w:val="00846FAA"/>
    <w:rsid w:val="008471A8"/>
    <w:rsid w:val="00852186"/>
    <w:rsid w:val="00852E1E"/>
    <w:rsid w:val="0085406B"/>
    <w:rsid w:val="00854C62"/>
    <w:rsid w:val="00856CAD"/>
    <w:rsid w:val="008604C2"/>
    <w:rsid w:val="00860A31"/>
    <w:rsid w:val="00860AD0"/>
    <w:rsid w:val="00861872"/>
    <w:rsid w:val="008626F0"/>
    <w:rsid w:val="00865274"/>
    <w:rsid w:val="00865423"/>
    <w:rsid w:val="008654C5"/>
    <w:rsid w:val="008656E5"/>
    <w:rsid w:val="008669CE"/>
    <w:rsid w:val="00867022"/>
    <w:rsid w:val="00867A90"/>
    <w:rsid w:val="00870253"/>
    <w:rsid w:val="00871EFC"/>
    <w:rsid w:val="00872A70"/>
    <w:rsid w:val="0087441A"/>
    <w:rsid w:val="00874AB6"/>
    <w:rsid w:val="00876D89"/>
    <w:rsid w:val="008779EB"/>
    <w:rsid w:val="00881D35"/>
    <w:rsid w:val="008824B7"/>
    <w:rsid w:val="008835FB"/>
    <w:rsid w:val="00884A32"/>
    <w:rsid w:val="00885553"/>
    <w:rsid w:val="00886E08"/>
    <w:rsid w:val="00887EB2"/>
    <w:rsid w:val="008918A2"/>
    <w:rsid w:val="0089278C"/>
    <w:rsid w:val="0089338C"/>
    <w:rsid w:val="00893C79"/>
    <w:rsid w:val="00894022"/>
    <w:rsid w:val="00895AA5"/>
    <w:rsid w:val="00896981"/>
    <w:rsid w:val="008977E7"/>
    <w:rsid w:val="00897C00"/>
    <w:rsid w:val="008A1A32"/>
    <w:rsid w:val="008A28FB"/>
    <w:rsid w:val="008A4710"/>
    <w:rsid w:val="008A50B1"/>
    <w:rsid w:val="008A5BDD"/>
    <w:rsid w:val="008A74BC"/>
    <w:rsid w:val="008B0607"/>
    <w:rsid w:val="008B24DA"/>
    <w:rsid w:val="008B2D32"/>
    <w:rsid w:val="008B44B6"/>
    <w:rsid w:val="008B4C29"/>
    <w:rsid w:val="008B4D70"/>
    <w:rsid w:val="008B4E03"/>
    <w:rsid w:val="008B52A7"/>
    <w:rsid w:val="008B5372"/>
    <w:rsid w:val="008B53D2"/>
    <w:rsid w:val="008B68F0"/>
    <w:rsid w:val="008B6F4F"/>
    <w:rsid w:val="008B7FA8"/>
    <w:rsid w:val="008C2670"/>
    <w:rsid w:val="008C30C5"/>
    <w:rsid w:val="008C6C26"/>
    <w:rsid w:val="008D050A"/>
    <w:rsid w:val="008D0DBC"/>
    <w:rsid w:val="008D193D"/>
    <w:rsid w:val="008D27E8"/>
    <w:rsid w:val="008D42D6"/>
    <w:rsid w:val="008D4650"/>
    <w:rsid w:val="008D478C"/>
    <w:rsid w:val="008D4948"/>
    <w:rsid w:val="008D5035"/>
    <w:rsid w:val="008D5C98"/>
    <w:rsid w:val="008D5DE7"/>
    <w:rsid w:val="008D7E8F"/>
    <w:rsid w:val="008E0293"/>
    <w:rsid w:val="008E0DF0"/>
    <w:rsid w:val="008E1CEF"/>
    <w:rsid w:val="008E2164"/>
    <w:rsid w:val="008E2FE8"/>
    <w:rsid w:val="008E3EEA"/>
    <w:rsid w:val="008E4713"/>
    <w:rsid w:val="008E482E"/>
    <w:rsid w:val="008E55F1"/>
    <w:rsid w:val="008E7576"/>
    <w:rsid w:val="008F01BD"/>
    <w:rsid w:val="008F12CC"/>
    <w:rsid w:val="008F334F"/>
    <w:rsid w:val="008F53E6"/>
    <w:rsid w:val="008F5E1F"/>
    <w:rsid w:val="008F648F"/>
    <w:rsid w:val="008F7AD2"/>
    <w:rsid w:val="008F7F82"/>
    <w:rsid w:val="00900D34"/>
    <w:rsid w:val="009018A3"/>
    <w:rsid w:val="00901D5C"/>
    <w:rsid w:val="0090278C"/>
    <w:rsid w:val="009030E8"/>
    <w:rsid w:val="00905540"/>
    <w:rsid w:val="00907D9D"/>
    <w:rsid w:val="00910468"/>
    <w:rsid w:val="00910FC8"/>
    <w:rsid w:val="00911B4A"/>
    <w:rsid w:val="009128F1"/>
    <w:rsid w:val="00913D95"/>
    <w:rsid w:val="009142BE"/>
    <w:rsid w:val="00915294"/>
    <w:rsid w:val="00915E8E"/>
    <w:rsid w:val="0092125A"/>
    <w:rsid w:val="00922368"/>
    <w:rsid w:val="00923060"/>
    <w:rsid w:val="00925581"/>
    <w:rsid w:val="0092577F"/>
    <w:rsid w:val="00925B4F"/>
    <w:rsid w:val="0092669A"/>
    <w:rsid w:val="0092693C"/>
    <w:rsid w:val="0093164F"/>
    <w:rsid w:val="00932F08"/>
    <w:rsid w:val="00933861"/>
    <w:rsid w:val="009338F7"/>
    <w:rsid w:val="0093497D"/>
    <w:rsid w:val="0093755D"/>
    <w:rsid w:val="0093781C"/>
    <w:rsid w:val="009425AF"/>
    <w:rsid w:val="00942A43"/>
    <w:rsid w:val="00942A85"/>
    <w:rsid w:val="00942E73"/>
    <w:rsid w:val="00945C36"/>
    <w:rsid w:val="0094788D"/>
    <w:rsid w:val="009522AB"/>
    <w:rsid w:val="009525B2"/>
    <w:rsid w:val="00953722"/>
    <w:rsid w:val="00953E84"/>
    <w:rsid w:val="0095499E"/>
    <w:rsid w:val="00956FF4"/>
    <w:rsid w:val="0095721F"/>
    <w:rsid w:val="0096086A"/>
    <w:rsid w:val="00962A0F"/>
    <w:rsid w:val="00965D51"/>
    <w:rsid w:val="0096788F"/>
    <w:rsid w:val="00970D55"/>
    <w:rsid w:val="0097103A"/>
    <w:rsid w:val="00971BC4"/>
    <w:rsid w:val="0097214A"/>
    <w:rsid w:val="00972859"/>
    <w:rsid w:val="00973507"/>
    <w:rsid w:val="0097386D"/>
    <w:rsid w:val="00974541"/>
    <w:rsid w:val="009750A5"/>
    <w:rsid w:val="0097548A"/>
    <w:rsid w:val="00977CCE"/>
    <w:rsid w:val="009820D5"/>
    <w:rsid w:val="009836E5"/>
    <w:rsid w:val="00986545"/>
    <w:rsid w:val="009930DF"/>
    <w:rsid w:val="009937C0"/>
    <w:rsid w:val="00997C19"/>
    <w:rsid w:val="009A6D23"/>
    <w:rsid w:val="009A74E1"/>
    <w:rsid w:val="009A7705"/>
    <w:rsid w:val="009B0C97"/>
    <w:rsid w:val="009B2258"/>
    <w:rsid w:val="009B4B00"/>
    <w:rsid w:val="009B7E93"/>
    <w:rsid w:val="009B7F08"/>
    <w:rsid w:val="009C11E6"/>
    <w:rsid w:val="009C139A"/>
    <w:rsid w:val="009C18CA"/>
    <w:rsid w:val="009C1922"/>
    <w:rsid w:val="009C5905"/>
    <w:rsid w:val="009C7844"/>
    <w:rsid w:val="009D3B92"/>
    <w:rsid w:val="009D44A5"/>
    <w:rsid w:val="009D49F1"/>
    <w:rsid w:val="009D577F"/>
    <w:rsid w:val="009E248A"/>
    <w:rsid w:val="009E2D85"/>
    <w:rsid w:val="009E3269"/>
    <w:rsid w:val="009E39FC"/>
    <w:rsid w:val="009E7D9C"/>
    <w:rsid w:val="009F027A"/>
    <w:rsid w:val="009F144A"/>
    <w:rsid w:val="009F6738"/>
    <w:rsid w:val="00A0099A"/>
    <w:rsid w:val="00A0173E"/>
    <w:rsid w:val="00A022BE"/>
    <w:rsid w:val="00A02F10"/>
    <w:rsid w:val="00A03483"/>
    <w:rsid w:val="00A05E39"/>
    <w:rsid w:val="00A060FE"/>
    <w:rsid w:val="00A06139"/>
    <w:rsid w:val="00A06B91"/>
    <w:rsid w:val="00A12247"/>
    <w:rsid w:val="00A14543"/>
    <w:rsid w:val="00A16E0B"/>
    <w:rsid w:val="00A20A20"/>
    <w:rsid w:val="00A21A3B"/>
    <w:rsid w:val="00A22072"/>
    <w:rsid w:val="00A261CB"/>
    <w:rsid w:val="00A26546"/>
    <w:rsid w:val="00A26BB8"/>
    <w:rsid w:val="00A26C09"/>
    <w:rsid w:val="00A27136"/>
    <w:rsid w:val="00A300E8"/>
    <w:rsid w:val="00A31257"/>
    <w:rsid w:val="00A31890"/>
    <w:rsid w:val="00A31CE9"/>
    <w:rsid w:val="00A32B93"/>
    <w:rsid w:val="00A34CA1"/>
    <w:rsid w:val="00A34FD7"/>
    <w:rsid w:val="00A37507"/>
    <w:rsid w:val="00A406EB"/>
    <w:rsid w:val="00A449D4"/>
    <w:rsid w:val="00A44D29"/>
    <w:rsid w:val="00A45929"/>
    <w:rsid w:val="00A469D6"/>
    <w:rsid w:val="00A516DC"/>
    <w:rsid w:val="00A51ECF"/>
    <w:rsid w:val="00A5201F"/>
    <w:rsid w:val="00A5264B"/>
    <w:rsid w:val="00A536D6"/>
    <w:rsid w:val="00A56594"/>
    <w:rsid w:val="00A5691B"/>
    <w:rsid w:val="00A606CB"/>
    <w:rsid w:val="00A6254E"/>
    <w:rsid w:val="00A6404F"/>
    <w:rsid w:val="00A650C4"/>
    <w:rsid w:val="00A67181"/>
    <w:rsid w:val="00A70C09"/>
    <w:rsid w:val="00A729F4"/>
    <w:rsid w:val="00A80AD4"/>
    <w:rsid w:val="00A8127F"/>
    <w:rsid w:val="00A82E4D"/>
    <w:rsid w:val="00A849B1"/>
    <w:rsid w:val="00A853D4"/>
    <w:rsid w:val="00A86279"/>
    <w:rsid w:val="00A86719"/>
    <w:rsid w:val="00A86D53"/>
    <w:rsid w:val="00A90FFA"/>
    <w:rsid w:val="00A9226A"/>
    <w:rsid w:val="00A95AA5"/>
    <w:rsid w:val="00A95E6E"/>
    <w:rsid w:val="00AA1698"/>
    <w:rsid w:val="00AA2598"/>
    <w:rsid w:val="00AA3623"/>
    <w:rsid w:val="00AA4122"/>
    <w:rsid w:val="00AA49E8"/>
    <w:rsid w:val="00AA56A2"/>
    <w:rsid w:val="00AA634F"/>
    <w:rsid w:val="00AA7C38"/>
    <w:rsid w:val="00AA7CB9"/>
    <w:rsid w:val="00AB1746"/>
    <w:rsid w:val="00AB22E2"/>
    <w:rsid w:val="00AB5AE9"/>
    <w:rsid w:val="00AB6D3C"/>
    <w:rsid w:val="00AB6E86"/>
    <w:rsid w:val="00AB7DAA"/>
    <w:rsid w:val="00AC19E5"/>
    <w:rsid w:val="00AC1C35"/>
    <w:rsid w:val="00AC231F"/>
    <w:rsid w:val="00AC6CCF"/>
    <w:rsid w:val="00AD20C5"/>
    <w:rsid w:val="00AD343F"/>
    <w:rsid w:val="00AD445A"/>
    <w:rsid w:val="00AE074D"/>
    <w:rsid w:val="00AE3D60"/>
    <w:rsid w:val="00AE3E36"/>
    <w:rsid w:val="00AE3FEC"/>
    <w:rsid w:val="00AE680C"/>
    <w:rsid w:val="00AE7B5A"/>
    <w:rsid w:val="00AF30B7"/>
    <w:rsid w:val="00AF36F9"/>
    <w:rsid w:val="00AF3834"/>
    <w:rsid w:val="00AF5F98"/>
    <w:rsid w:val="00AF77B9"/>
    <w:rsid w:val="00B019DA"/>
    <w:rsid w:val="00B020EE"/>
    <w:rsid w:val="00B03BDA"/>
    <w:rsid w:val="00B06009"/>
    <w:rsid w:val="00B07972"/>
    <w:rsid w:val="00B112D8"/>
    <w:rsid w:val="00B1364C"/>
    <w:rsid w:val="00B13A92"/>
    <w:rsid w:val="00B17D6B"/>
    <w:rsid w:val="00B21B79"/>
    <w:rsid w:val="00B23171"/>
    <w:rsid w:val="00B231EE"/>
    <w:rsid w:val="00B243B1"/>
    <w:rsid w:val="00B26BF1"/>
    <w:rsid w:val="00B31184"/>
    <w:rsid w:val="00B34A58"/>
    <w:rsid w:val="00B3612F"/>
    <w:rsid w:val="00B374F8"/>
    <w:rsid w:val="00B377C2"/>
    <w:rsid w:val="00B40FB3"/>
    <w:rsid w:val="00B41D52"/>
    <w:rsid w:val="00B43D2F"/>
    <w:rsid w:val="00B43F2B"/>
    <w:rsid w:val="00B44D03"/>
    <w:rsid w:val="00B47494"/>
    <w:rsid w:val="00B50EED"/>
    <w:rsid w:val="00B51651"/>
    <w:rsid w:val="00B51C63"/>
    <w:rsid w:val="00B52EB5"/>
    <w:rsid w:val="00B52FEA"/>
    <w:rsid w:val="00B53048"/>
    <w:rsid w:val="00B5584C"/>
    <w:rsid w:val="00B57C5A"/>
    <w:rsid w:val="00B60357"/>
    <w:rsid w:val="00B60EEF"/>
    <w:rsid w:val="00B613A7"/>
    <w:rsid w:val="00B6287C"/>
    <w:rsid w:val="00B63E9A"/>
    <w:rsid w:val="00B65388"/>
    <w:rsid w:val="00B66209"/>
    <w:rsid w:val="00B67517"/>
    <w:rsid w:val="00B678E3"/>
    <w:rsid w:val="00B67E51"/>
    <w:rsid w:val="00B70CCD"/>
    <w:rsid w:val="00B7185F"/>
    <w:rsid w:val="00B71951"/>
    <w:rsid w:val="00B71D54"/>
    <w:rsid w:val="00B72318"/>
    <w:rsid w:val="00B77359"/>
    <w:rsid w:val="00B8055C"/>
    <w:rsid w:val="00B80B68"/>
    <w:rsid w:val="00B82137"/>
    <w:rsid w:val="00B82305"/>
    <w:rsid w:val="00B82618"/>
    <w:rsid w:val="00B83982"/>
    <w:rsid w:val="00B8454F"/>
    <w:rsid w:val="00B868BC"/>
    <w:rsid w:val="00B8704A"/>
    <w:rsid w:val="00B87191"/>
    <w:rsid w:val="00B874B7"/>
    <w:rsid w:val="00B917F8"/>
    <w:rsid w:val="00B92674"/>
    <w:rsid w:val="00B92AFB"/>
    <w:rsid w:val="00B930A5"/>
    <w:rsid w:val="00B9362E"/>
    <w:rsid w:val="00B94202"/>
    <w:rsid w:val="00B95A37"/>
    <w:rsid w:val="00B96F2C"/>
    <w:rsid w:val="00B971DF"/>
    <w:rsid w:val="00B977D4"/>
    <w:rsid w:val="00BA38A4"/>
    <w:rsid w:val="00BA59AA"/>
    <w:rsid w:val="00BA644D"/>
    <w:rsid w:val="00BA78A2"/>
    <w:rsid w:val="00BB15E3"/>
    <w:rsid w:val="00BB173C"/>
    <w:rsid w:val="00BB243A"/>
    <w:rsid w:val="00BB3666"/>
    <w:rsid w:val="00BB3782"/>
    <w:rsid w:val="00BB42F1"/>
    <w:rsid w:val="00BB58AA"/>
    <w:rsid w:val="00BB594D"/>
    <w:rsid w:val="00BB5BC8"/>
    <w:rsid w:val="00BB62DE"/>
    <w:rsid w:val="00BB73AF"/>
    <w:rsid w:val="00BB75FE"/>
    <w:rsid w:val="00BC0D0F"/>
    <w:rsid w:val="00BC0D34"/>
    <w:rsid w:val="00BC171D"/>
    <w:rsid w:val="00BC3548"/>
    <w:rsid w:val="00BC3DAE"/>
    <w:rsid w:val="00BC4360"/>
    <w:rsid w:val="00BC524B"/>
    <w:rsid w:val="00BC6723"/>
    <w:rsid w:val="00BC707F"/>
    <w:rsid w:val="00BC7CE5"/>
    <w:rsid w:val="00BD06F4"/>
    <w:rsid w:val="00BD078E"/>
    <w:rsid w:val="00BD1B1A"/>
    <w:rsid w:val="00BD2E92"/>
    <w:rsid w:val="00BD34AE"/>
    <w:rsid w:val="00BD734B"/>
    <w:rsid w:val="00BE0325"/>
    <w:rsid w:val="00BE13A6"/>
    <w:rsid w:val="00BE1E7F"/>
    <w:rsid w:val="00BE5016"/>
    <w:rsid w:val="00BE67CF"/>
    <w:rsid w:val="00BE6970"/>
    <w:rsid w:val="00BE6DE5"/>
    <w:rsid w:val="00BE78A1"/>
    <w:rsid w:val="00BF1A43"/>
    <w:rsid w:val="00BF286D"/>
    <w:rsid w:val="00BF2AA7"/>
    <w:rsid w:val="00BF2CF8"/>
    <w:rsid w:val="00BF3E05"/>
    <w:rsid w:val="00BF48D7"/>
    <w:rsid w:val="00BF5916"/>
    <w:rsid w:val="00C0140D"/>
    <w:rsid w:val="00C01C03"/>
    <w:rsid w:val="00C04114"/>
    <w:rsid w:val="00C04252"/>
    <w:rsid w:val="00C1098B"/>
    <w:rsid w:val="00C11E95"/>
    <w:rsid w:val="00C12E02"/>
    <w:rsid w:val="00C132A6"/>
    <w:rsid w:val="00C13444"/>
    <w:rsid w:val="00C1512A"/>
    <w:rsid w:val="00C152DF"/>
    <w:rsid w:val="00C155DF"/>
    <w:rsid w:val="00C159F5"/>
    <w:rsid w:val="00C20403"/>
    <w:rsid w:val="00C213E2"/>
    <w:rsid w:val="00C21629"/>
    <w:rsid w:val="00C21B84"/>
    <w:rsid w:val="00C268D6"/>
    <w:rsid w:val="00C26AF2"/>
    <w:rsid w:val="00C32189"/>
    <w:rsid w:val="00C33628"/>
    <w:rsid w:val="00C3390A"/>
    <w:rsid w:val="00C35659"/>
    <w:rsid w:val="00C37B3C"/>
    <w:rsid w:val="00C40DB0"/>
    <w:rsid w:val="00C41083"/>
    <w:rsid w:val="00C448AF"/>
    <w:rsid w:val="00C462AE"/>
    <w:rsid w:val="00C504A4"/>
    <w:rsid w:val="00C52765"/>
    <w:rsid w:val="00C60596"/>
    <w:rsid w:val="00C60A3F"/>
    <w:rsid w:val="00C61399"/>
    <w:rsid w:val="00C61BA0"/>
    <w:rsid w:val="00C61F8B"/>
    <w:rsid w:val="00C628CF"/>
    <w:rsid w:val="00C67EA3"/>
    <w:rsid w:val="00C70310"/>
    <w:rsid w:val="00C70418"/>
    <w:rsid w:val="00C71144"/>
    <w:rsid w:val="00C729D1"/>
    <w:rsid w:val="00C75C4A"/>
    <w:rsid w:val="00C77126"/>
    <w:rsid w:val="00C77B8D"/>
    <w:rsid w:val="00C808CD"/>
    <w:rsid w:val="00C81F0A"/>
    <w:rsid w:val="00C828BE"/>
    <w:rsid w:val="00C84072"/>
    <w:rsid w:val="00C843E0"/>
    <w:rsid w:val="00C87E7A"/>
    <w:rsid w:val="00C91515"/>
    <w:rsid w:val="00C925FC"/>
    <w:rsid w:val="00C93C71"/>
    <w:rsid w:val="00C94698"/>
    <w:rsid w:val="00C96A46"/>
    <w:rsid w:val="00C9728E"/>
    <w:rsid w:val="00C972DB"/>
    <w:rsid w:val="00CA4002"/>
    <w:rsid w:val="00CA5911"/>
    <w:rsid w:val="00CA756D"/>
    <w:rsid w:val="00CB0EFC"/>
    <w:rsid w:val="00CB4F53"/>
    <w:rsid w:val="00CB68BE"/>
    <w:rsid w:val="00CC1B1C"/>
    <w:rsid w:val="00CC2AC9"/>
    <w:rsid w:val="00CC3227"/>
    <w:rsid w:val="00CC3993"/>
    <w:rsid w:val="00CC500E"/>
    <w:rsid w:val="00CC52CA"/>
    <w:rsid w:val="00CD0811"/>
    <w:rsid w:val="00CD0C61"/>
    <w:rsid w:val="00CD2237"/>
    <w:rsid w:val="00CD3360"/>
    <w:rsid w:val="00CD3BFB"/>
    <w:rsid w:val="00CD65E2"/>
    <w:rsid w:val="00CD7787"/>
    <w:rsid w:val="00CE0919"/>
    <w:rsid w:val="00CE1698"/>
    <w:rsid w:val="00CE2F27"/>
    <w:rsid w:val="00CE4EEC"/>
    <w:rsid w:val="00CE53E2"/>
    <w:rsid w:val="00CE5E82"/>
    <w:rsid w:val="00CE6C0A"/>
    <w:rsid w:val="00CF00A6"/>
    <w:rsid w:val="00CF0B37"/>
    <w:rsid w:val="00CF2424"/>
    <w:rsid w:val="00CF454A"/>
    <w:rsid w:val="00D01195"/>
    <w:rsid w:val="00D02245"/>
    <w:rsid w:val="00D02693"/>
    <w:rsid w:val="00D02AAB"/>
    <w:rsid w:val="00D03695"/>
    <w:rsid w:val="00D045C4"/>
    <w:rsid w:val="00D1146D"/>
    <w:rsid w:val="00D11E80"/>
    <w:rsid w:val="00D12CFE"/>
    <w:rsid w:val="00D13D5D"/>
    <w:rsid w:val="00D145EE"/>
    <w:rsid w:val="00D14AFC"/>
    <w:rsid w:val="00D15B27"/>
    <w:rsid w:val="00D15C69"/>
    <w:rsid w:val="00D16477"/>
    <w:rsid w:val="00D176CB"/>
    <w:rsid w:val="00D20C03"/>
    <w:rsid w:val="00D21B4A"/>
    <w:rsid w:val="00D22DB4"/>
    <w:rsid w:val="00D231F7"/>
    <w:rsid w:val="00D23C60"/>
    <w:rsid w:val="00D24F74"/>
    <w:rsid w:val="00D25CE0"/>
    <w:rsid w:val="00D320F6"/>
    <w:rsid w:val="00D33B16"/>
    <w:rsid w:val="00D340D7"/>
    <w:rsid w:val="00D37F0D"/>
    <w:rsid w:val="00D40D29"/>
    <w:rsid w:val="00D42C63"/>
    <w:rsid w:val="00D446CC"/>
    <w:rsid w:val="00D4566D"/>
    <w:rsid w:val="00D46A7B"/>
    <w:rsid w:val="00D47CDD"/>
    <w:rsid w:val="00D51777"/>
    <w:rsid w:val="00D548BD"/>
    <w:rsid w:val="00D54E22"/>
    <w:rsid w:val="00D54EE9"/>
    <w:rsid w:val="00D562BD"/>
    <w:rsid w:val="00D6037D"/>
    <w:rsid w:val="00D60CC0"/>
    <w:rsid w:val="00D6232B"/>
    <w:rsid w:val="00D63826"/>
    <w:rsid w:val="00D63C97"/>
    <w:rsid w:val="00D642BC"/>
    <w:rsid w:val="00D6538E"/>
    <w:rsid w:val="00D67545"/>
    <w:rsid w:val="00D715BB"/>
    <w:rsid w:val="00D73C52"/>
    <w:rsid w:val="00D755CC"/>
    <w:rsid w:val="00D75658"/>
    <w:rsid w:val="00D804D9"/>
    <w:rsid w:val="00D819A7"/>
    <w:rsid w:val="00D826F2"/>
    <w:rsid w:val="00D8406C"/>
    <w:rsid w:val="00D84684"/>
    <w:rsid w:val="00D85A54"/>
    <w:rsid w:val="00D85C18"/>
    <w:rsid w:val="00D85D4E"/>
    <w:rsid w:val="00D8708D"/>
    <w:rsid w:val="00D93997"/>
    <w:rsid w:val="00D96B55"/>
    <w:rsid w:val="00DA085A"/>
    <w:rsid w:val="00DA2046"/>
    <w:rsid w:val="00DA2AD0"/>
    <w:rsid w:val="00DA6545"/>
    <w:rsid w:val="00DA7982"/>
    <w:rsid w:val="00DB179A"/>
    <w:rsid w:val="00DB4551"/>
    <w:rsid w:val="00DB7570"/>
    <w:rsid w:val="00DC1913"/>
    <w:rsid w:val="00DC1C27"/>
    <w:rsid w:val="00DC1C41"/>
    <w:rsid w:val="00DC1F9E"/>
    <w:rsid w:val="00DC25DA"/>
    <w:rsid w:val="00DC287B"/>
    <w:rsid w:val="00DC34A0"/>
    <w:rsid w:val="00DC36BE"/>
    <w:rsid w:val="00DC3DD6"/>
    <w:rsid w:val="00DD2864"/>
    <w:rsid w:val="00DD4884"/>
    <w:rsid w:val="00DE161B"/>
    <w:rsid w:val="00DE355F"/>
    <w:rsid w:val="00DE42BE"/>
    <w:rsid w:val="00DE5163"/>
    <w:rsid w:val="00DE6CB1"/>
    <w:rsid w:val="00DE7878"/>
    <w:rsid w:val="00DF0A52"/>
    <w:rsid w:val="00DF1393"/>
    <w:rsid w:val="00DF1FC6"/>
    <w:rsid w:val="00DF27C9"/>
    <w:rsid w:val="00DF2AE8"/>
    <w:rsid w:val="00DF5538"/>
    <w:rsid w:val="00DF5F42"/>
    <w:rsid w:val="00DF669F"/>
    <w:rsid w:val="00DF6944"/>
    <w:rsid w:val="00DF7148"/>
    <w:rsid w:val="00DF75E3"/>
    <w:rsid w:val="00DF7EC1"/>
    <w:rsid w:val="00E0007A"/>
    <w:rsid w:val="00E00663"/>
    <w:rsid w:val="00E00AB6"/>
    <w:rsid w:val="00E014A7"/>
    <w:rsid w:val="00E01519"/>
    <w:rsid w:val="00E017AB"/>
    <w:rsid w:val="00E017CD"/>
    <w:rsid w:val="00E02056"/>
    <w:rsid w:val="00E02188"/>
    <w:rsid w:val="00E02BCB"/>
    <w:rsid w:val="00E02FB2"/>
    <w:rsid w:val="00E035DF"/>
    <w:rsid w:val="00E03906"/>
    <w:rsid w:val="00E03A43"/>
    <w:rsid w:val="00E0475F"/>
    <w:rsid w:val="00E04F9C"/>
    <w:rsid w:val="00E064A7"/>
    <w:rsid w:val="00E06841"/>
    <w:rsid w:val="00E06D9B"/>
    <w:rsid w:val="00E07FF6"/>
    <w:rsid w:val="00E118BA"/>
    <w:rsid w:val="00E13E9D"/>
    <w:rsid w:val="00E142A9"/>
    <w:rsid w:val="00E1570B"/>
    <w:rsid w:val="00E17791"/>
    <w:rsid w:val="00E20C8F"/>
    <w:rsid w:val="00E2474D"/>
    <w:rsid w:val="00E259F3"/>
    <w:rsid w:val="00E27223"/>
    <w:rsid w:val="00E31271"/>
    <w:rsid w:val="00E31B1B"/>
    <w:rsid w:val="00E31DCD"/>
    <w:rsid w:val="00E322EB"/>
    <w:rsid w:val="00E33584"/>
    <w:rsid w:val="00E34670"/>
    <w:rsid w:val="00E36AAF"/>
    <w:rsid w:val="00E42F23"/>
    <w:rsid w:val="00E44C52"/>
    <w:rsid w:val="00E44F28"/>
    <w:rsid w:val="00E454DA"/>
    <w:rsid w:val="00E47148"/>
    <w:rsid w:val="00E47434"/>
    <w:rsid w:val="00E478B7"/>
    <w:rsid w:val="00E541ED"/>
    <w:rsid w:val="00E54DEB"/>
    <w:rsid w:val="00E55527"/>
    <w:rsid w:val="00E55683"/>
    <w:rsid w:val="00E55CE2"/>
    <w:rsid w:val="00E57DD6"/>
    <w:rsid w:val="00E63168"/>
    <w:rsid w:val="00E63ABF"/>
    <w:rsid w:val="00E6463E"/>
    <w:rsid w:val="00E64CD0"/>
    <w:rsid w:val="00E64DF8"/>
    <w:rsid w:val="00E65E12"/>
    <w:rsid w:val="00E66DA2"/>
    <w:rsid w:val="00E673D4"/>
    <w:rsid w:val="00E71A11"/>
    <w:rsid w:val="00E722D5"/>
    <w:rsid w:val="00E7280D"/>
    <w:rsid w:val="00E73A07"/>
    <w:rsid w:val="00E7722A"/>
    <w:rsid w:val="00E82C60"/>
    <w:rsid w:val="00E83476"/>
    <w:rsid w:val="00E83E03"/>
    <w:rsid w:val="00E875E1"/>
    <w:rsid w:val="00E916E5"/>
    <w:rsid w:val="00E91D8B"/>
    <w:rsid w:val="00E92809"/>
    <w:rsid w:val="00E92E65"/>
    <w:rsid w:val="00E9664B"/>
    <w:rsid w:val="00E96FC7"/>
    <w:rsid w:val="00E97919"/>
    <w:rsid w:val="00EA01F5"/>
    <w:rsid w:val="00EA0639"/>
    <w:rsid w:val="00EA0A2C"/>
    <w:rsid w:val="00EA0A7E"/>
    <w:rsid w:val="00EA2771"/>
    <w:rsid w:val="00EA2BB3"/>
    <w:rsid w:val="00EA3CDB"/>
    <w:rsid w:val="00EA74CC"/>
    <w:rsid w:val="00EA784E"/>
    <w:rsid w:val="00EB277D"/>
    <w:rsid w:val="00EB370E"/>
    <w:rsid w:val="00EB3BF5"/>
    <w:rsid w:val="00EB5298"/>
    <w:rsid w:val="00EB70DA"/>
    <w:rsid w:val="00EB71EA"/>
    <w:rsid w:val="00EB7F28"/>
    <w:rsid w:val="00EC0130"/>
    <w:rsid w:val="00EC0423"/>
    <w:rsid w:val="00EC2019"/>
    <w:rsid w:val="00EC20F7"/>
    <w:rsid w:val="00EC218B"/>
    <w:rsid w:val="00EC24E6"/>
    <w:rsid w:val="00EC272F"/>
    <w:rsid w:val="00EC275F"/>
    <w:rsid w:val="00EC35F2"/>
    <w:rsid w:val="00EC59C4"/>
    <w:rsid w:val="00EC71B4"/>
    <w:rsid w:val="00EC7873"/>
    <w:rsid w:val="00EC7AF3"/>
    <w:rsid w:val="00ED0789"/>
    <w:rsid w:val="00ED3AE4"/>
    <w:rsid w:val="00ED60E3"/>
    <w:rsid w:val="00ED78D4"/>
    <w:rsid w:val="00EE0957"/>
    <w:rsid w:val="00EE37AF"/>
    <w:rsid w:val="00EE6A2A"/>
    <w:rsid w:val="00EF0250"/>
    <w:rsid w:val="00EF03B0"/>
    <w:rsid w:val="00EF25BA"/>
    <w:rsid w:val="00EF3C95"/>
    <w:rsid w:val="00EF40C0"/>
    <w:rsid w:val="00EF5539"/>
    <w:rsid w:val="00EF76CF"/>
    <w:rsid w:val="00EF7D5C"/>
    <w:rsid w:val="00EF7E3E"/>
    <w:rsid w:val="00F00195"/>
    <w:rsid w:val="00F010FA"/>
    <w:rsid w:val="00F02A2A"/>
    <w:rsid w:val="00F05EE7"/>
    <w:rsid w:val="00F063DF"/>
    <w:rsid w:val="00F07DE6"/>
    <w:rsid w:val="00F100C3"/>
    <w:rsid w:val="00F12374"/>
    <w:rsid w:val="00F12479"/>
    <w:rsid w:val="00F14445"/>
    <w:rsid w:val="00F1593D"/>
    <w:rsid w:val="00F16069"/>
    <w:rsid w:val="00F1613B"/>
    <w:rsid w:val="00F16BA2"/>
    <w:rsid w:val="00F23254"/>
    <w:rsid w:val="00F30B04"/>
    <w:rsid w:val="00F3115D"/>
    <w:rsid w:val="00F3230A"/>
    <w:rsid w:val="00F3474C"/>
    <w:rsid w:val="00F3596B"/>
    <w:rsid w:val="00F37544"/>
    <w:rsid w:val="00F37C68"/>
    <w:rsid w:val="00F37D8D"/>
    <w:rsid w:val="00F37E89"/>
    <w:rsid w:val="00F40A3A"/>
    <w:rsid w:val="00F42881"/>
    <w:rsid w:val="00F43560"/>
    <w:rsid w:val="00F45E41"/>
    <w:rsid w:val="00F45FFD"/>
    <w:rsid w:val="00F465EA"/>
    <w:rsid w:val="00F46AF5"/>
    <w:rsid w:val="00F52774"/>
    <w:rsid w:val="00F54E7C"/>
    <w:rsid w:val="00F54EC7"/>
    <w:rsid w:val="00F55DC9"/>
    <w:rsid w:val="00F55E04"/>
    <w:rsid w:val="00F5658B"/>
    <w:rsid w:val="00F65981"/>
    <w:rsid w:val="00F6733C"/>
    <w:rsid w:val="00F674DE"/>
    <w:rsid w:val="00F70CC7"/>
    <w:rsid w:val="00F71591"/>
    <w:rsid w:val="00F71709"/>
    <w:rsid w:val="00F717A7"/>
    <w:rsid w:val="00F71E58"/>
    <w:rsid w:val="00F7246B"/>
    <w:rsid w:val="00F744E2"/>
    <w:rsid w:val="00F7507F"/>
    <w:rsid w:val="00F76096"/>
    <w:rsid w:val="00F76208"/>
    <w:rsid w:val="00F800DC"/>
    <w:rsid w:val="00F8031A"/>
    <w:rsid w:val="00F81ECA"/>
    <w:rsid w:val="00F84224"/>
    <w:rsid w:val="00F84C4F"/>
    <w:rsid w:val="00F91B22"/>
    <w:rsid w:val="00F924C9"/>
    <w:rsid w:val="00F9570C"/>
    <w:rsid w:val="00F964F8"/>
    <w:rsid w:val="00F97970"/>
    <w:rsid w:val="00FA00C0"/>
    <w:rsid w:val="00FA0A6A"/>
    <w:rsid w:val="00FA2DDA"/>
    <w:rsid w:val="00FA3912"/>
    <w:rsid w:val="00FA4180"/>
    <w:rsid w:val="00FA4351"/>
    <w:rsid w:val="00FA52D7"/>
    <w:rsid w:val="00FA733A"/>
    <w:rsid w:val="00FB0A84"/>
    <w:rsid w:val="00FB2679"/>
    <w:rsid w:val="00FB287A"/>
    <w:rsid w:val="00FB4101"/>
    <w:rsid w:val="00FB5617"/>
    <w:rsid w:val="00FB694C"/>
    <w:rsid w:val="00FC1E66"/>
    <w:rsid w:val="00FC3048"/>
    <w:rsid w:val="00FC7307"/>
    <w:rsid w:val="00FD1B9C"/>
    <w:rsid w:val="00FD310B"/>
    <w:rsid w:val="00FD4319"/>
    <w:rsid w:val="00FD46B5"/>
    <w:rsid w:val="00FD4D18"/>
    <w:rsid w:val="00FD56B0"/>
    <w:rsid w:val="00FD7C49"/>
    <w:rsid w:val="00FE0222"/>
    <w:rsid w:val="00FE1FD5"/>
    <w:rsid w:val="00FE50C9"/>
    <w:rsid w:val="00FE5ACB"/>
    <w:rsid w:val="00FE6C99"/>
    <w:rsid w:val="00FE775A"/>
    <w:rsid w:val="00FF229F"/>
    <w:rsid w:val="00FF4C38"/>
    <w:rsid w:val="00FF4D8C"/>
    <w:rsid w:val="00FF5984"/>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4797E1"/>
  <w15:docId w15:val="{FD1FF775-8F39-4DBA-9408-50A6151E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AD"/>
    <w:rPr>
      <w:rFonts w:eastAsia="PMingLiU"/>
    </w:rPr>
  </w:style>
  <w:style w:type="paragraph" w:styleId="Heading1">
    <w:name w:val="heading 1"/>
    <w:basedOn w:val="Normal"/>
    <w:next w:val="Normal"/>
    <w:link w:val="Heading1Char"/>
    <w:uiPriority w:val="9"/>
    <w:qFormat/>
    <w:rsid w:val="00347D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7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7D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47D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47DAD"/>
    <w:pPr>
      <w:pBdr>
        <w:right w:val="single" w:sz="6" w:space="11" w:color="366BA0"/>
      </w:pBd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D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7D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7D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47DA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47DA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47DAD"/>
    <w:rPr>
      <w:color w:val="0000FF" w:themeColor="hyperlink"/>
      <w:u w:val="single"/>
    </w:rPr>
  </w:style>
  <w:style w:type="paragraph" w:styleId="ListParagraph">
    <w:name w:val="List Paragraph"/>
    <w:basedOn w:val="Normal"/>
    <w:link w:val="ListParagraphChar"/>
    <w:uiPriority w:val="34"/>
    <w:qFormat/>
    <w:rsid w:val="00347DAD"/>
    <w:pPr>
      <w:ind w:left="720"/>
      <w:contextualSpacing/>
    </w:pPr>
  </w:style>
  <w:style w:type="paragraph" w:styleId="Header">
    <w:name w:val="header"/>
    <w:basedOn w:val="Normal"/>
    <w:link w:val="HeaderChar"/>
    <w:uiPriority w:val="99"/>
    <w:unhideWhenUsed/>
    <w:rsid w:val="00347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AD"/>
    <w:rPr>
      <w:rFonts w:eastAsia="PMingLiU"/>
    </w:rPr>
  </w:style>
  <w:style w:type="paragraph" w:styleId="Footer">
    <w:name w:val="footer"/>
    <w:basedOn w:val="Normal"/>
    <w:link w:val="FooterChar"/>
    <w:uiPriority w:val="99"/>
    <w:unhideWhenUsed/>
    <w:rsid w:val="0034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AD"/>
    <w:rPr>
      <w:rFonts w:eastAsia="PMingLiU"/>
    </w:rPr>
  </w:style>
  <w:style w:type="paragraph" w:styleId="EndnoteText">
    <w:name w:val="endnote text"/>
    <w:basedOn w:val="Normal"/>
    <w:link w:val="EndnoteTextChar"/>
    <w:uiPriority w:val="99"/>
    <w:semiHidden/>
    <w:unhideWhenUsed/>
    <w:rsid w:val="00347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7DAD"/>
    <w:rPr>
      <w:rFonts w:eastAsia="PMingLiU"/>
      <w:sz w:val="20"/>
      <w:szCs w:val="20"/>
    </w:rPr>
  </w:style>
  <w:style w:type="paragraph" w:styleId="FootnoteText">
    <w:name w:val="footnote text"/>
    <w:aliases w:val="fn,Fußnote,Footnote"/>
    <w:basedOn w:val="Normal"/>
    <w:link w:val="FootnoteTextChar"/>
    <w:uiPriority w:val="99"/>
    <w:unhideWhenUsed/>
    <w:qFormat/>
    <w:rsid w:val="00347DAD"/>
    <w:pPr>
      <w:spacing w:after="0" w:line="240" w:lineRule="auto"/>
    </w:pPr>
    <w:rPr>
      <w:sz w:val="20"/>
      <w:szCs w:val="20"/>
    </w:rPr>
  </w:style>
  <w:style w:type="character" w:customStyle="1" w:styleId="FootnoteTextChar">
    <w:name w:val="Footnote Text Char"/>
    <w:aliases w:val="fn Char,Fußnote Char,Footnote Char"/>
    <w:basedOn w:val="DefaultParagraphFont"/>
    <w:link w:val="FootnoteText"/>
    <w:uiPriority w:val="99"/>
    <w:rsid w:val="00347DAD"/>
    <w:rPr>
      <w:rFonts w:eastAsia="PMingLiU"/>
      <w:sz w:val="20"/>
      <w:szCs w:val="20"/>
    </w:rPr>
  </w:style>
  <w:style w:type="character" w:styleId="FootnoteReference">
    <w:name w:val="footnote reference"/>
    <w:aliases w:val="Footnote symbol,Footnote Reference Number"/>
    <w:basedOn w:val="DefaultParagraphFont"/>
    <w:uiPriority w:val="99"/>
    <w:unhideWhenUsed/>
    <w:rsid w:val="00347DAD"/>
    <w:rPr>
      <w:vertAlign w:val="superscript"/>
    </w:rPr>
  </w:style>
  <w:style w:type="character" w:styleId="Strong">
    <w:name w:val="Strong"/>
    <w:basedOn w:val="DefaultParagraphFont"/>
    <w:uiPriority w:val="22"/>
    <w:qFormat/>
    <w:rsid w:val="00347DAD"/>
    <w:rPr>
      <w:b/>
      <w:bCs/>
    </w:rPr>
  </w:style>
  <w:style w:type="paragraph" w:styleId="NormalWeb">
    <w:name w:val="Normal (Web)"/>
    <w:basedOn w:val="Normal"/>
    <w:uiPriority w:val="99"/>
    <w:unhideWhenUsed/>
    <w:rsid w:val="00347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tch-video-date">
    <w:name w:val="watch-video-date"/>
    <w:basedOn w:val="DefaultParagraphFont"/>
    <w:rsid w:val="00347DAD"/>
  </w:style>
  <w:style w:type="paragraph" w:styleId="BalloonText">
    <w:name w:val="Balloon Text"/>
    <w:basedOn w:val="Normal"/>
    <w:link w:val="BalloonTextChar"/>
    <w:uiPriority w:val="99"/>
    <w:semiHidden/>
    <w:unhideWhenUsed/>
    <w:rsid w:val="0034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AD"/>
    <w:rPr>
      <w:rFonts w:ascii="Tahoma" w:eastAsia="PMingLiU" w:hAnsi="Tahoma" w:cs="Tahoma"/>
      <w:sz w:val="16"/>
      <w:szCs w:val="16"/>
    </w:rPr>
  </w:style>
  <w:style w:type="paragraph" w:customStyle="1" w:styleId="Default">
    <w:name w:val="Default"/>
    <w:rsid w:val="00347DAD"/>
    <w:pPr>
      <w:autoSpaceDE w:val="0"/>
      <w:autoSpaceDN w:val="0"/>
      <w:adjustRightInd w:val="0"/>
      <w:spacing w:after="0" w:line="240" w:lineRule="auto"/>
    </w:pPr>
    <w:rPr>
      <w:rFonts w:ascii="Arial" w:eastAsia="PMingLiU" w:hAnsi="Arial" w:cs="Arial"/>
      <w:color w:val="000000"/>
      <w:sz w:val="24"/>
      <w:szCs w:val="24"/>
    </w:rPr>
  </w:style>
  <w:style w:type="character" w:customStyle="1" w:styleId="apple-converted-space">
    <w:name w:val="apple-converted-space"/>
    <w:basedOn w:val="DefaultParagraphFont"/>
    <w:rsid w:val="00347DAD"/>
  </w:style>
  <w:style w:type="character" w:customStyle="1" w:styleId="z-TopofFormChar">
    <w:name w:val="z-Top of Form Char"/>
    <w:basedOn w:val="DefaultParagraphFont"/>
    <w:link w:val="z-TopofForm"/>
    <w:uiPriority w:val="99"/>
    <w:semiHidden/>
    <w:rsid w:val="00347DAD"/>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347D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347DAD"/>
    <w:rPr>
      <w:rFonts w:ascii="Arial" w:eastAsia="PMingLiU" w:hAnsi="Arial" w:cs="Arial"/>
      <w:vanish/>
      <w:sz w:val="16"/>
      <w:szCs w:val="16"/>
    </w:rPr>
  </w:style>
  <w:style w:type="character" w:customStyle="1" w:styleId="z-BottomofFormChar">
    <w:name w:val="z-Bottom of Form Char"/>
    <w:basedOn w:val="DefaultParagraphFont"/>
    <w:link w:val="z-BottomofForm"/>
    <w:uiPriority w:val="99"/>
    <w:semiHidden/>
    <w:rsid w:val="00347D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47D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347DAD"/>
    <w:rPr>
      <w:rFonts w:ascii="Arial" w:eastAsia="PMingLiU" w:hAnsi="Arial" w:cs="Arial"/>
      <w:vanish/>
      <w:sz w:val="16"/>
      <w:szCs w:val="16"/>
    </w:rPr>
  </w:style>
  <w:style w:type="character" w:customStyle="1" w:styleId="A8">
    <w:name w:val="A8"/>
    <w:uiPriority w:val="99"/>
    <w:rsid w:val="00347DAD"/>
    <w:rPr>
      <w:rFonts w:cs="Georgia"/>
      <w:i/>
      <w:iCs/>
      <w:color w:val="000000"/>
      <w:sz w:val="26"/>
      <w:szCs w:val="26"/>
    </w:rPr>
  </w:style>
  <w:style w:type="character" w:customStyle="1" w:styleId="A9">
    <w:name w:val="A9"/>
    <w:uiPriority w:val="99"/>
    <w:rsid w:val="00347DAD"/>
    <w:rPr>
      <w:rFonts w:cs="Georgia"/>
      <w:i/>
      <w:iCs/>
      <w:color w:val="000000"/>
      <w:sz w:val="15"/>
      <w:szCs w:val="15"/>
    </w:rPr>
  </w:style>
  <w:style w:type="paragraph" w:styleId="Caption">
    <w:name w:val="caption"/>
    <w:basedOn w:val="Normal"/>
    <w:next w:val="Normal"/>
    <w:uiPriority w:val="35"/>
    <w:unhideWhenUsed/>
    <w:qFormat/>
    <w:rsid w:val="00347DAD"/>
    <w:pPr>
      <w:spacing w:line="240" w:lineRule="auto"/>
    </w:pPr>
    <w:rPr>
      <w:b/>
      <w:bCs/>
      <w:color w:val="4F81BD" w:themeColor="accent1"/>
      <w:sz w:val="18"/>
      <w:szCs w:val="18"/>
    </w:rPr>
  </w:style>
  <w:style w:type="paragraph" w:customStyle="1" w:styleId="citation1">
    <w:name w:val="citation1"/>
    <w:basedOn w:val="Normal"/>
    <w:rsid w:val="00347DAD"/>
    <w:pPr>
      <w:spacing w:after="0" w:line="480" w:lineRule="auto"/>
      <w:ind w:hanging="375"/>
    </w:pPr>
    <w:rPr>
      <w:rFonts w:ascii="Times New Roman" w:eastAsia="Times New Roman" w:hAnsi="Times New Roman" w:cs="Times New Roman"/>
      <w:sz w:val="18"/>
      <w:szCs w:val="18"/>
      <w:lang w:eastAsia="zh-CN"/>
    </w:rPr>
  </w:style>
  <w:style w:type="character" w:styleId="Emphasis">
    <w:name w:val="Emphasis"/>
    <w:basedOn w:val="DefaultParagraphFont"/>
    <w:uiPriority w:val="20"/>
    <w:qFormat/>
    <w:rsid w:val="00347DAD"/>
    <w:rPr>
      <w:i/>
      <w:iCs/>
    </w:rPr>
  </w:style>
  <w:style w:type="table" w:styleId="TableGrid">
    <w:name w:val="Table Grid"/>
    <w:basedOn w:val="TableNormal"/>
    <w:uiPriority w:val="39"/>
    <w:rsid w:val="00347DAD"/>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DAD"/>
    <w:rPr>
      <w:sz w:val="16"/>
      <w:szCs w:val="16"/>
    </w:rPr>
  </w:style>
  <w:style w:type="paragraph" w:styleId="CommentText">
    <w:name w:val="annotation text"/>
    <w:basedOn w:val="Normal"/>
    <w:link w:val="CommentTextChar"/>
    <w:uiPriority w:val="99"/>
    <w:unhideWhenUsed/>
    <w:rsid w:val="00347DAD"/>
    <w:pPr>
      <w:spacing w:line="240" w:lineRule="auto"/>
    </w:pPr>
    <w:rPr>
      <w:sz w:val="20"/>
      <w:szCs w:val="20"/>
    </w:rPr>
  </w:style>
  <w:style w:type="character" w:customStyle="1" w:styleId="CommentTextChar">
    <w:name w:val="Comment Text Char"/>
    <w:basedOn w:val="DefaultParagraphFont"/>
    <w:link w:val="CommentText"/>
    <w:uiPriority w:val="99"/>
    <w:rsid w:val="00347DAD"/>
    <w:rPr>
      <w:rFonts w:eastAsia="PMingLiU"/>
      <w:sz w:val="20"/>
      <w:szCs w:val="20"/>
    </w:rPr>
  </w:style>
  <w:style w:type="paragraph" w:styleId="CommentSubject">
    <w:name w:val="annotation subject"/>
    <w:basedOn w:val="CommentText"/>
    <w:next w:val="CommentText"/>
    <w:link w:val="CommentSubjectChar"/>
    <w:uiPriority w:val="99"/>
    <w:semiHidden/>
    <w:unhideWhenUsed/>
    <w:rsid w:val="00347DAD"/>
    <w:rPr>
      <w:b/>
      <w:bCs/>
    </w:rPr>
  </w:style>
  <w:style w:type="character" w:customStyle="1" w:styleId="CommentSubjectChar">
    <w:name w:val="Comment Subject Char"/>
    <w:basedOn w:val="CommentTextChar"/>
    <w:link w:val="CommentSubject"/>
    <w:uiPriority w:val="99"/>
    <w:semiHidden/>
    <w:rsid w:val="00347DAD"/>
    <w:rPr>
      <w:rFonts w:eastAsia="PMingLiU"/>
      <w:b/>
      <w:bCs/>
      <w:sz w:val="20"/>
      <w:szCs w:val="20"/>
    </w:rPr>
  </w:style>
  <w:style w:type="paragraph" w:customStyle="1" w:styleId="Pa1">
    <w:name w:val="Pa1"/>
    <w:basedOn w:val="Default"/>
    <w:next w:val="Default"/>
    <w:uiPriority w:val="99"/>
    <w:rsid w:val="00347DAD"/>
    <w:pPr>
      <w:spacing w:line="201" w:lineRule="atLeast"/>
    </w:pPr>
    <w:rPr>
      <w:rFonts w:ascii="Sabon" w:hAnsi="Sabon" w:cstheme="minorBidi"/>
      <w:color w:val="auto"/>
    </w:rPr>
  </w:style>
  <w:style w:type="character" w:customStyle="1" w:styleId="A2">
    <w:name w:val="A2"/>
    <w:uiPriority w:val="99"/>
    <w:rsid w:val="00347DAD"/>
    <w:rPr>
      <w:rFonts w:cs="Sabon"/>
      <w:color w:val="000000"/>
      <w:sz w:val="14"/>
      <w:szCs w:val="14"/>
    </w:rPr>
  </w:style>
  <w:style w:type="paragraph" w:customStyle="1" w:styleId="Body">
    <w:name w:val="Body"/>
    <w:basedOn w:val="BodyTextIndent"/>
    <w:link w:val="BodyChar"/>
    <w:rsid w:val="00347DAD"/>
    <w:pPr>
      <w:widowControl w:val="0"/>
      <w:suppressAutoHyphens/>
      <w:spacing w:after="0" w:line="240" w:lineRule="auto"/>
      <w:ind w:left="0" w:firstLine="720"/>
      <w:jc w:val="both"/>
    </w:pPr>
    <w:rPr>
      <w:rFonts w:ascii="Times New Roman" w:eastAsia="Times New Roman" w:hAnsi="Times New Roman" w:cs="Times New Roman"/>
      <w:spacing w:val="-3"/>
      <w:sz w:val="24"/>
      <w:szCs w:val="20"/>
      <w:lang w:val="es-ES" w:eastAsia="es-ES"/>
    </w:rPr>
  </w:style>
  <w:style w:type="paragraph" w:styleId="BodyTextIndent">
    <w:name w:val="Body Text Indent"/>
    <w:basedOn w:val="Normal"/>
    <w:link w:val="BodyTextIndentChar"/>
    <w:uiPriority w:val="99"/>
    <w:semiHidden/>
    <w:unhideWhenUsed/>
    <w:rsid w:val="00347DAD"/>
    <w:pPr>
      <w:spacing w:after="120"/>
      <w:ind w:left="360"/>
    </w:pPr>
  </w:style>
  <w:style w:type="character" w:customStyle="1" w:styleId="BodyTextIndentChar">
    <w:name w:val="Body Text Indent Char"/>
    <w:basedOn w:val="DefaultParagraphFont"/>
    <w:link w:val="BodyTextIndent"/>
    <w:uiPriority w:val="99"/>
    <w:semiHidden/>
    <w:rsid w:val="00347DAD"/>
    <w:rPr>
      <w:rFonts w:eastAsia="PMingLiU"/>
    </w:rPr>
  </w:style>
  <w:style w:type="character" w:customStyle="1" w:styleId="BodyChar">
    <w:name w:val="Body Char"/>
    <w:basedOn w:val="DefaultParagraphFont"/>
    <w:link w:val="Body"/>
    <w:locked/>
    <w:rsid w:val="00347DAD"/>
    <w:rPr>
      <w:rFonts w:ascii="Times New Roman" w:eastAsia="Times New Roman" w:hAnsi="Times New Roman" w:cs="Times New Roman"/>
      <w:spacing w:val="-3"/>
      <w:sz w:val="24"/>
      <w:szCs w:val="20"/>
      <w:lang w:val="es-ES" w:eastAsia="es-ES"/>
    </w:rPr>
  </w:style>
  <w:style w:type="paragraph" w:styleId="TOCHeading">
    <w:name w:val="TOC Heading"/>
    <w:basedOn w:val="Heading1"/>
    <w:next w:val="Normal"/>
    <w:uiPriority w:val="39"/>
    <w:semiHidden/>
    <w:unhideWhenUsed/>
    <w:qFormat/>
    <w:rsid w:val="00347DAD"/>
    <w:pPr>
      <w:outlineLvl w:val="9"/>
    </w:pPr>
    <w:rPr>
      <w:lang w:eastAsia="ja-JP"/>
    </w:rPr>
  </w:style>
  <w:style w:type="paragraph" w:styleId="TOC1">
    <w:name w:val="toc 1"/>
    <w:basedOn w:val="Normal"/>
    <w:next w:val="Normal"/>
    <w:autoRedefine/>
    <w:uiPriority w:val="39"/>
    <w:unhideWhenUsed/>
    <w:rsid w:val="00347DAD"/>
    <w:pPr>
      <w:spacing w:after="100"/>
    </w:pPr>
  </w:style>
  <w:style w:type="paragraph" w:styleId="TOC2">
    <w:name w:val="toc 2"/>
    <w:basedOn w:val="Normal"/>
    <w:next w:val="Normal"/>
    <w:autoRedefine/>
    <w:uiPriority w:val="39"/>
    <w:unhideWhenUsed/>
    <w:rsid w:val="00347DAD"/>
    <w:pPr>
      <w:spacing w:after="100"/>
      <w:ind w:left="220"/>
    </w:pPr>
  </w:style>
  <w:style w:type="paragraph" w:styleId="Revision">
    <w:name w:val="Revision"/>
    <w:hidden/>
    <w:uiPriority w:val="99"/>
    <w:semiHidden/>
    <w:rsid w:val="00347DAD"/>
    <w:pPr>
      <w:spacing w:after="0" w:line="240" w:lineRule="auto"/>
    </w:pPr>
    <w:rPr>
      <w:rFonts w:eastAsia="PMingLiU"/>
    </w:rPr>
  </w:style>
  <w:style w:type="paragraph" w:styleId="BodyText3">
    <w:name w:val="Body Text 3"/>
    <w:basedOn w:val="Normal"/>
    <w:link w:val="BodyText3Char"/>
    <w:uiPriority w:val="99"/>
    <w:semiHidden/>
    <w:unhideWhenUsed/>
    <w:rsid w:val="00347DAD"/>
    <w:pPr>
      <w:spacing w:after="120"/>
    </w:pPr>
    <w:rPr>
      <w:rFonts w:asciiTheme="majorHAnsi" w:eastAsiaTheme="majorEastAsia" w:hAnsiTheme="majorHAnsi" w:cstheme="majorBidi"/>
      <w:sz w:val="16"/>
      <w:szCs w:val="16"/>
    </w:rPr>
  </w:style>
  <w:style w:type="character" w:customStyle="1" w:styleId="BodyText3Char">
    <w:name w:val="Body Text 3 Char"/>
    <w:basedOn w:val="DefaultParagraphFont"/>
    <w:link w:val="BodyText3"/>
    <w:uiPriority w:val="99"/>
    <w:semiHidden/>
    <w:rsid w:val="00347DAD"/>
    <w:rPr>
      <w:rFonts w:asciiTheme="majorHAnsi" w:eastAsiaTheme="majorEastAsia" w:hAnsiTheme="majorHAnsi" w:cstheme="majorBidi"/>
      <w:sz w:val="16"/>
      <w:szCs w:val="16"/>
    </w:rPr>
  </w:style>
  <w:style w:type="paragraph" w:styleId="NoSpacing">
    <w:name w:val="No Spacing"/>
    <w:link w:val="NoSpacingChar"/>
    <w:uiPriority w:val="99"/>
    <w:qFormat/>
    <w:rsid w:val="00347D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347DAD"/>
    <w:rPr>
      <w:rFonts w:eastAsiaTheme="minorEastAsia"/>
      <w:lang w:eastAsia="ja-JP"/>
    </w:rPr>
  </w:style>
  <w:style w:type="paragraph" w:styleId="TOC3">
    <w:name w:val="toc 3"/>
    <w:basedOn w:val="Normal"/>
    <w:next w:val="Normal"/>
    <w:autoRedefine/>
    <w:uiPriority w:val="39"/>
    <w:unhideWhenUsed/>
    <w:rsid w:val="00347DAD"/>
    <w:pPr>
      <w:spacing w:after="100"/>
      <w:ind w:left="440"/>
    </w:pPr>
  </w:style>
  <w:style w:type="paragraph" w:styleId="Subtitle">
    <w:name w:val="Subtitle"/>
    <w:basedOn w:val="Normal"/>
    <w:next w:val="Normal"/>
    <w:link w:val="SubtitleChar"/>
    <w:uiPriority w:val="11"/>
    <w:qFormat/>
    <w:rsid w:val="004947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768"/>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2C6C0B"/>
    <w:rPr>
      <w:color w:val="800080" w:themeColor="followedHyperlink"/>
      <w:u w:val="single"/>
    </w:rPr>
  </w:style>
  <w:style w:type="character" w:customStyle="1" w:styleId="text">
    <w:name w:val="text"/>
    <w:basedOn w:val="DefaultParagraphFont"/>
    <w:rsid w:val="000859CE"/>
  </w:style>
  <w:style w:type="character" w:customStyle="1" w:styleId="ListParagraphChar">
    <w:name w:val="List Paragraph Char"/>
    <w:basedOn w:val="DefaultParagraphFont"/>
    <w:link w:val="ListParagraph"/>
    <w:uiPriority w:val="99"/>
    <w:rsid w:val="00825D1C"/>
    <w:rPr>
      <w:rFonts w:eastAsia="PMingLiU"/>
    </w:rPr>
  </w:style>
  <w:style w:type="paragraph" w:styleId="BodyText">
    <w:name w:val="Body Text"/>
    <w:basedOn w:val="Normal"/>
    <w:link w:val="BodyTextChar"/>
    <w:uiPriority w:val="99"/>
    <w:semiHidden/>
    <w:unhideWhenUsed/>
    <w:rsid w:val="00D60CC0"/>
    <w:pPr>
      <w:spacing w:after="120"/>
    </w:pPr>
  </w:style>
  <w:style w:type="character" w:customStyle="1" w:styleId="BodyTextChar">
    <w:name w:val="Body Text Char"/>
    <w:basedOn w:val="DefaultParagraphFont"/>
    <w:link w:val="BodyText"/>
    <w:uiPriority w:val="99"/>
    <w:semiHidden/>
    <w:rsid w:val="00D60CC0"/>
    <w:rPr>
      <w:rFonts w:eastAsia="PMingLiU"/>
    </w:rPr>
  </w:style>
  <w:style w:type="paragraph" w:styleId="TableofFigures">
    <w:name w:val="table of figures"/>
    <w:basedOn w:val="Normal"/>
    <w:next w:val="Normal"/>
    <w:uiPriority w:val="99"/>
    <w:unhideWhenUsed/>
    <w:rsid w:val="00087561"/>
    <w:pPr>
      <w:spacing w:after="0"/>
    </w:pPr>
  </w:style>
  <w:style w:type="paragraph" w:customStyle="1" w:styleId="p1">
    <w:name w:val="p1"/>
    <w:basedOn w:val="Normal"/>
    <w:rsid w:val="00F3115D"/>
    <w:pPr>
      <w:spacing w:after="150" w:line="240" w:lineRule="auto"/>
    </w:pPr>
    <w:rPr>
      <w:rFonts w:ascii="Times New Roman" w:eastAsia="Times New Roman" w:hAnsi="Times New Roman" w:cs="Times New Roman"/>
      <w:sz w:val="24"/>
      <w:szCs w:val="24"/>
    </w:rPr>
  </w:style>
  <w:style w:type="character" w:customStyle="1" w:styleId="s1">
    <w:name w:val="s1"/>
    <w:basedOn w:val="DefaultParagraphFont"/>
    <w:rsid w:val="00F31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2991">
      <w:bodyDiv w:val="1"/>
      <w:marLeft w:val="0"/>
      <w:marRight w:val="0"/>
      <w:marTop w:val="0"/>
      <w:marBottom w:val="0"/>
      <w:divBdr>
        <w:top w:val="none" w:sz="0" w:space="0" w:color="auto"/>
        <w:left w:val="none" w:sz="0" w:space="0" w:color="auto"/>
        <w:bottom w:val="none" w:sz="0" w:space="0" w:color="auto"/>
        <w:right w:val="none" w:sz="0" w:space="0" w:color="auto"/>
      </w:divBdr>
      <w:divsChild>
        <w:div w:id="215361392">
          <w:marLeft w:val="475"/>
          <w:marRight w:val="0"/>
          <w:marTop w:val="240"/>
          <w:marBottom w:val="0"/>
          <w:divBdr>
            <w:top w:val="none" w:sz="0" w:space="0" w:color="auto"/>
            <w:left w:val="none" w:sz="0" w:space="0" w:color="auto"/>
            <w:bottom w:val="none" w:sz="0" w:space="0" w:color="auto"/>
            <w:right w:val="none" w:sz="0" w:space="0" w:color="auto"/>
          </w:divBdr>
        </w:div>
      </w:divsChild>
    </w:div>
    <w:div w:id="147675362">
      <w:bodyDiv w:val="1"/>
      <w:marLeft w:val="0"/>
      <w:marRight w:val="0"/>
      <w:marTop w:val="0"/>
      <w:marBottom w:val="0"/>
      <w:divBdr>
        <w:top w:val="none" w:sz="0" w:space="0" w:color="auto"/>
        <w:left w:val="none" w:sz="0" w:space="0" w:color="auto"/>
        <w:bottom w:val="none" w:sz="0" w:space="0" w:color="auto"/>
        <w:right w:val="none" w:sz="0" w:space="0" w:color="auto"/>
      </w:divBdr>
    </w:div>
    <w:div w:id="162400446">
      <w:bodyDiv w:val="1"/>
      <w:marLeft w:val="0"/>
      <w:marRight w:val="0"/>
      <w:marTop w:val="0"/>
      <w:marBottom w:val="0"/>
      <w:divBdr>
        <w:top w:val="none" w:sz="0" w:space="0" w:color="auto"/>
        <w:left w:val="none" w:sz="0" w:space="0" w:color="auto"/>
        <w:bottom w:val="none" w:sz="0" w:space="0" w:color="auto"/>
        <w:right w:val="none" w:sz="0" w:space="0" w:color="auto"/>
      </w:divBdr>
    </w:div>
    <w:div w:id="232592674">
      <w:bodyDiv w:val="1"/>
      <w:marLeft w:val="0"/>
      <w:marRight w:val="0"/>
      <w:marTop w:val="0"/>
      <w:marBottom w:val="0"/>
      <w:divBdr>
        <w:top w:val="none" w:sz="0" w:space="0" w:color="auto"/>
        <w:left w:val="none" w:sz="0" w:space="0" w:color="auto"/>
        <w:bottom w:val="none" w:sz="0" w:space="0" w:color="auto"/>
        <w:right w:val="none" w:sz="0" w:space="0" w:color="auto"/>
      </w:divBdr>
      <w:divsChild>
        <w:div w:id="180778105">
          <w:marLeft w:val="1440"/>
          <w:marRight w:val="0"/>
          <w:marTop w:val="0"/>
          <w:marBottom w:val="40"/>
          <w:divBdr>
            <w:top w:val="none" w:sz="0" w:space="0" w:color="auto"/>
            <w:left w:val="none" w:sz="0" w:space="0" w:color="auto"/>
            <w:bottom w:val="none" w:sz="0" w:space="0" w:color="auto"/>
            <w:right w:val="none" w:sz="0" w:space="0" w:color="auto"/>
          </w:divBdr>
        </w:div>
        <w:div w:id="1284531146">
          <w:marLeft w:val="1440"/>
          <w:marRight w:val="0"/>
          <w:marTop w:val="0"/>
          <w:marBottom w:val="40"/>
          <w:divBdr>
            <w:top w:val="none" w:sz="0" w:space="0" w:color="auto"/>
            <w:left w:val="none" w:sz="0" w:space="0" w:color="auto"/>
            <w:bottom w:val="none" w:sz="0" w:space="0" w:color="auto"/>
            <w:right w:val="none" w:sz="0" w:space="0" w:color="auto"/>
          </w:divBdr>
        </w:div>
        <w:div w:id="521095069">
          <w:marLeft w:val="1440"/>
          <w:marRight w:val="0"/>
          <w:marTop w:val="0"/>
          <w:marBottom w:val="40"/>
          <w:divBdr>
            <w:top w:val="none" w:sz="0" w:space="0" w:color="auto"/>
            <w:left w:val="none" w:sz="0" w:space="0" w:color="auto"/>
            <w:bottom w:val="none" w:sz="0" w:space="0" w:color="auto"/>
            <w:right w:val="none" w:sz="0" w:space="0" w:color="auto"/>
          </w:divBdr>
        </w:div>
        <w:div w:id="1698001741">
          <w:marLeft w:val="1440"/>
          <w:marRight w:val="0"/>
          <w:marTop w:val="0"/>
          <w:marBottom w:val="40"/>
          <w:divBdr>
            <w:top w:val="none" w:sz="0" w:space="0" w:color="auto"/>
            <w:left w:val="none" w:sz="0" w:space="0" w:color="auto"/>
            <w:bottom w:val="none" w:sz="0" w:space="0" w:color="auto"/>
            <w:right w:val="none" w:sz="0" w:space="0" w:color="auto"/>
          </w:divBdr>
        </w:div>
      </w:divsChild>
    </w:div>
    <w:div w:id="287204054">
      <w:bodyDiv w:val="1"/>
      <w:marLeft w:val="0"/>
      <w:marRight w:val="0"/>
      <w:marTop w:val="0"/>
      <w:marBottom w:val="0"/>
      <w:divBdr>
        <w:top w:val="none" w:sz="0" w:space="0" w:color="auto"/>
        <w:left w:val="none" w:sz="0" w:space="0" w:color="auto"/>
        <w:bottom w:val="none" w:sz="0" w:space="0" w:color="auto"/>
        <w:right w:val="none" w:sz="0" w:space="0" w:color="auto"/>
      </w:divBdr>
      <w:divsChild>
        <w:div w:id="1178152172">
          <w:marLeft w:val="360"/>
          <w:marRight w:val="0"/>
          <w:marTop w:val="0"/>
          <w:marBottom w:val="120"/>
          <w:divBdr>
            <w:top w:val="none" w:sz="0" w:space="0" w:color="auto"/>
            <w:left w:val="none" w:sz="0" w:space="0" w:color="auto"/>
            <w:bottom w:val="none" w:sz="0" w:space="0" w:color="auto"/>
            <w:right w:val="none" w:sz="0" w:space="0" w:color="auto"/>
          </w:divBdr>
        </w:div>
        <w:div w:id="1073236105">
          <w:marLeft w:val="360"/>
          <w:marRight w:val="0"/>
          <w:marTop w:val="0"/>
          <w:marBottom w:val="120"/>
          <w:divBdr>
            <w:top w:val="none" w:sz="0" w:space="0" w:color="auto"/>
            <w:left w:val="none" w:sz="0" w:space="0" w:color="auto"/>
            <w:bottom w:val="none" w:sz="0" w:space="0" w:color="auto"/>
            <w:right w:val="none" w:sz="0" w:space="0" w:color="auto"/>
          </w:divBdr>
        </w:div>
        <w:div w:id="1899972263">
          <w:marLeft w:val="1166"/>
          <w:marRight w:val="0"/>
          <w:marTop w:val="0"/>
          <w:marBottom w:val="360"/>
          <w:divBdr>
            <w:top w:val="none" w:sz="0" w:space="0" w:color="auto"/>
            <w:left w:val="none" w:sz="0" w:space="0" w:color="auto"/>
            <w:bottom w:val="none" w:sz="0" w:space="0" w:color="auto"/>
            <w:right w:val="none" w:sz="0" w:space="0" w:color="auto"/>
          </w:divBdr>
        </w:div>
      </w:divsChild>
    </w:div>
    <w:div w:id="308633190">
      <w:bodyDiv w:val="1"/>
      <w:marLeft w:val="0"/>
      <w:marRight w:val="0"/>
      <w:marTop w:val="0"/>
      <w:marBottom w:val="0"/>
      <w:divBdr>
        <w:top w:val="none" w:sz="0" w:space="0" w:color="auto"/>
        <w:left w:val="none" w:sz="0" w:space="0" w:color="auto"/>
        <w:bottom w:val="none" w:sz="0" w:space="0" w:color="auto"/>
        <w:right w:val="none" w:sz="0" w:space="0" w:color="auto"/>
      </w:divBdr>
      <w:divsChild>
        <w:div w:id="1972058380">
          <w:marLeft w:val="0"/>
          <w:marRight w:val="0"/>
          <w:marTop w:val="0"/>
          <w:marBottom w:val="0"/>
          <w:divBdr>
            <w:top w:val="none" w:sz="0" w:space="0" w:color="auto"/>
            <w:left w:val="none" w:sz="0" w:space="0" w:color="auto"/>
            <w:bottom w:val="none" w:sz="0" w:space="0" w:color="auto"/>
            <w:right w:val="none" w:sz="0" w:space="0" w:color="auto"/>
          </w:divBdr>
          <w:divsChild>
            <w:div w:id="1579052950">
              <w:marLeft w:val="0"/>
              <w:marRight w:val="0"/>
              <w:marTop w:val="0"/>
              <w:marBottom w:val="0"/>
              <w:divBdr>
                <w:top w:val="none" w:sz="0" w:space="0" w:color="auto"/>
                <w:left w:val="none" w:sz="0" w:space="0" w:color="auto"/>
                <w:bottom w:val="none" w:sz="0" w:space="0" w:color="auto"/>
                <w:right w:val="none" w:sz="0" w:space="0" w:color="auto"/>
              </w:divBdr>
              <w:divsChild>
                <w:div w:id="1856575796">
                  <w:marLeft w:val="0"/>
                  <w:marRight w:val="0"/>
                  <w:marTop w:val="0"/>
                  <w:marBottom w:val="0"/>
                  <w:divBdr>
                    <w:top w:val="none" w:sz="0" w:space="0" w:color="auto"/>
                    <w:left w:val="none" w:sz="0" w:space="0" w:color="auto"/>
                    <w:bottom w:val="none" w:sz="0" w:space="0" w:color="auto"/>
                    <w:right w:val="none" w:sz="0" w:space="0" w:color="auto"/>
                  </w:divBdr>
                  <w:divsChild>
                    <w:div w:id="591166819">
                      <w:marLeft w:val="0"/>
                      <w:marRight w:val="0"/>
                      <w:marTop w:val="0"/>
                      <w:marBottom w:val="0"/>
                      <w:divBdr>
                        <w:top w:val="none" w:sz="0" w:space="0" w:color="auto"/>
                        <w:left w:val="none" w:sz="0" w:space="0" w:color="auto"/>
                        <w:bottom w:val="none" w:sz="0" w:space="0" w:color="auto"/>
                        <w:right w:val="none" w:sz="0" w:space="0" w:color="auto"/>
                      </w:divBdr>
                      <w:divsChild>
                        <w:div w:id="1051811220">
                          <w:marLeft w:val="0"/>
                          <w:marRight w:val="0"/>
                          <w:marTop w:val="0"/>
                          <w:marBottom w:val="0"/>
                          <w:divBdr>
                            <w:top w:val="none" w:sz="0" w:space="0" w:color="auto"/>
                            <w:left w:val="none" w:sz="0" w:space="0" w:color="auto"/>
                            <w:bottom w:val="none" w:sz="0" w:space="0" w:color="auto"/>
                            <w:right w:val="none" w:sz="0" w:space="0" w:color="auto"/>
                          </w:divBdr>
                          <w:divsChild>
                            <w:div w:id="1171409523">
                              <w:marLeft w:val="0"/>
                              <w:marRight w:val="0"/>
                              <w:marTop w:val="0"/>
                              <w:marBottom w:val="0"/>
                              <w:divBdr>
                                <w:top w:val="none" w:sz="0" w:space="0" w:color="auto"/>
                                <w:left w:val="none" w:sz="0" w:space="0" w:color="auto"/>
                                <w:bottom w:val="none" w:sz="0" w:space="0" w:color="auto"/>
                                <w:right w:val="none" w:sz="0" w:space="0" w:color="auto"/>
                              </w:divBdr>
                              <w:divsChild>
                                <w:div w:id="1724059844">
                                  <w:marLeft w:val="0"/>
                                  <w:marRight w:val="0"/>
                                  <w:marTop w:val="0"/>
                                  <w:marBottom w:val="0"/>
                                  <w:divBdr>
                                    <w:top w:val="none" w:sz="0" w:space="0" w:color="auto"/>
                                    <w:left w:val="none" w:sz="0" w:space="0" w:color="auto"/>
                                    <w:bottom w:val="none" w:sz="0" w:space="0" w:color="auto"/>
                                    <w:right w:val="none" w:sz="0" w:space="0" w:color="auto"/>
                                  </w:divBdr>
                                  <w:divsChild>
                                    <w:div w:id="1749616726">
                                      <w:marLeft w:val="0"/>
                                      <w:marRight w:val="0"/>
                                      <w:marTop w:val="0"/>
                                      <w:marBottom w:val="0"/>
                                      <w:divBdr>
                                        <w:top w:val="none" w:sz="0" w:space="0" w:color="auto"/>
                                        <w:left w:val="none" w:sz="0" w:space="0" w:color="auto"/>
                                        <w:bottom w:val="none" w:sz="0" w:space="0" w:color="auto"/>
                                        <w:right w:val="none" w:sz="0" w:space="0" w:color="auto"/>
                                      </w:divBdr>
                                      <w:divsChild>
                                        <w:div w:id="6199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876902">
      <w:bodyDiv w:val="1"/>
      <w:marLeft w:val="0"/>
      <w:marRight w:val="0"/>
      <w:marTop w:val="0"/>
      <w:marBottom w:val="0"/>
      <w:divBdr>
        <w:top w:val="none" w:sz="0" w:space="0" w:color="auto"/>
        <w:left w:val="none" w:sz="0" w:space="0" w:color="auto"/>
        <w:bottom w:val="none" w:sz="0" w:space="0" w:color="auto"/>
        <w:right w:val="none" w:sz="0" w:space="0" w:color="auto"/>
      </w:divBdr>
    </w:div>
    <w:div w:id="325473307">
      <w:bodyDiv w:val="1"/>
      <w:marLeft w:val="0"/>
      <w:marRight w:val="0"/>
      <w:marTop w:val="0"/>
      <w:marBottom w:val="0"/>
      <w:divBdr>
        <w:top w:val="none" w:sz="0" w:space="0" w:color="auto"/>
        <w:left w:val="none" w:sz="0" w:space="0" w:color="auto"/>
        <w:bottom w:val="none" w:sz="0" w:space="0" w:color="auto"/>
        <w:right w:val="none" w:sz="0" w:space="0" w:color="auto"/>
      </w:divBdr>
    </w:div>
    <w:div w:id="343437291">
      <w:bodyDiv w:val="1"/>
      <w:marLeft w:val="0"/>
      <w:marRight w:val="0"/>
      <w:marTop w:val="0"/>
      <w:marBottom w:val="0"/>
      <w:divBdr>
        <w:top w:val="none" w:sz="0" w:space="0" w:color="auto"/>
        <w:left w:val="none" w:sz="0" w:space="0" w:color="auto"/>
        <w:bottom w:val="none" w:sz="0" w:space="0" w:color="auto"/>
        <w:right w:val="none" w:sz="0" w:space="0" w:color="auto"/>
      </w:divBdr>
    </w:div>
    <w:div w:id="403112782">
      <w:bodyDiv w:val="1"/>
      <w:marLeft w:val="0"/>
      <w:marRight w:val="0"/>
      <w:marTop w:val="0"/>
      <w:marBottom w:val="0"/>
      <w:divBdr>
        <w:top w:val="none" w:sz="0" w:space="0" w:color="auto"/>
        <w:left w:val="none" w:sz="0" w:space="0" w:color="auto"/>
        <w:bottom w:val="none" w:sz="0" w:space="0" w:color="auto"/>
        <w:right w:val="none" w:sz="0" w:space="0" w:color="auto"/>
      </w:divBdr>
    </w:div>
    <w:div w:id="503283384">
      <w:bodyDiv w:val="1"/>
      <w:marLeft w:val="0"/>
      <w:marRight w:val="0"/>
      <w:marTop w:val="0"/>
      <w:marBottom w:val="0"/>
      <w:divBdr>
        <w:top w:val="none" w:sz="0" w:space="0" w:color="auto"/>
        <w:left w:val="none" w:sz="0" w:space="0" w:color="auto"/>
        <w:bottom w:val="none" w:sz="0" w:space="0" w:color="auto"/>
        <w:right w:val="none" w:sz="0" w:space="0" w:color="auto"/>
      </w:divBdr>
    </w:div>
    <w:div w:id="513110617">
      <w:bodyDiv w:val="1"/>
      <w:marLeft w:val="0"/>
      <w:marRight w:val="0"/>
      <w:marTop w:val="0"/>
      <w:marBottom w:val="0"/>
      <w:divBdr>
        <w:top w:val="none" w:sz="0" w:space="0" w:color="auto"/>
        <w:left w:val="none" w:sz="0" w:space="0" w:color="auto"/>
        <w:bottom w:val="none" w:sz="0" w:space="0" w:color="auto"/>
        <w:right w:val="none" w:sz="0" w:space="0" w:color="auto"/>
      </w:divBdr>
    </w:div>
    <w:div w:id="578560454">
      <w:bodyDiv w:val="1"/>
      <w:marLeft w:val="0"/>
      <w:marRight w:val="0"/>
      <w:marTop w:val="0"/>
      <w:marBottom w:val="0"/>
      <w:divBdr>
        <w:top w:val="none" w:sz="0" w:space="0" w:color="auto"/>
        <w:left w:val="none" w:sz="0" w:space="0" w:color="auto"/>
        <w:bottom w:val="none" w:sz="0" w:space="0" w:color="auto"/>
        <w:right w:val="none" w:sz="0" w:space="0" w:color="auto"/>
      </w:divBdr>
      <w:divsChild>
        <w:div w:id="1627783529">
          <w:marLeft w:val="0"/>
          <w:marRight w:val="0"/>
          <w:marTop w:val="0"/>
          <w:marBottom w:val="0"/>
          <w:divBdr>
            <w:top w:val="none" w:sz="0" w:space="0" w:color="auto"/>
            <w:left w:val="none" w:sz="0" w:space="0" w:color="auto"/>
            <w:bottom w:val="none" w:sz="0" w:space="0" w:color="auto"/>
            <w:right w:val="none" w:sz="0" w:space="0" w:color="auto"/>
          </w:divBdr>
          <w:divsChild>
            <w:div w:id="1875842295">
              <w:marLeft w:val="-225"/>
              <w:marRight w:val="-225"/>
              <w:marTop w:val="0"/>
              <w:marBottom w:val="0"/>
              <w:divBdr>
                <w:top w:val="none" w:sz="0" w:space="0" w:color="auto"/>
                <w:left w:val="none" w:sz="0" w:space="0" w:color="auto"/>
                <w:bottom w:val="none" w:sz="0" w:space="0" w:color="auto"/>
                <w:right w:val="none" w:sz="0" w:space="0" w:color="auto"/>
              </w:divBdr>
              <w:divsChild>
                <w:div w:id="90512479">
                  <w:marLeft w:val="0"/>
                  <w:marRight w:val="0"/>
                  <w:marTop w:val="0"/>
                  <w:marBottom w:val="0"/>
                  <w:divBdr>
                    <w:top w:val="none" w:sz="0" w:space="0" w:color="auto"/>
                    <w:left w:val="none" w:sz="0" w:space="0" w:color="auto"/>
                    <w:bottom w:val="none" w:sz="0" w:space="0" w:color="auto"/>
                    <w:right w:val="none" w:sz="0" w:space="0" w:color="auto"/>
                  </w:divBdr>
                  <w:divsChild>
                    <w:div w:id="1877621010">
                      <w:marLeft w:val="-225"/>
                      <w:marRight w:val="-225"/>
                      <w:marTop w:val="0"/>
                      <w:marBottom w:val="0"/>
                      <w:divBdr>
                        <w:top w:val="none" w:sz="0" w:space="0" w:color="auto"/>
                        <w:left w:val="none" w:sz="0" w:space="0" w:color="auto"/>
                        <w:bottom w:val="none" w:sz="0" w:space="0" w:color="auto"/>
                        <w:right w:val="none" w:sz="0" w:space="0" w:color="auto"/>
                      </w:divBdr>
                      <w:divsChild>
                        <w:div w:id="19802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18963">
      <w:bodyDiv w:val="1"/>
      <w:marLeft w:val="0"/>
      <w:marRight w:val="0"/>
      <w:marTop w:val="0"/>
      <w:marBottom w:val="0"/>
      <w:divBdr>
        <w:top w:val="none" w:sz="0" w:space="0" w:color="auto"/>
        <w:left w:val="none" w:sz="0" w:space="0" w:color="auto"/>
        <w:bottom w:val="none" w:sz="0" w:space="0" w:color="auto"/>
        <w:right w:val="none" w:sz="0" w:space="0" w:color="auto"/>
      </w:divBdr>
      <w:divsChild>
        <w:div w:id="1228569840">
          <w:marLeft w:val="0"/>
          <w:marRight w:val="0"/>
          <w:marTop w:val="0"/>
          <w:marBottom w:val="0"/>
          <w:divBdr>
            <w:top w:val="none" w:sz="0" w:space="0" w:color="auto"/>
            <w:left w:val="none" w:sz="0" w:space="0" w:color="auto"/>
            <w:bottom w:val="none" w:sz="0" w:space="0" w:color="auto"/>
            <w:right w:val="none" w:sz="0" w:space="0" w:color="auto"/>
          </w:divBdr>
          <w:divsChild>
            <w:div w:id="1301156180">
              <w:marLeft w:val="0"/>
              <w:marRight w:val="0"/>
              <w:marTop w:val="0"/>
              <w:marBottom w:val="0"/>
              <w:divBdr>
                <w:top w:val="none" w:sz="0" w:space="0" w:color="auto"/>
                <w:left w:val="none" w:sz="0" w:space="0" w:color="auto"/>
                <w:bottom w:val="none" w:sz="0" w:space="0" w:color="auto"/>
                <w:right w:val="none" w:sz="0" w:space="0" w:color="auto"/>
              </w:divBdr>
              <w:divsChild>
                <w:div w:id="847714207">
                  <w:marLeft w:val="0"/>
                  <w:marRight w:val="0"/>
                  <w:marTop w:val="0"/>
                  <w:marBottom w:val="0"/>
                  <w:divBdr>
                    <w:top w:val="none" w:sz="0" w:space="0" w:color="auto"/>
                    <w:left w:val="none" w:sz="0" w:space="0" w:color="auto"/>
                    <w:bottom w:val="none" w:sz="0" w:space="0" w:color="auto"/>
                    <w:right w:val="none" w:sz="0" w:space="0" w:color="auto"/>
                  </w:divBdr>
                  <w:divsChild>
                    <w:div w:id="1988318383">
                      <w:marLeft w:val="0"/>
                      <w:marRight w:val="0"/>
                      <w:marTop w:val="0"/>
                      <w:marBottom w:val="0"/>
                      <w:divBdr>
                        <w:top w:val="none" w:sz="0" w:space="0" w:color="auto"/>
                        <w:left w:val="none" w:sz="0" w:space="0" w:color="auto"/>
                        <w:bottom w:val="none" w:sz="0" w:space="0" w:color="auto"/>
                        <w:right w:val="none" w:sz="0" w:space="0" w:color="auto"/>
                      </w:divBdr>
                      <w:divsChild>
                        <w:div w:id="2068645064">
                          <w:marLeft w:val="0"/>
                          <w:marRight w:val="0"/>
                          <w:marTop w:val="0"/>
                          <w:marBottom w:val="0"/>
                          <w:divBdr>
                            <w:top w:val="none" w:sz="0" w:space="0" w:color="auto"/>
                            <w:left w:val="none" w:sz="0" w:space="0" w:color="auto"/>
                            <w:bottom w:val="none" w:sz="0" w:space="0" w:color="auto"/>
                            <w:right w:val="none" w:sz="0" w:space="0" w:color="auto"/>
                          </w:divBdr>
                          <w:divsChild>
                            <w:div w:id="11954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7828">
                      <w:marLeft w:val="0"/>
                      <w:marRight w:val="0"/>
                      <w:marTop w:val="0"/>
                      <w:marBottom w:val="0"/>
                      <w:divBdr>
                        <w:top w:val="none" w:sz="0" w:space="0" w:color="auto"/>
                        <w:left w:val="none" w:sz="0" w:space="0" w:color="auto"/>
                        <w:bottom w:val="none" w:sz="0" w:space="0" w:color="auto"/>
                        <w:right w:val="none" w:sz="0" w:space="0" w:color="auto"/>
                      </w:divBdr>
                      <w:divsChild>
                        <w:div w:id="1913730777">
                          <w:marLeft w:val="0"/>
                          <w:marRight w:val="0"/>
                          <w:marTop w:val="0"/>
                          <w:marBottom w:val="0"/>
                          <w:divBdr>
                            <w:top w:val="none" w:sz="0" w:space="0" w:color="auto"/>
                            <w:left w:val="none" w:sz="0" w:space="0" w:color="auto"/>
                            <w:bottom w:val="none" w:sz="0" w:space="0" w:color="auto"/>
                            <w:right w:val="none" w:sz="0" w:space="0" w:color="auto"/>
                          </w:divBdr>
                          <w:divsChild>
                            <w:div w:id="17010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7420">
                      <w:marLeft w:val="0"/>
                      <w:marRight w:val="0"/>
                      <w:marTop w:val="0"/>
                      <w:marBottom w:val="0"/>
                      <w:divBdr>
                        <w:top w:val="none" w:sz="0" w:space="0" w:color="auto"/>
                        <w:left w:val="none" w:sz="0" w:space="0" w:color="auto"/>
                        <w:bottom w:val="none" w:sz="0" w:space="0" w:color="auto"/>
                        <w:right w:val="none" w:sz="0" w:space="0" w:color="auto"/>
                      </w:divBdr>
                      <w:divsChild>
                        <w:div w:id="355352791">
                          <w:marLeft w:val="0"/>
                          <w:marRight w:val="0"/>
                          <w:marTop w:val="0"/>
                          <w:marBottom w:val="0"/>
                          <w:divBdr>
                            <w:top w:val="none" w:sz="0" w:space="0" w:color="auto"/>
                            <w:left w:val="none" w:sz="0" w:space="0" w:color="auto"/>
                            <w:bottom w:val="none" w:sz="0" w:space="0" w:color="auto"/>
                            <w:right w:val="none" w:sz="0" w:space="0" w:color="auto"/>
                          </w:divBdr>
                          <w:divsChild>
                            <w:div w:id="8839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0192">
                      <w:marLeft w:val="0"/>
                      <w:marRight w:val="0"/>
                      <w:marTop w:val="0"/>
                      <w:marBottom w:val="0"/>
                      <w:divBdr>
                        <w:top w:val="none" w:sz="0" w:space="0" w:color="auto"/>
                        <w:left w:val="none" w:sz="0" w:space="0" w:color="auto"/>
                        <w:bottom w:val="none" w:sz="0" w:space="0" w:color="auto"/>
                        <w:right w:val="none" w:sz="0" w:space="0" w:color="auto"/>
                      </w:divBdr>
                      <w:divsChild>
                        <w:div w:id="1196043327">
                          <w:marLeft w:val="0"/>
                          <w:marRight w:val="0"/>
                          <w:marTop w:val="0"/>
                          <w:marBottom w:val="0"/>
                          <w:divBdr>
                            <w:top w:val="none" w:sz="0" w:space="0" w:color="auto"/>
                            <w:left w:val="none" w:sz="0" w:space="0" w:color="auto"/>
                            <w:bottom w:val="none" w:sz="0" w:space="0" w:color="auto"/>
                            <w:right w:val="none" w:sz="0" w:space="0" w:color="auto"/>
                          </w:divBdr>
                          <w:divsChild>
                            <w:div w:id="8068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492485">
      <w:bodyDiv w:val="1"/>
      <w:marLeft w:val="0"/>
      <w:marRight w:val="0"/>
      <w:marTop w:val="0"/>
      <w:marBottom w:val="0"/>
      <w:divBdr>
        <w:top w:val="none" w:sz="0" w:space="0" w:color="auto"/>
        <w:left w:val="none" w:sz="0" w:space="0" w:color="auto"/>
        <w:bottom w:val="none" w:sz="0" w:space="0" w:color="auto"/>
        <w:right w:val="none" w:sz="0" w:space="0" w:color="auto"/>
      </w:divBdr>
    </w:div>
    <w:div w:id="843087704">
      <w:bodyDiv w:val="1"/>
      <w:marLeft w:val="0"/>
      <w:marRight w:val="0"/>
      <w:marTop w:val="0"/>
      <w:marBottom w:val="0"/>
      <w:divBdr>
        <w:top w:val="none" w:sz="0" w:space="0" w:color="auto"/>
        <w:left w:val="none" w:sz="0" w:space="0" w:color="auto"/>
        <w:bottom w:val="none" w:sz="0" w:space="0" w:color="auto"/>
        <w:right w:val="none" w:sz="0" w:space="0" w:color="auto"/>
      </w:divBdr>
    </w:div>
    <w:div w:id="847596409">
      <w:bodyDiv w:val="1"/>
      <w:marLeft w:val="0"/>
      <w:marRight w:val="0"/>
      <w:marTop w:val="0"/>
      <w:marBottom w:val="0"/>
      <w:divBdr>
        <w:top w:val="none" w:sz="0" w:space="0" w:color="auto"/>
        <w:left w:val="none" w:sz="0" w:space="0" w:color="auto"/>
        <w:bottom w:val="none" w:sz="0" w:space="0" w:color="auto"/>
        <w:right w:val="none" w:sz="0" w:space="0" w:color="auto"/>
      </w:divBdr>
    </w:div>
    <w:div w:id="848180409">
      <w:bodyDiv w:val="1"/>
      <w:marLeft w:val="0"/>
      <w:marRight w:val="0"/>
      <w:marTop w:val="0"/>
      <w:marBottom w:val="0"/>
      <w:divBdr>
        <w:top w:val="none" w:sz="0" w:space="0" w:color="auto"/>
        <w:left w:val="none" w:sz="0" w:space="0" w:color="auto"/>
        <w:bottom w:val="none" w:sz="0" w:space="0" w:color="auto"/>
        <w:right w:val="none" w:sz="0" w:space="0" w:color="auto"/>
      </w:divBdr>
    </w:div>
    <w:div w:id="1053307298">
      <w:bodyDiv w:val="1"/>
      <w:marLeft w:val="0"/>
      <w:marRight w:val="0"/>
      <w:marTop w:val="0"/>
      <w:marBottom w:val="0"/>
      <w:divBdr>
        <w:top w:val="none" w:sz="0" w:space="0" w:color="auto"/>
        <w:left w:val="none" w:sz="0" w:space="0" w:color="auto"/>
        <w:bottom w:val="none" w:sz="0" w:space="0" w:color="auto"/>
        <w:right w:val="none" w:sz="0" w:space="0" w:color="auto"/>
      </w:divBdr>
      <w:divsChild>
        <w:div w:id="308560838">
          <w:marLeft w:val="547"/>
          <w:marRight w:val="0"/>
          <w:marTop w:val="86"/>
          <w:marBottom w:val="0"/>
          <w:divBdr>
            <w:top w:val="none" w:sz="0" w:space="0" w:color="auto"/>
            <w:left w:val="none" w:sz="0" w:space="0" w:color="auto"/>
            <w:bottom w:val="none" w:sz="0" w:space="0" w:color="auto"/>
            <w:right w:val="none" w:sz="0" w:space="0" w:color="auto"/>
          </w:divBdr>
        </w:div>
        <w:div w:id="923683207">
          <w:marLeft w:val="547"/>
          <w:marRight w:val="0"/>
          <w:marTop w:val="86"/>
          <w:marBottom w:val="0"/>
          <w:divBdr>
            <w:top w:val="none" w:sz="0" w:space="0" w:color="auto"/>
            <w:left w:val="none" w:sz="0" w:space="0" w:color="auto"/>
            <w:bottom w:val="none" w:sz="0" w:space="0" w:color="auto"/>
            <w:right w:val="none" w:sz="0" w:space="0" w:color="auto"/>
          </w:divBdr>
        </w:div>
        <w:div w:id="1912690832">
          <w:marLeft w:val="547"/>
          <w:marRight w:val="0"/>
          <w:marTop w:val="86"/>
          <w:marBottom w:val="0"/>
          <w:divBdr>
            <w:top w:val="none" w:sz="0" w:space="0" w:color="auto"/>
            <w:left w:val="none" w:sz="0" w:space="0" w:color="auto"/>
            <w:bottom w:val="none" w:sz="0" w:space="0" w:color="auto"/>
            <w:right w:val="none" w:sz="0" w:space="0" w:color="auto"/>
          </w:divBdr>
        </w:div>
        <w:div w:id="1397319771">
          <w:marLeft w:val="547"/>
          <w:marRight w:val="0"/>
          <w:marTop w:val="86"/>
          <w:marBottom w:val="0"/>
          <w:divBdr>
            <w:top w:val="none" w:sz="0" w:space="0" w:color="auto"/>
            <w:left w:val="none" w:sz="0" w:space="0" w:color="auto"/>
            <w:bottom w:val="none" w:sz="0" w:space="0" w:color="auto"/>
            <w:right w:val="none" w:sz="0" w:space="0" w:color="auto"/>
          </w:divBdr>
        </w:div>
        <w:div w:id="1235237442">
          <w:marLeft w:val="547"/>
          <w:marRight w:val="0"/>
          <w:marTop w:val="86"/>
          <w:marBottom w:val="0"/>
          <w:divBdr>
            <w:top w:val="none" w:sz="0" w:space="0" w:color="auto"/>
            <w:left w:val="none" w:sz="0" w:space="0" w:color="auto"/>
            <w:bottom w:val="none" w:sz="0" w:space="0" w:color="auto"/>
            <w:right w:val="none" w:sz="0" w:space="0" w:color="auto"/>
          </w:divBdr>
        </w:div>
        <w:div w:id="202523016">
          <w:marLeft w:val="547"/>
          <w:marRight w:val="0"/>
          <w:marTop w:val="86"/>
          <w:marBottom w:val="0"/>
          <w:divBdr>
            <w:top w:val="none" w:sz="0" w:space="0" w:color="auto"/>
            <w:left w:val="none" w:sz="0" w:space="0" w:color="auto"/>
            <w:bottom w:val="none" w:sz="0" w:space="0" w:color="auto"/>
            <w:right w:val="none" w:sz="0" w:space="0" w:color="auto"/>
          </w:divBdr>
        </w:div>
        <w:div w:id="60492405">
          <w:marLeft w:val="547"/>
          <w:marRight w:val="0"/>
          <w:marTop w:val="86"/>
          <w:marBottom w:val="0"/>
          <w:divBdr>
            <w:top w:val="none" w:sz="0" w:space="0" w:color="auto"/>
            <w:left w:val="none" w:sz="0" w:space="0" w:color="auto"/>
            <w:bottom w:val="none" w:sz="0" w:space="0" w:color="auto"/>
            <w:right w:val="none" w:sz="0" w:space="0" w:color="auto"/>
          </w:divBdr>
        </w:div>
      </w:divsChild>
    </w:div>
    <w:div w:id="1089350583">
      <w:bodyDiv w:val="1"/>
      <w:marLeft w:val="0"/>
      <w:marRight w:val="0"/>
      <w:marTop w:val="0"/>
      <w:marBottom w:val="0"/>
      <w:divBdr>
        <w:top w:val="none" w:sz="0" w:space="0" w:color="auto"/>
        <w:left w:val="none" w:sz="0" w:space="0" w:color="auto"/>
        <w:bottom w:val="none" w:sz="0" w:space="0" w:color="auto"/>
        <w:right w:val="none" w:sz="0" w:space="0" w:color="auto"/>
      </w:divBdr>
    </w:div>
    <w:div w:id="1173297107">
      <w:bodyDiv w:val="1"/>
      <w:marLeft w:val="0"/>
      <w:marRight w:val="0"/>
      <w:marTop w:val="0"/>
      <w:marBottom w:val="0"/>
      <w:divBdr>
        <w:top w:val="none" w:sz="0" w:space="0" w:color="auto"/>
        <w:left w:val="none" w:sz="0" w:space="0" w:color="auto"/>
        <w:bottom w:val="none" w:sz="0" w:space="0" w:color="auto"/>
        <w:right w:val="none" w:sz="0" w:space="0" w:color="auto"/>
      </w:divBdr>
    </w:div>
    <w:div w:id="1200320998">
      <w:bodyDiv w:val="1"/>
      <w:marLeft w:val="0"/>
      <w:marRight w:val="0"/>
      <w:marTop w:val="0"/>
      <w:marBottom w:val="0"/>
      <w:divBdr>
        <w:top w:val="none" w:sz="0" w:space="0" w:color="auto"/>
        <w:left w:val="none" w:sz="0" w:space="0" w:color="auto"/>
        <w:bottom w:val="none" w:sz="0" w:space="0" w:color="auto"/>
        <w:right w:val="none" w:sz="0" w:space="0" w:color="auto"/>
      </w:divBdr>
    </w:div>
    <w:div w:id="1204757485">
      <w:bodyDiv w:val="1"/>
      <w:marLeft w:val="0"/>
      <w:marRight w:val="0"/>
      <w:marTop w:val="0"/>
      <w:marBottom w:val="0"/>
      <w:divBdr>
        <w:top w:val="none" w:sz="0" w:space="0" w:color="auto"/>
        <w:left w:val="none" w:sz="0" w:space="0" w:color="auto"/>
        <w:bottom w:val="none" w:sz="0" w:space="0" w:color="auto"/>
        <w:right w:val="none" w:sz="0" w:space="0" w:color="auto"/>
      </w:divBdr>
    </w:div>
    <w:div w:id="1303802343">
      <w:bodyDiv w:val="1"/>
      <w:marLeft w:val="0"/>
      <w:marRight w:val="0"/>
      <w:marTop w:val="0"/>
      <w:marBottom w:val="0"/>
      <w:divBdr>
        <w:top w:val="none" w:sz="0" w:space="0" w:color="auto"/>
        <w:left w:val="none" w:sz="0" w:space="0" w:color="auto"/>
        <w:bottom w:val="none" w:sz="0" w:space="0" w:color="auto"/>
        <w:right w:val="none" w:sz="0" w:space="0" w:color="auto"/>
      </w:divBdr>
      <w:divsChild>
        <w:div w:id="1397571">
          <w:marLeft w:val="0"/>
          <w:marRight w:val="0"/>
          <w:marTop w:val="0"/>
          <w:marBottom w:val="0"/>
          <w:divBdr>
            <w:top w:val="none" w:sz="0" w:space="0" w:color="auto"/>
            <w:left w:val="none" w:sz="0" w:space="0" w:color="auto"/>
            <w:bottom w:val="none" w:sz="0" w:space="0" w:color="auto"/>
            <w:right w:val="none" w:sz="0" w:space="0" w:color="auto"/>
          </w:divBdr>
          <w:divsChild>
            <w:div w:id="1078138024">
              <w:marLeft w:val="4050"/>
              <w:marRight w:val="4050"/>
              <w:marTop w:val="0"/>
              <w:marBottom w:val="0"/>
              <w:divBdr>
                <w:top w:val="none" w:sz="0" w:space="0" w:color="auto"/>
                <w:left w:val="none" w:sz="0" w:space="0" w:color="auto"/>
                <w:bottom w:val="none" w:sz="0" w:space="0" w:color="auto"/>
                <w:right w:val="none" w:sz="0" w:space="0" w:color="auto"/>
              </w:divBdr>
              <w:divsChild>
                <w:div w:id="2085951094">
                  <w:marLeft w:val="-15"/>
                  <w:marRight w:val="-15"/>
                  <w:marTop w:val="75"/>
                  <w:marBottom w:val="0"/>
                  <w:divBdr>
                    <w:top w:val="none" w:sz="0" w:space="0" w:color="auto"/>
                    <w:left w:val="none" w:sz="0" w:space="0" w:color="auto"/>
                    <w:bottom w:val="none" w:sz="0" w:space="0" w:color="auto"/>
                    <w:right w:val="none" w:sz="0" w:space="0" w:color="auto"/>
                  </w:divBdr>
                </w:div>
              </w:divsChild>
            </w:div>
          </w:divsChild>
        </w:div>
      </w:divsChild>
    </w:div>
    <w:div w:id="1306545783">
      <w:bodyDiv w:val="1"/>
      <w:marLeft w:val="0"/>
      <w:marRight w:val="0"/>
      <w:marTop w:val="0"/>
      <w:marBottom w:val="0"/>
      <w:divBdr>
        <w:top w:val="none" w:sz="0" w:space="0" w:color="auto"/>
        <w:left w:val="none" w:sz="0" w:space="0" w:color="auto"/>
        <w:bottom w:val="none" w:sz="0" w:space="0" w:color="auto"/>
        <w:right w:val="none" w:sz="0" w:space="0" w:color="auto"/>
      </w:divBdr>
    </w:div>
    <w:div w:id="1395154095">
      <w:bodyDiv w:val="1"/>
      <w:marLeft w:val="0"/>
      <w:marRight w:val="0"/>
      <w:marTop w:val="0"/>
      <w:marBottom w:val="0"/>
      <w:divBdr>
        <w:top w:val="none" w:sz="0" w:space="0" w:color="auto"/>
        <w:left w:val="none" w:sz="0" w:space="0" w:color="auto"/>
        <w:bottom w:val="none" w:sz="0" w:space="0" w:color="auto"/>
        <w:right w:val="none" w:sz="0" w:space="0" w:color="auto"/>
      </w:divBdr>
      <w:divsChild>
        <w:div w:id="1625505123">
          <w:marLeft w:val="1440"/>
          <w:marRight w:val="0"/>
          <w:marTop w:val="0"/>
          <w:marBottom w:val="40"/>
          <w:divBdr>
            <w:top w:val="none" w:sz="0" w:space="0" w:color="auto"/>
            <w:left w:val="none" w:sz="0" w:space="0" w:color="auto"/>
            <w:bottom w:val="none" w:sz="0" w:space="0" w:color="auto"/>
            <w:right w:val="none" w:sz="0" w:space="0" w:color="auto"/>
          </w:divBdr>
        </w:div>
        <w:div w:id="212162864">
          <w:marLeft w:val="1440"/>
          <w:marRight w:val="0"/>
          <w:marTop w:val="0"/>
          <w:marBottom w:val="40"/>
          <w:divBdr>
            <w:top w:val="none" w:sz="0" w:space="0" w:color="auto"/>
            <w:left w:val="none" w:sz="0" w:space="0" w:color="auto"/>
            <w:bottom w:val="none" w:sz="0" w:space="0" w:color="auto"/>
            <w:right w:val="none" w:sz="0" w:space="0" w:color="auto"/>
          </w:divBdr>
        </w:div>
        <w:div w:id="398217100">
          <w:marLeft w:val="1915"/>
          <w:marRight w:val="0"/>
          <w:marTop w:val="0"/>
          <w:marBottom w:val="40"/>
          <w:divBdr>
            <w:top w:val="none" w:sz="0" w:space="0" w:color="auto"/>
            <w:left w:val="none" w:sz="0" w:space="0" w:color="auto"/>
            <w:bottom w:val="none" w:sz="0" w:space="0" w:color="auto"/>
            <w:right w:val="none" w:sz="0" w:space="0" w:color="auto"/>
          </w:divBdr>
        </w:div>
        <w:div w:id="1066338765">
          <w:marLeft w:val="1915"/>
          <w:marRight w:val="0"/>
          <w:marTop w:val="0"/>
          <w:marBottom w:val="40"/>
          <w:divBdr>
            <w:top w:val="none" w:sz="0" w:space="0" w:color="auto"/>
            <w:left w:val="none" w:sz="0" w:space="0" w:color="auto"/>
            <w:bottom w:val="none" w:sz="0" w:space="0" w:color="auto"/>
            <w:right w:val="none" w:sz="0" w:space="0" w:color="auto"/>
          </w:divBdr>
        </w:div>
        <w:div w:id="1920483448">
          <w:marLeft w:val="1915"/>
          <w:marRight w:val="0"/>
          <w:marTop w:val="0"/>
          <w:marBottom w:val="40"/>
          <w:divBdr>
            <w:top w:val="none" w:sz="0" w:space="0" w:color="auto"/>
            <w:left w:val="none" w:sz="0" w:space="0" w:color="auto"/>
            <w:bottom w:val="none" w:sz="0" w:space="0" w:color="auto"/>
            <w:right w:val="none" w:sz="0" w:space="0" w:color="auto"/>
          </w:divBdr>
        </w:div>
      </w:divsChild>
    </w:div>
    <w:div w:id="1589265656">
      <w:bodyDiv w:val="1"/>
      <w:marLeft w:val="0"/>
      <w:marRight w:val="0"/>
      <w:marTop w:val="0"/>
      <w:marBottom w:val="0"/>
      <w:divBdr>
        <w:top w:val="none" w:sz="0" w:space="0" w:color="auto"/>
        <w:left w:val="none" w:sz="0" w:space="0" w:color="auto"/>
        <w:bottom w:val="none" w:sz="0" w:space="0" w:color="auto"/>
        <w:right w:val="none" w:sz="0" w:space="0" w:color="auto"/>
      </w:divBdr>
      <w:divsChild>
        <w:div w:id="832139004">
          <w:marLeft w:val="0"/>
          <w:marRight w:val="0"/>
          <w:marTop w:val="0"/>
          <w:marBottom w:val="0"/>
          <w:divBdr>
            <w:top w:val="none" w:sz="0" w:space="0" w:color="auto"/>
            <w:left w:val="none" w:sz="0" w:space="0" w:color="auto"/>
            <w:bottom w:val="none" w:sz="0" w:space="0" w:color="auto"/>
            <w:right w:val="none" w:sz="0" w:space="0" w:color="auto"/>
          </w:divBdr>
          <w:divsChild>
            <w:div w:id="585455410">
              <w:marLeft w:val="0"/>
              <w:marRight w:val="0"/>
              <w:marTop w:val="0"/>
              <w:marBottom w:val="0"/>
              <w:divBdr>
                <w:top w:val="none" w:sz="0" w:space="0" w:color="auto"/>
                <w:left w:val="none" w:sz="0" w:space="0" w:color="auto"/>
                <w:bottom w:val="none" w:sz="0" w:space="0" w:color="auto"/>
                <w:right w:val="none" w:sz="0" w:space="0" w:color="auto"/>
              </w:divBdr>
              <w:divsChild>
                <w:div w:id="437141836">
                  <w:marLeft w:val="0"/>
                  <w:marRight w:val="0"/>
                  <w:marTop w:val="300"/>
                  <w:marBottom w:val="0"/>
                  <w:divBdr>
                    <w:top w:val="none" w:sz="0" w:space="0" w:color="auto"/>
                    <w:left w:val="none" w:sz="0" w:space="0" w:color="auto"/>
                    <w:bottom w:val="none" w:sz="0" w:space="0" w:color="auto"/>
                    <w:right w:val="none" w:sz="0" w:space="0" w:color="auto"/>
                  </w:divBdr>
                  <w:divsChild>
                    <w:div w:id="291911271">
                      <w:marLeft w:val="0"/>
                      <w:marRight w:val="0"/>
                      <w:marTop w:val="0"/>
                      <w:marBottom w:val="0"/>
                      <w:divBdr>
                        <w:top w:val="none" w:sz="0" w:space="0" w:color="auto"/>
                        <w:left w:val="none" w:sz="0" w:space="0" w:color="auto"/>
                        <w:bottom w:val="none" w:sz="0" w:space="0" w:color="auto"/>
                        <w:right w:val="none" w:sz="0" w:space="0" w:color="auto"/>
                      </w:divBdr>
                      <w:divsChild>
                        <w:div w:id="11508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616350">
      <w:bodyDiv w:val="1"/>
      <w:marLeft w:val="0"/>
      <w:marRight w:val="0"/>
      <w:marTop w:val="0"/>
      <w:marBottom w:val="0"/>
      <w:divBdr>
        <w:top w:val="none" w:sz="0" w:space="0" w:color="auto"/>
        <w:left w:val="none" w:sz="0" w:space="0" w:color="auto"/>
        <w:bottom w:val="none" w:sz="0" w:space="0" w:color="auto"/>
        <w:right w:val="none" w:sz="0" w:space="0" w:color="auto"/>
      </w:divBdr>
      <w:divsChild>
        <w:div w:id="1134981824">
          <w:marLeft w:val="475"/>
          <w:marRight w:val="0"/>
          <w:marTop w:val="240"/>
          <w:marBottom w:val="240"/>
          <w:divBdr>
            <w:top w:val="none" w:sz="0" w:space="0" w:color="auto"/>
            <w:left w:val="none" w:sz="0" w:space="0" w:color="auto"/>
            <w:bottom w:val="none" w:sz="0" w:space="0" w:color="auto"/>
            <w:right w:val="none" w:sz="0" w:space="0" w:color="auto"/>
          </w:divBdr>
        </w:div>
        <w:div w:id="153646678">
          <w:marLeft w:val="475"/>
          <w:marRight w:val="0"/>
          <w:marTop w:val="240"/>
          <w:marBottom w:val="240"/>
          <w:divBdr>
            <w:top w:val="none" w:sz="0" w:space="0" w:color="auto"/>
            <w:left w:val="none" w:sz="0" w:space="0" w:color="auto"/>
            <w:bottom w:val="none" w:sz="0" w:space="0" w:color="auto"/>
            <w:right w:val="none" w:sz="0" w:space="0" w:color="auto"/>
          </w:divBdr>
        </w:div>
        <w:div w:id="2048987974">
          <w:marLeft w:val="475"/>
          <w:marRight w:val="0"/>
          <w:marTop w:val="240"/>
          <w:marBottom w:val="240"/>
          <w:divBdr>
            <w:top w:val="none" w:sz="0" w:space="0" w:color="auto"/>
            <w:left w:val="none" w:sz="0" w:space="0" w:color="auto"/>
            <w:bottom w:val="none" w:sz="0" w:space="0" w:color="auto"/>
            <w:right w:val="none" w:sz="0" w:space="0" w:color="auto"/>
          </w:divBdr>
        </w:div>
      </w:divsChild>
    </w:div>
    <w:div w:id="1607737756">
      <w:bodyDiv w:val="1"/>
      <w:marLeft w:val="0"/>
      <w:marRight w:val="0"/>
      <w:marTop w:val="0"/>
      <w:marBottom w:val="0"/>
      <w:divBdr>
        <w:top w:val="none" w:sz="0" w:space="0" w:color="auto"/>
        <w:left w:val="none" w:sz="0" w:space="0" w:color="auto"/>
        <w:bottom w:val="none" w:sz="0" w:space="0" w:color="auto"/>
        <w:right w:val="none" w:sz="0" w:space="0" w:color="auto"/>
      </w:divBdr>
      <w:divsChild>
        <w:div w:id="535974363">
          <w:marLeft w:val="0"/>
          <w:marRight w:val="0"/>
          <w:marTop w:val="0"/>
          <w:marBottom w:val="0"/>
          <w:divBdr>
            <w:top w:val="none" w:sz="0" w:space="0" w:color="auto"/>
            <w:left w:val="none" w:sz="0" w:space="0" w:color="auto"/>
            <w:bottom w:val="none" w:sz="0" w:space="0" w:color="auto"/>
            <w:right w:val="none" w:sz="0" w:space="0" w:color="auto"/>
          </w:divBdr>
          <w:divsChild>
            <w:div w:id="99645826">
              <w:marLeft w:val="4050"/>
              <w:marRight w:val="4050"/>
              <w:marTop w:val="0"/>
              <w:marBottom w:val="0"/>
              <w:divBdr>
                <w:top w:val="none" w:sz="0" w:space="0" w:color="auto"/>
                <w:left w:val="none" w:sz="0" w:space="0" w:color="auto"/>
                <w:bottom w:val="none" w:sz="0" w:space="0" w:color="auto"/>
                <w:right w:val="none" w:sz="0" w:space="0" w:color="auto"/>
              </w:divBdr>
              <w:divsChild>
                <w:div w:id="292684563">
                  <w:marLeft w:val="-15"/>
                  <w:marRight w:val="-15"/>
                  <w:marTop w:val="75"/>
                  <w:marBottom w:val="0"/>
                  <w:divBdr>
                    <w:top w:val="none" w:sz="0" w:space="0" w:color="auto"/>
                    <w:left w:val="none" w:sz="0" w:space="0" w:color="auto"/>
                    <w:bottom w:val="none" w:sz="0" w:space="0" w:color="auto"/>
                    <w:right w:val="none" w:sz="0" w:space="0" w:color="auto"/>
                  </w:divBdr>
                </w:div>
              </w:divsChild>
            </w:div>
          </w:divsChild>
        </w:div>
      </w:divsChild>
    </w:div>
    <w:div w:id="1634368982">
      <w:bodyDiv w:val="1"/>
      <w:marLeft w:val="0"/>
      <w:marRight w:val="0"/>
      <w:marTop w:val="0"/>
      <w:marBottom w:val="0"/>
      <w:divBdr>
        <w:top w:val="none" w:sz="0" w:space="0" w:color="auto"/>
        <w:left w:val="none" w:sz="0" w:space="0" w:color="auto"/>
        <w:bottom w:val="none" w:sz="0" w:space="0" w:color="auto"/>
        <w:right w:val="none" w:sz="0" w:space="0" w:color="auto"/>
      </w:divBdr>
    </w:div>
    <w:div w:id="1653751322">
      <w:bodyDiv w:val="1"/>
      <w:marLeft w:val="0"/>
      <w:marRight w:val="0"/>
      <w:marTop w:val="0"/>
      <w:marBottom w:val="0"/>
      <w:divBdr>
        <w:top w:val="none" w:sz="0" w:space="0" w:color="auto"/>
        <w:left w:val="none" w:sz="0" w:space="0" w:color="auto"/>
        <w:bottom w:val="none" w:sz="0" w:space="0" w:color="auto"/>
        <w:right w:val="none" w:sz="0" w:space="0" w:color="auto"/>
      </w:divBdr>
      <w:divsChild>
        <w:div w:id="205609676">
          <w:marLeft w:val="0"/>
          <w:marRight w:val="0"/>
          <w:marTop w:val="0"/>
          <w:marBottom w:val="0"/>
          <w:divBdr>
            <w:top w:val="none" w:sz="0" w:space="0" w:color="auto"/>
            <w:left w:val="none" w:sz="0" w:space="0" w:color="auto"/>
            <w:bottom w:val="none" w:sz="0" w:space="0" w:color="auto"/>
            <w:right w:val="none" w:sz="0" w:space="0" w:color="auto"/>
          </w:divBdr>
          <w:divsChild>
            <w:div w:id="738988464">
              <w:marLeft w:val="0"/>
              <w:marRight w:val="0"/>
              <w:marTop w:val="0"/>
              <w:marBottom w:val="0"/>
              <w:divBdr>
                <w:top w:val="none" w:sz="0" w:space="0" w:color="auto"/>
                <w:left w:val="none" w:sz="0" w:space="0" w:color="auto"/>
                <w:bottom w:val="none" w:sz="0" w:space="0" w:color="auto"/>
                <w:right w:val="none" w:sz="0" w:space="0" w:color="auto"/>
              </w:divBdr>
              <w:divsChild>
                <w:div w:id="1395159396">
                  <w:marLeft w:val="0"/>
                  <w:marRight w:val="0"/>
                  <w:marTop w:val="0"/>
                  <w:marBottom w:val="0"/>
                  <w:divBdr>
                    <w:top w:val="none" w:sz="0" w:space="0" w:color="auto"/>
                    <w:left w:val="none" w:sz="0" w:space="0" w:color="auto"/>
                    <w:bottom w:val="none" w:sz="0" w:space="0" w:color="auto"/>
                    <w:right w:val="none" w:sz="0" w:space="0" w:color="auto"/>
                  </w:divBdr>
                  <w:divsChild>
                    <w:div w:id="1802770206">
                      <w:marLeft w:val="0"/>
                      <w:marRight w:val="0"/>
                      <w:marTop w:val="0"/>
                      <w:marBottom w:val="0"/>
                      <w:divBdr>
                        <w:top w:val="none" w:sz="0" w:space="0" w:color="auto"/>
                        <w:left w:val="none" w:sz="0" w:space="0" w:color="auto"/>
                        <w:bottom w:val="none" w:sz="0" w:space="0" w:color="auto"/>
                        <w:right w:val="none" w:sz="0" w:space="0" w:color="auto"/>
                      </w:divBdr>
                      <w:divsChild>
                        <w:div w:id="775365857">
                          <w:marLeft w:val="0"/>
                          <w:marRight w:val="0"/>
                          <w:marTop w:val="0"/>
                          <w:marBottom w:val="0"/>
                          <w:divBdr>
                            <w:top w:val="none" w:sz="0" w:space="0" w:color="auto"/>
                            <w:left w:val="none" w:sz="0" w:space="0" w:color="auto"/>
                            <w:bottom w:val="none" w:sz="0" w:space="0" w:color="auto"/>
                            <w:right w:val="none" w:sz="0" w:space="0" w:color="auto"/>
                          </w:divBdr>
                          <w:divsChild>
                            <w:div w:id="802960762">
                              <w:marLeft w:val="0"/>
                              <w:marRight w:val="0"/>
                              <w:marTop w:val="0"/>
                              <w:marBottom w:val="0"/>
                              <w:divBdr>
                                <w:top w:val="none" w:sz="0" w:space="0" w:color="auto"/>
                                <w:left w:val="none" w:sz="0" w:space="0" w:color="auto"/>
                                <w:bottom w:val="none" w:sz="0" w:space="0" w:color="auto"/>
                                <w:right w:val="none" w:sz="0" w:space="0" w:color="auto"/>
                              </w:divBdr>
                              <w:divsChild>
                                <w:div w:id="160240652">
                                  <w:marLeft w:val="0"/>
                                  <w:marRight w:val="0"/>
                                  <w:marTop w:val="0"/>
                                  <w:marBottom w:val="0"/>
                                  <w:divBdr>
                                    <w:top w:val="none" w:sz="0" w:space="0" w:color="auto"/>
                                    <w:left w:val="none" w:sz="0" w:space="0" w:color="auto"/>
                                    <w:bottom w:val="none" w:sz="0" w:space="0" w:color="auto"/>
                                    <w:right w:val="none" w:sz="0" w:space="0" w:color="auto"/>
                                  </w:divBdr>
                                  <w:divsChild>
                                    <w:div w:id="899101163">
                                      <w:marLeft w:val="0"/>
                                      <w:marRight w:val="0"/>
                                      <w:marTop w:val="0"/>
                                      <w:marBottom w:val="0"/>
                                      <w:divBdr>
                                        <w:top w:val="none" w:sz="0" w:space="0" w:color="auto"/>
                                        <w:left w:val="none" w:sz="0" w:space="0" w:color="auto"/>
                                        <w:bottom w:val="none" w:sz="0" w:space="0" w:color="auto"/>
                                        <w:right w:val="none" w:sz="0" w:space="0" w:color="auto"/>
                                      </w:divBdr>
                                      <w:divsChild>
                                        <w:div w:id="12286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94770">
      <w:bodyDiv w:val="1"/>
      <w:marLeft w:val="0"/>
      <w:marRight w:val="0"/>
      <w:marTop w:val="0"/>
      <w:marBottom w:val="0"/>
      <w:divBdr>
        <w:top w:val="none" w:sz="0" w:space="0" w:color="auto"/>
        <w:left w:val="none" w:sz="0" w:space="0" w:color="auto"/>
        <w:bottom w:val="none" w:sz="0" w:space="0" w:color="auto"/>
        <w:right w:val="none" w:sz="0" w:space="0" w:color="auto"/>
      </w:divBdr>
      <w:divsChild>
        <w:div w:id="2029989650">
          <w:marLeft w:val="3075"/>
          <w:marRight w:val="3075"/>
          <w:marTop w:val="0"/>
          <w:marBottom w:val="0"/>
          <w:divBdr>
            <w:top w:val="none" w:sz="0" w:space="0" w:color="auto"/>
            <w:left w:val="none" w:sz="0" w:space="0" w:color="auto"/>
            <w:bottom w:val="none" w:sz="0" w:space="0" w:color="auto"/>
            <w:right w:val="none" w:sz="0" w:space="0" w:color="auto"/>
          </w:divBdr>
          <w:divsChild>
            <w:div w:id="166573920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16081092">
      <w:bodyDiv w:val="1"/>
      <w:marLeft w:val="0"/>
      <w:marRight w:val="0"/>
      <w:marTop w:val="0"/>
      <w:marBottom w:val="0"/>
      <w:divBdr>
        <w:top w:val="none" w:sz="0" w:space="0" w:color="auto"/>
        <w:left w:val="none" w:sz="0" w:space="0" w:color="auto"/>
        <w:bottom w:val="none" w:sz="0" w:space="0" w:color="auto"/>
        <w:right w:val="none" w:sz="0" w:space="0" w:color="auto"/>
      </w:divBdr>
      <w:divsChild>
        <w:div w:id="2022127102">
          <w:marLeft w:val="0"/>
          <w:marRight w:val="0"/>
          <w:marTop w:val="0"/>
          <w:marBottom w:val="0"/>
          <w:divBdr>
            <w:top w:val="none" w:sz="0" w:space="0" w:color="auto"/>
            <w:left w:val="none" w:sz="0" w:space="0" w:color="auto"/>
            <w:bottom w:val="none" w:sz="0" w:space="0" w:color="auto"/>
            <w:right w:val="none" w:sz="0" w:space="0" w:color="auto"/>
          </w:divBdr>
          <w:divsChild>
            <w:div w:id="120224873">
              <w:marLeft w:val="-225"/>
              <w:marRight w:val="-225"/>
              <w:marTop w:val="0"/>
              <w:marBottom w:val="0"/>
              <w:divBdr>
                <w:top w:val="none" w:sz="0" w:space="0" w:color="auto"/>
                <w:left w:val="none" w:sz="0" w:space="0" w:color="auto"/>
                <w:bottom w:val="none" w:sz="0" w:space="0" w:color="auto"/>
                <w:right w:val="none" w:sz="0" w:space="0" w:color="auto"/>
              </w:divBdr>
              <w:divsChild>
                <w:div w:id="1405058657">
                  <w:marLeft w:val="0"/>
                  <w:marRight w:val="0"/>
                  <w:marTop w:val="0"/>
                  <w:marBottom w:val="0"/>
                  <w:divBdr>
                    <w:top w:val="none" w:sz="0" w:space="0" w:color="auto"/>
                    <w:left w:val="none" w:sz="0" w:space="0" w:color="auto"/>
                    <w:bottom w:val="none" w:sz="0" w:space="0" w:color="auto"/>
                    <w:right w:val="none" w:sz="0" w:space="0" w:color="auto"/>
                  </w:divBdr>
                  <w:divsChild>
                    <w:div w:id="1787965128">
                      <w:marLeft w:val="-225"/>
                      <w:marRight w:val="-225"/>
                      <w:marTop w:val="0"/>
                      <w:marBottom w:val="0"/>
                      <w:divBdr>
                        <w:top w:val="none" w:sz="0" w:space="0" w:color="auto"/>
                        <w:left w:val="none" w:sz="0" w:space="0" w:color="auto"/>
                        <w:bottom w:val="none" w:sz="0" w:space="0" w:color="auto"/>
                        <w:right w:val="none" w:sz="0" w:space="0" w:color="auto"/>
                      </w:divBdr>
                      <w:divsChild>
                        <w:div w:id="3879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20690054">
          <w:marLeft w:val="360"/>
          <w:marRight w:val="0"/>
          <w:marTop w:val="0"/>
          <w:marBottom w:val="360"/>
          <w:divBdr>
            <w:top w:val="none" w:sz="0" w:space="0" w:color="auto"/>
            <w:left w:val="none" w:sz="0" w:space="0" w:color="auto"/>
            <w:bottom w:val="none" w:sz="0" w:space="0" w:color="auto"/>
            <w:right w:val="none" w:sz="0" w:space="0" w:color="auto"/>
          </w:divBdr>
        </w:div>
        <w:div w:id="1830706565">
          <w:marLeft w:val="360"/>
          <w:marRight w:val="0"/>
          <w:marTop w:val="0"/>
          <w:marBottom w:val="360"/>
          <w:divBdr>
            <w:top w:val="none" w:sz="0" w:space="0" w:color="auto"/>
            <w:left w:val="none" w:sz="0" w:space="0" w:color="auto"/>
            <w:bottom w:val="none" w:sz="0" w:space="0" w:color="auto"/>
            <w:right w:val="none" w:sz="0" w:space="0" w:color="auto"/>
          </w:divBdr>
        </w:div>
      </w:divsChild>
    </w:div>
    <w:div w:id="1815025941">
      <w:bodyDiv w:val="1"/>
      <w:marLeft w:val="0"/>
      <w:marRight w:val="0"/>
      <w:marTop w:val="144"/>
      <w:marBottom w:val="144"/>
      <w:divBdr>
        <w:top w:val="none" w:sz="0" w:space="0" w:color="auto"/>
        <w:left w:val="none" w:sz="0" w:space="0" w:color="auto"/>
        <w:bottom w:val="none" w:sz="0" w:space="0" w:color="auto"/>
        <w:right w:val="none" w:sz="0" w:space="0" w:color="auto"/>
      </w:divBdr>
      <w:divsChild>
        <w:div w:id="1919049247">
          <w:marLeft w:val="0"/>
          <w:marRight w:val="0"/>
          <w:marTop w:val="100"/>
          <w:marBottom w:val="100"/>
          <w:divBdr>
            <w:top w:val="none" w:sz="0" w:space="0" w:color="auto"/>
            <w:left w:val="none" w:sz="0" w:space="0" w:color="auto"/>
            <w:bottom w:val="none" w:sz="0" w:space="0" w:color="auto"/>
            <w:right w:val="none" w:sz="0" w:space="0" w:color="auto"/>
          </w:divBdr>
          <w:divsChild>
            <w:div w:id="8682261">
              <w:marLeft w:val="0"/>
              <w:marRight w:val="0"/>
              <w:marTop w:val="0"/>
              <w:marBottom w:val="0"/>
              <w:divBdr>
                <w:top w:val="none" w:sz="0" w:space="0" w:color="auto"/>
                <w:left w:val="none" w:sz="0" w:space="0" w:color="auto"/>
                <w:bottom w:val="none" w:sz="0" w:space="0" w:color="auto"/>
                <w:right w:val="none" w:sz="0" w:space="0" w:color="auto"/>
              </w:divBdr>
              <w:divsChild>
                <w:div w:id="1253779222">
                  <w:marLeft w:val="0"/>
                  <w:marRight w:val="0"/>
                  <w:marTop w:val="0"/>
                  <w:marBottom w:val="0"/>
                  <w:divBdr>
                    <w:top w:val="none" w:sz="0" w:space="0" w:color="auto"/>
                    <w:left w:val="none" w:sz="0" w:space="0" w:color="auto"/>
                    <w:bottom w:val="none" w:sz="0" w:space="0" w:color="auto"/>
                    <w:right w:val="none" w:sz="0" w:space="0" w:color="auto"/>
                  </w:divBdr>
                  <w:divsChild>
                    <w:div w:id="192302992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829830958">
      <w:bodyDiv w:val="1"/>
      <w:marLeft w:val="0"/>
      <w:marRight w:val="0"/>
      <w:marTop w:val="0"/>
      <w:marBottom w:val="0"/>
      <w:divBdr>
        <w:top w:val="none" w:sz="0" w:space="0" w:color="auto"/>
        <w:left w:val="none" w:sz="0" w:space="0" w:color="auto"/>
        <w:bottom w:val="none" w:sz="0" w:space="0" w:color="auto"/>
        <w:right w:val="none" w:sz="0" w:space="0" w:color="auto"/>
      </w:divBdr>
    </w:div>
    <w:div w:id="1856311507">
      <w:bodyDiv w:val="1"/>
      <w:marLeft w:val="0"/>
      <w:marRight w:val="0"/>
      <w:marTop w:val="0"/>
      <w:marBottom w:val="0"/>
      <w:divBdr>
        <w:top w:val="none" w:sz="0" w:space="0" w:color="auto"/>
        <w:left w:val="none" w:sz="0" w:space="0" w:color="auto"/>
        <w:bottom w:val="none" w:sz="0" w:space="0" w:color="auto"/>
        <w:right w:val="none" w:sz="0" w:space="0" w:color="auto"/>
      </w:divBdr>
    </w:div>
    <w:div w:id="1906452643">
      <w:bodyDiv w:val="1"/>
      <w:marLeft w:val="0"/>
      <w:marRight w:val="0"/>
      <w:marTop w:val="0"/>
      <w:marBottom w:val="0"/>
      <w:divBdr>
        <w:top w:val="none" w:sz="0" w:space="0" w:color="auto"/>
        <w:left w:val="none" w:sz="0" w:space="0" w:color="auto"/>
        <w:bottom w:val="none" w:sz="0" w:space="0" w:color="auto"/>
        <w:right w:val="none" w:sz="0" w:space="0" w:color="auto"/>
      </w:divBdr>
      <w:divsChild>
        <w:div w:id="1702516198">
          <w:marLeft w:val="965"/>
          <w:marRight w:val="0"/>
          <w:marTop w:val="158"/>
          <w:marBottom w:val="0"/>
          <w:divBdr>
            <w:top w:val="none" w:sz="0" w:space="0" w:color="auto"/>
            <w:left w:val="none" w:sz="0" w:space="0" w:color="auto"/>
            <w:bottom w:val="none" w:sz="0" w:space="0" w:color="auto"/>
            <w:right w:val="none" w:sz="0" w:space="0" w:color="auto"/>
          </w:divBdr>
        </w:div>
      </w:divsChild>
    </w:div>
    <w:div w:id="2113433568">
      <w:bodyDiv w:val="1"/>
      <w:marLeft w:val="0"/>
      <w:marRight w:val="0"/>
      <w:marTop w:val="0"/>
      <w:marBottom w:val="0"/>
      <w:divBdr>
        <w:top w:val="none" w:sz="0" w:space="0" w:color="auto"/>
        <w:left w:val="none" w:sz="0" w:space="0" w:color="auto"/>
        <w:bottom w:val="none" w:sz="0" w:space="0" w:color="auto"/>
        <w:right w:val="none" w:sz="0" w:space="0" w:color="auto"/>
      </w:divBdr>
      <w:divsChild>
        <w:div w:id="1162047632">
          <w:marLeft w:val="0"/>
          <w:marRight w:val="0"/>
          <w:marTop w:val="0"/>
          <w:marBottom w:val="0"/>
          <w:divBdr>
            <w:top w:val="none" w:sz="0" w:space="0" w:color="auto"/>
            <w:left w:val="none" w:sz="0" w:space="0" w:color="auto"/>
            <w:bottom w:val="none" w:sz="0" w:space="0" w:color="auto"/>
            <w:right w:val="none" w:sz="0" w:space="0" w:color="auto"/>
          </w:divBdr>
        </w:div>
      </w:divsChild>
    </w:div>
    <w:div w:id="21174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leif.org" TargetMode="External"/><Relationship Id="rId18" Type="http://schemas.openxmlformats.org/officeDocument/2006/relationships/hyperlink" Target="https://www.imf.org/external/np/g20/pdf/10290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iroc.org" TargetMode="External"/><Relationship Id="rId17" Type="http://schemas.openxmlformats.org/officeDocument/2006/relationships/hyperlink" Target="https://www.esrb.europa.eu/pub/pdf/other/140303_flagship_report.pdf" TargetMode="External"/><Relationship Id="rId2" Type="http://schemas.openxmlformats.org/officeDocument/2006/relationships/numbering" Target="numbering.xml"/><Relationship Id="rId16" Type="http://schemas.openxmlformats.org/officeDocument/2006/relationships/hyperlink" Target="http://www.bankofengland.co.uk/financialstability/Documents/securitisation/responses281114.pdf" TargetMode="External"/><Relationship Id="rId20" Type="http://schemas.openxmlformats.org/officeDocument/2006/relationships/hyperlink" Target="http://www.bis.org/fsi/awp20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Financial_institution" TargetMode="External"/><Relationship Id="rId5" Type="http://schemas.openxmlformats.org/officeDocument/2006/relationships/webSettings" Target="webSettings.xml"/><Relationship Id="rId15" Type="http://schemas.openxmlformats.org/officeDocument/2006/relationships/hyperlink" Target="http://www.bankofengland.co.uk/publications/Documents/news/2014/dp300514.pdf" TargetMode="External"/><Relationship Id="rId23" Type="http://schemas.openxmlformats.org/officeDocument/2006/relationships/theme" Target="theme/theme1.xml"/><Relationship Id="rId10" Type="http://schemas.openxmlformats.org/officeDocument/2006/relationships/hyperlink" Target="http://www.bis.org" TargetMode="External"/><Relationship Id="rId19" Type="http://schemas.openxmlformats.org/officeDocument/2006/relationships/hyperlink" Target="http://www.whcri.org/PDF/PublicCreditRegistriesPolicyBrief.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leif.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is.org/speeches/sp130926.htm" TargetMode="External"/><Relationship Id="rId2" Type="http://schemas.openxmlformats.org/officeDocument/2006/relationships/hyperlink" Target="http://www.bis.org/author/stefan_ingves.htm" TargetMode="External"/><Relationship Id="rId1" Type="http://schemas.openxmlformats.org/officeDocument/2006/relationships/hyperlink" Target="http://www.eba.europa.eu/regulation-and-policy/supervisory-reporting" TargetMode="External"/><Relationship Id="rId4" Type="http://schemas.openxmlformats.org/officeDocument/2006/relationships/hyperlink" Target="http://ec.europa.eu/finance/consultations/2015/capital-markets-union/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2175-1A40-4C04-835D-E654AEDF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56</Pages>
  <Words>14878</Words>
  <Characters>84805</Characters>
  <Application>Microsoft Office Word</Application>
  <DocSecurity>0</DocSecurity>
  <Lines>706</Lines>
  <Paragraphs>198</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The World Bank Group</Company>
  <LinksUpToDate>false</LinksUpToDate>
  <CharactersWithSpaces>99485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 Garcia Garcia Luna</dc:creator>
  <cp:lastModifiedBy>Jose Antonio Garcia Garcia Luna</cp:lastModifiedBy>
  <cp:revision>78</cp:revision>
  <cp:lastPrinted>2014-05-05T16:02:00Z</cp:lastPrinted>
  <dcterms:created xsi:type="dcterms:W3CDTF">2015-07-30T23:36:00Z</dcterms:created>
  <dcterms:modified xsi:type="dcterms:W3CDTF">2015-08-28T12:55:00Z</dcterms:modified>
</cp:coreProperties>
</file>