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D1885D" w14:textId="77777777" w:rsidR="00EB75B9" w:rsidRPr="001C713F" w:rsidRDefault="003E2779" w:rsidP="00EB75B9">
      <w:pPr>
        <w:jc w:val="center"/>
        <w:rPr>
          <w:rFonts w:asciiTheme="majorHAnsi" w:hAnsiTheme="majorHAnsi"/>
          <w:sz w:val="22"/>
          <w:szCs w:val="22"/>
        </w:rPr>
      </w:pPr>
      <w:r w:rsidRPr="001C713F">
        <w:rPr>
          <w:rFonts w:asciiTheme="majorHAnsi" w:hAnsiTheme="majorHAnsi"/>
          <w:noProof/>
          <w:sz w:val="22"/>
          <w:szCs w:val="22"/>
          <w:lang w:eastAsia="zh-CN" w:bidi="ar-SA"/>
        </w:rPr>
        <w:drawing>
          <wp:inline distT="0" distB="0" distL="0" distR="0" wp14:anchorId="7FF811B6" wp14:editId="6ACC7424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924D0" w14:textId="77777777" w:rsidR="00EB75B9" w:rsidRPr="001C713F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 w:val="22"/>
          <w:szCs w:val="22"/>
          <w:lang w:eastAsia="en-US" w:bidi="ar-SA"/>
        </w:rPr>
      </w:pPr>
      <w:r w:rsidRPr="001C713F">
        <w:rPr>
          <w:rFonts w:asciiTheme="majorHAnsi" w:hAnsiTheme="majorHAnsi"/>
          <w:color w:val="17365D" w:themeColor="text2" w:themeShade="BF"/>
          <w:spacing w:val="5"/>
          <w:kern w:val="28"/>
          <w:sz w:val="22"/>
          <w:szCs w:val="22"/>
          <w:lang w:eastAsia="en-US" w:bidi="ar-SA"/>
        </w:rPr>
        <w:t xml:space="preserve">The World Bank </w:t>
      </w:r>
    </w:p>
    <w:p w14:paraId="65B60EE9" w14:textId="77777777" w:rsidR="003E2779" w:rsidRPr="001C713F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r w:rsidRPr="001C713F">
        <w:rPr>
          <w:rFonts w:asciiTheme="majorHAnsi" w:hAnsiTheme="majorHAnsi"/>
          <w:color w:val="17365D" w:themeColor="text2" w:themeShade="BF"/>
          <w:sz w:val="22"/>
          <w:szCs w:val="22"/>
        </w:rPr>
        <w:t>Procurement Policy</w:t>
      </w:r>
      <w:r w:rsidR="003E2779" w:rsidRPr="001C713F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Review </w:t>
      </w:r>
    </w:p>
    <w:p w14:paraId="1466E833" w14:textId="77777777" w:rsidR="003E2779" w:rsidRPr="001C713F" w:rsidRDefault="003E2779" w:rsidP="003E2779">
      <w:pPr>
        <w:pStyle w:val="Title"/>
        <w:jc w:val="center"/>
        <w:rPr>
          <w:rFonts w:asciiTheme="majorHAnsi" w:hAnsiTheme="majorHAnsi"/>
          <w:sz w:val="22"/>
          <w:szCs w:val="22"/>
        </w:rPr>
      </w:pPr>
      <w:r w:rsidRPr="001C713F">
        <w:rPr>
          <w:rFonts w:asciiTheme="majorHAnsi" w:hAnsiTheme="majorHAnsi"/>
          <w:b/>
          <w:color w:val="17365D" w:themeColor="text2" w:themeShade="BF"/>
          <w:sz w:val="22"/>
          <w:szCs w:val="22"/>
        </w:rPr>
        <w:t>Feedback Summary</w:t>
      </w:r>
    </w:p>
    <w:p w14:paraId="4AE6A10D" w14:textId="77777777" w:rsidR="00093B2C" w:rsidRPr="001C713F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357A75"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Dec </w:t>
      </w:r>
      <w:proofErr w:type="gramStart"/>
      <w:r w:rsidR="00357A75"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>1</w:t>
      </w:r>
      <w:r w:rsidR="00357A75" w:rsidRPr="001C713F">
        <w:rPr>
          <w:rFonts w:asciiTheme="majorHAnsi" w:hAnsiTheme="majorHAnsi" w:cs="Times New Roman"/>
          <w:b/>
          <w:bCs/>
          <w:sz w:val="22"/>
          <w:szCs w:val="22"/>
          <w:vertAlign w:val="superscript"/>
          <w:lang w:val="en-US"/>
        </w:rPr>
        <w:t>st</w:t>
      </w:r>
      <w:proofErr w:type="gramEnd"/>
      <w:r w:rsidR="00357A75"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>, 2014</w:t>
      </w:r>
    </w:p>
    <w:p w14:paraId="0CBD563A" w14:textId="77777777" w:rsidR="00093B2C" w:rsidRPr="001C713F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14:paraId="56A1B521" w14:textId="77777777" w:rsidR="00093B2C" w:rsidRPr="001C713F" w:rsidRDefault="002E23E9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: </w:t>
      </w:r>
      <w:r w:rsidR="00357A75"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>Addis Ababa, Ethiopia</w:t>
      </w:r>
    </w:p>
    <w:p w14:paraId="14AE8676" w14:textId="77777777" w:rsidR="00B16E9C" w:rsidRPr="001C713F" w:rsidRDefault="00B16E9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14:paraId="06691DAF" w14:textId="0CA7AAC6" w:rsidR="00BB1F9B" w:rsidRPr="001C713F" w:rsidRDefault="00093B2C" w:rsidP="008422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1C713F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1C713F">
        <w:rPr>
          <w:rFonts w:asciiTheme="majorHAnsi" w:hAnsiTheme="majorHAnsi" w:cs="Times New Roman"/>
          <w:b/>
          <w:sz w:val="22"/>
          <w:szCs w:val="22"/>
          <w:lang w:val="en-US"/>
        </w:rPr>
        <w:t>:</w:t>
      </w:r>
      <w:r w:rsidR="000D1AEB" w:rsidRPr="001C713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BD2C72">
        <w:rPr>
          <w:rFonts w:asciiTheme="majorHAnsi" w:hAnsiTheme="majorHAnsi" w:cs="Times New Roman"/>
          <w:b/>
          <w:sz w:val="22"/>
          <w:szCs w:val="22"/>
          <w:lang w:val="en-US"/>
        </w:rPr>
        <w:t>25</w:t>
      </w:r>
      <w:bookmarkStart w:id="0" w:name="_GoBack"/>
      <w:bookmarkEnd w:id="0"/>
    </w:p>
    <w:p w14:paraId="09A47AA0" w14:textId="77777777" w:rsidR="00B16E9C" w:rsidRPr="001C713F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  <w:r w:rsidRPr="001C713F">
        <w:rPr>
          <w:rFonts w:asciiTheme="majorHAnsi" w:hAnsiTheme="majorHAnsi" w:cs="Times New Roman"/>
          <w:b/>
          <w:sz w:val="22"/>
          <w:szCs w:val="22"/>
        </w:rPr>
        <w:br/>
      </w:r>
      <w:r w:rsidR="00B16E9C" w:rsidRPr="001C713F">
        <w:rPr>
          <w:rFonts w:asciiTheme="majorHAnsi" w:hAnsiTheme="majorHAnsi" w:cs="Times New Roman"/>
          <w:b/>
          <w:sz w:val="22"/>
          <w:szCs w:val="22"/>
        </w:rPr>
        <w:t>Overview and General Reactions</w:t>
      </w:r>
      <w:r w:rsidR="005C56F1" w:rsidRPr="001C713F">
        <w:rPr>
          <w:rFonts w:asciiTheme="majorHAnsi" w:hAnsiTheme="majorHAnsi" w:cs="Times New Roman"/>
          <w:b/>
          <w:sz w:val="22"/>
          <w:szCs w:val="22"/>
        </w:rPr>
        <w:t>:</w:t>
      </w:r>
      <w:r w:rsidR="00B16E9C" w:rsidRPr="001C713F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0600FA82" w14:textId="77777777" w:rsidR="00D01693" w:rsidRPr="001C713F" w:rsidRDefault="00D01693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</w:p>
    <w:p w14:paraId="6E971169" w14:textId="0D6105B2" w:rsidR="00D01693" w:rsidRPr="001C713F" w:rsidRDefault="002301E1" w:rsidP="009E7E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 w:val="22"/>
          <w:szCs w:val="22"/>
        </w:rPr>
      </w:pPr>
      <w:proofErr w:type="gramStart"/>
      <w:r w:rsidRPr="001C713F">
        <w:rPr>
          <w:rFonts w:asciiTheme="majorHAnsi" w:hAnsiTheme="majorHAnsi" w:cs="Times New Roman"/>
          <w:sz w:val="22"/>
          <w:szCs w:val="22"/>
        </w:rPr>
        <w:t>Stakeholders appreciate</w:t>
      </w:r>
      <w:r w:rsidR="00D01693" w:rsidRPr="001C713F">
        <w:rPr>
          <w:rFonts w:asciiTheme="majorHAnsi" w:hAnsiTheme="majorHAnsi" w:cs="Times New Roman"/>
          <w:sz w:val="22"/>
          <w:szCs w:val="22"/>
        </w:rPr>
        <w:t xml:space="preserve"> the ‘separation’ of policy from procedure</w:t>
      </w:r>
      <w:r w:rsidR="00AA60D2" w:rsidRPr="001C713F">
        <w:rPr>
          <w:rFonts w:asciiTheme="majorHAnsi" w:hAnsiTheme="majorHAnsi" w:cs="Times New Roman"/>
          <w:sz w:val="22"/>
          <w:szCs w:val="22"/>
        </w:rPr>
        <w:t>,</w:t>
      </w:r>
      <w:r w:rsidR="00D01693" w:rsidRPr="001C713F">
        <w:rPr>
          <w:rFonts w:asciiTheme="majorHAnsi" w:hAnsiTheme="majorHAnsi" w:cs="Times New Roman"/>
          <w:sz w:val="22"/>
          <w:szCs w:val="22"/>
        </w:rPr>
        <w:t xml:space="preserve"> effectively granting staff more decision-ma</w:t>
      </w:r>
      <w:r w:rsidR="00AA60D2" w:rsidRPr="001C713F">
        <w:rPr>
          <w:rFonts w:asciiTheme="majorHAnsi" w:hAnsiTheme="majorHAnsi" w:cs="Times New Roman"/>
          <w:sz w:val="22"/>
          <w:szCs w:val="22"/>
        </w:rPr>
        <w:t>king power at the country level</w:t>
      </w:r>
      <w:r w:rsidR="00D01693" w:rsidRPr="001C713F">
        <w:rPr>
          <w:rFonts w:asciiTheme="majorHAnsi" w:hAnsiTheme="majorHAnsi" w:cs="Times New Roman"/>
          <w:sz w:val="22"/>
          <w:szCs w:val="22"/>
        </w:rPr>
        <w:t xml:space="preserve">; the </w:t>
      </w:r>
      <w:r w:rsidR="00AA60D2" w:rsidRPr="001C713F">
        <w:rPr>
          <w:rFonts w:asciiTheme="majorHAnsi" w:hAnsiTheme="majorHAnsi" w:cs="Times New Roman"/>
          <w:sz w:val="22"/>
          <w:szCs w:val="22"/>
        </w:rPr>
        <w:t xml:space="preserve">expanded </w:t>
      </w:r>
      <w:r w:rsidR="00D01693" w:rsidRPr="001C713F">
        <w:rPr>
          <w:rFonts w:asciiTheme="majorHAnsi" w:hAnsiTheme="majorHAnsi" w:cs="Times New Roman"/>
          <w:sz w:val="22"/>
          <w:szCs w:val="22"/>
        </w:rPr>
        <w:t>methods</w:t>
      </w:r>
      <w:r w:rsidR="00AA60D2" w:rsidRPr="001C713F">
        <w:rPr>
          <w:rFonts w:asciiTheme="majorHAnsi" w:hAnsiTheme="majorHAnsi" w:cs="Times New Roman"/>
          <w:sz w:val="22"/>
          <w:szCs w:val="22"/>
        </w:rPr>
        <w:t xml:space="preserve"> of procurement available</w:t>
      </w:r>
      <w:r w:rsidR="00D01693" w:rsidRPr="001C713F">
        <w:rPr>
          <w:rFonts w:asciiTheme="majorHAnsi" w:hAnsiTheme="majorHAnsi" w:cs="Times New Roman"/>
          <w:sz w:val="22"/>
          <w:szCs w:val="22"/>
        </w:rPr>
        <w:t xml:space="preserve">, e.g. </w:t>
      </w:r>
      <w:r w:rsidR="00AA2AAC" w:rsidRPr="001C713F">
        <w:rPr>
          <w:rFonts w:asciiTheme="majorHAnsi" w:hAnsiTheme="majorHAnsi" w:cs="Times New Roman"/>
          <w:sz w:val="22"/>
          <w:szCs w:val="22"/>
        </w:rPr>
        <w:t xml:space="preserve">different delivery systems for engineering </w:t>
      </w:r>
      <w:r w:rsidR="00DC0556" w:rsidRPr="001C713F">
        <w:rPr>
          <w:rFonts w:asciiTheme="majorHAnsi" w:hAnsiTheme="majorHAnsi" w:cs="Times New Roman"/>
          <w:sz w:val="22"/>
          <w:szCs w:val="22"/>
        </w:rPr>
        <w:t xml:space="preserve">projects as well as design competition works </w:t>
      </w:r>
      <w:r w:rsidR="00AA2AAC" w:rsidRPr="001C713F">
        <w:rPr>
          <w:rFonts w:asciiTheme="majorHAnsi" w:hAnsiTheme="majorHAnsi" w:cs="Times New Roman"/>
          <w:sz w:val="22"/>
          <w:szCs w:val="22"/>
        </w:rPr>
        <w:t xml:space="preserve">and </w:t>
      </w:r>
      <w:r w:rsidR="00D01693" w:rsidRPr="001C713F">
        <w:rPr>
          <w:rFonts w:asciiTheme="majorHAnsi" w:hAnsiTheme="majorHAnsi" w:cs="Times New Roman"/>
          <w:sz w:val="22"/>
          <w:szCs w:val="22"/>
        </w:rPr>
        <w:t>designing procurement arrangements based on the country context (e.g. SoEs in Ethiopia); minimizing prior reviews; pro</w:t>
      </w:r>
      <w:r w:rsidR="0047019F" w:rsidRPr="001C713F">
        <w:rPr>
          <w:rFonts w:asciiTheme="majorHAnsi" w:hAnsiTheme="majorHAnsi" w:cs="Times New Roman"/>
          <w:sz w:val="22"/>
          <w:szCs w:val="22"/>
        </w:rPr>
        <w:t>moting/supporting the use of alternative procurement</w:t>
      </w:r>
      <w:r w:rsidR="0047019F" w:rsidRPr="001C713F">
        <w:rPr>
          <w:rFonts w:asciiTheme="majorHAnsi" w:hAnsiTheme="majorHAnsi" w:cs="Times New Roman"/>
          <w:sz w:val="22"/>
          <w:szCs w:val="22"/>
          <w:lang w:val="en-US"/>
        </w:rPr>
        <w:t xml:space="preserve"> arrangements</w:t>
      </w:r>
      <w:r w:rsidR="00D01693" w:rsidRPr="001C713F">
        <w:rPr>
          <w:rFonts w:asciiTheme="majorHAnsi" w:hAnsiTheme="majorHAnsi" w:cs="Times New Roman"/>
          <w:sz w:val="22"/>
          <w:szCs w:val="22"/>
        </w:rPr>
        <w:t xml:space="preserve"> and focussing on capacity building (e.g. facilitating access to Trust Funds endowed for this purpose).</w:t>
      </w:r>
      <w:proofErr w:type="gramEnd"/>
    </w:p>
    <w:p w14:paraId="3483CE39" w14:textId="77777777" w:rsidR="00BB1F9B" w:rsidRPr="001C713F" w:rsidRDefault="00BB1F9B" w:rsidP="000F0D3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1C713F" w14:paraId="2FC652D4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F8B3BE5" w14:textId="77777777" w:rsidR="00B16E9C" w:rsidRPr="001C713F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14:paraId="5B859C34" w14:textId="77777777" w:rsidR="00B16E9C" w:rsidRPr="001C713F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1C713F" w14:paraId="345C93A3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66463FB" w14:textId="77777777" w:rsidR="0013530E" w:rsidRPr="001C713F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should the Bank implement support to </w:t>
            </w:r>
            <w:proofErr w:type="gramStart"/>
            <w:r w:rsidRPr="001C713F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borrower procurement capacity building</w:t>
            </w:r>
            <w:proofErr w:type="gramEnd"/>
            <w:r w:rsidRPr="001C713F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and institutional strengthening?</w:t>
            </w:r>
          </w:p>
        </w:tc>
      </w:tr>
      <w:tr w:rsidR="002E23E9" w:rsidRPr="001C713F" w14:paraId="0156EDFC" w14:textId="77777777" w:rsidTr="00725E0D">
        <w:trPr>
          <w:trHeight w:val="980"/>
        </w:trPr>
        <w:tc>
          <w:tcPr>
            <w:tcW w:w="13320" w:type="dxa"/>
            <w:shd w:val="clear" w:color="auto" w:fill="auto"/>
          </w:tcPr>
          <w:p w14:paraId="5E98ACEE" w14:textId="5F6AE808" w:rsidR="00E82466" w:rsidRPr="00186694" w:rsidRDefault="00E82466" w:rsidP="00E82466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Having identified that all ‘hot topics’ can be related back to capacity </w:t>
            </w:r>
            <w:r w:rsidR="0047019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building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, or the need thereof; </w:t>
            </w:r>
            <w:r w:rsidR="002301E1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participants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declared that the implementation of the new Policy wi</w:t>
            </w:r>
            <w:r w:rsidR="00AA60D2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ll require a holistic approach and </w:t>
            </w:r>
            <w:r w:rsidR="002301E1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must </w:t>
            </w:r>
            <w:r w:rsidR="00AA60D2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be inclusive of all stakeholders.</w:t>
            </w:r>
          </w:p>
          <w:p w14:paraId="222F02B3" w14:textId="5C336E27" w:rsidR="00E82466" w:rsidRPr="00186694" w:rsidRDefault="00AA60D2" w:rsidP="00E82466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Needs identified ranged f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rom addressing limitations in the public sector and implementing agencies; 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to 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building relationships between suppliers, buyers and </w:t>
            </w:r>
            <w:proofErr w:type="spellStart"/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financeers</w:t>
            </w:r>
            <w:proofErr w:type="spellEnd"/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s</w:t>
            </w:r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o these converge 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or have a minimum standard </w:t>
            </w:r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of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expectation</w:t>
            </w:r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from </w:t>
            </w:r>
            <w:r w:rsidR="006C5B59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each other</w:t>
            </w:r>
            <w:r w:rsidR="00E82466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; to supporting the private sector in building capacities that facilitate their interaction with the public sector but also tapping into their resources to close capacity gaps. </w:t>
            </w:r>
            <w:r w:rsidR="00005AC8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Some stakeholders also support</w:t>
            </w:r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983458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broader inclusion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and raising</w:t>
            </w:r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awareness regarding procurement implementation and systems amongst the public/</w:t>
            </w:r>
            <w:proofErr w:type="gramStart"/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citizens</w:t>
            </w:r>
            <w:proofErr w:type="gramEnd"/>
            <w:r w:rsidR="00C42FCF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as they are the ultimate beneficials.</w:t>
            </w:r>
          </w:p>
          <w:p w14:paraId="00875783" w14:textId="77777777" w:rsidR="002E23E9" w:rsidRPr="00186694" w:rsidRDefault="00E82466" w:rsidP="00E82466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In addition,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capacity building</w:t>
            </w:r>
            <w:proofErr w:type="gramEnd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initiatives such as training should be inclusive of all partners in private sector, government and WB staff. 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>Extending the working relationship between the Bank and clients, to include private sector is equally important in national capacity building.</w:t>
            </w:r>
          </w:p>
          <w:p w14:paraId="6334DED5" w14:textId="77777777" w:rsidR="005D0F11" w:rsidRPr="00186694" w:rsidRDefault="005D0F11" w:rsidP="005D0F11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Supporting the professionalization of the procurement profession would not only generate recognition but help in standardizing knowledge on the matter and equi</w:t>
            </w:r>
            <w:r w:rsidR="00355F82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vocating certificates globally.</w:t>
            </w:r>
          </w:p>
          <w:p w14:paraId="7E556B97" w14:textId="77777777" w:rsidR="0088478E" w:rsidRPr="00186694" w:rsidRDefault="008E6054" w:rsidP="005D0F11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Stakeholders are calling for support for</w:t>
            </w:r>
            <w:r w:rsidR="0088478E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the country’s own reform review</w:t>
            </w:r>
            <w:r w:rsidR="0088478E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, ultimately supporting that reform activities in country </w:t>
            </w:r>
            <w:proofErr w:type="gramStart"/>
            <w:r w:rsidR="0088478E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should be focused</w:t>
            </w:r>
            <w:proofErr w:type="gramEnd"/>
            <w:r w:rsidR="0088478E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on the Bank’s proposals for the purpose of harmonization and raising the capacity of the country system.</w:t>
            </w:r>
            <w:r w:rsidR="00043DED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The Bank could do so through participation in a sector WG for Ethiopia for example. </w:t>
            </w:r>
          </w:p>
          <w:p w14:paraId="2E0D7FD6" w14:textId="77777777" w:rsidR="005D0F11" w:rsidRPr="00186694" w:rsidRDefault="0088478E" w:rsidP="0088478E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 UN effort to facilitate a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capacity building</w:t>
            </w:r>
            <w:proofErr w:type="gramEnd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workshop was brought forward as an area of collaboration.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However</w:t>
            </w:r>
            <w:proofErr w:type="gramEnd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more clarity is needed on what is being done to formalize their partnership with the Bank.</w:t>
            </w:r>
          </w:p>
          <w:p w14:paraId="56EDF182" w14:textId="77777777" w:rsidR="00043DED" w:rsidRPr="001C713F" w:rsidRDefault="00043DED" w:rsidP="0088478E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Another </w:t>
            </w:r>
            <w:r w:rsidR="008E6054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mode,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through which capacities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may be built</w:t>
            </w:r>
            <w:proofErr w:type="gramEnd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, would be through audits that identify the problems and thus create a learning effect.</w:t>
            </w:r>
          </w:p>
        </w:tc>
      </w:tr>
      <w:tr w:rsidR="00A840E8" w:rsidRPr="001C713F" w14:paraId="055D5DD8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EF48348" w14:textId="77777777" w:rsidR="00A840E8" w:rsidRPr="001C713F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 xml:space="preserve">How should the Bank operationalize the potential broader use of value-for-money criteria in </w:t>
            </w:r>
            <w:proofErr w:type="gramStart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borrower contract award decisions</w:t>
            </w:r>
            <w:proofErr w:type="gramEnd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?</w:t>
            </w:r>
          </w:p>
        </w:tc>
      </w:tr>
      <w:tr w:rsidR="002E23E9" w:rsidRPr="001C713F" w14:paraId="2F782555" w14:textId="77777777" w:rsidTr="009E7E73">
        <w:trPr>
          <w:trHeight w:val="539"/>
        </w:trPr>
        <w:tc>
          <w:tcPr>
            <w:tcW w:w="13320" w:type="dxa"/>
            <w:shd w:val="clear" w:color="auto" w:fill="auto"/>
          </w:tcPr>
          <w:p w14:paraId="69E5C9B5" w14:textId="6995C30E" w:rsidR="002E23E9" w:rsidRPr="00186694" w:rsidRDefault="006E0A72" w:rsidP="008E3CAB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Clear procedures defining the use of VfM, including evaluation criteria; and enhancing technical capacity of the public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and  </w:t>
            </w:r>
            <w:r w:rsidR="00280ADD" w:rsidRPr="00186694">
              <w:rPr>
                <w:rFonts w:asciiTheme="majorHAnsi" w:hAnsiTheme="majorHAnsi" w:cs="Times New Roman"/>
                <w:sz w:val="22"/>
                <w:szCs w:val="22"/>
              </w:rPr>
              <w:t>private</w:t>
            </w:r>
            <w:proofErr w:type="gramEnd"/>
            <w:r w:rsidR="00280ADD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sectors for the use of VfM award criteria.</w:t>
            </w:r>
          </w:p>
        </w:tc>
      </w:tr>
      <w:tr w:rsidR="00941C03" w:rsidRPr="001C713F" w14:paraId="519D83B1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2F3CFC08" w14:textId="77777777" w:rsidR="00941C03" w:rsidRPr="001C713F" w:rsidRDefault="008A533C" w:rsidP="00A3493B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1C713F" w14:paraId="6A8D428F" w14:textId="77777777" w:rsidTr="009E7E73">
        <w:trPr>
          <w:trHeight w:val="584"/>
        </w:trPr>
        <w:tc>
          <w:tcPr>
            <w:tcW w:w="13320" w:type="dxa"/>
            <w:shd w:val="clear" w:color="auto" w:fill="auto"/>
          </w:tcPr>
          <w:p w14:paraId="22D1ED67" w14:textId="77777777" w:rsidR="002E23E9" w:rsidRPr="00186694" w:rsidRDefault="009E00A4" w:rsidP="008E6054">
            <w:pPr>
              <w:pStyle w:val="BodyText2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 way to bring more clarity amongst </w:t>
            </w:r>
            <w:r w:rsidR="008E6054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all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stakeholders involved would be by holding consultative annual meetings to discuss and review issues, thus building confidence in staff and their ability to assist both private and public sector players. </w:t>
            </w:r>
          </w:p>
        </w:tc>
      </w:tr>
      <w:tr w:rsidR="00173E2F" w:rsidRPr="001C713F" w14:paraId="434674F2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83F665A" w14:textId="77777777" w:rsidR="00173E2F" w:rsidRPr="001C713F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and when </w:t>
            </w:r>
            <w:proofErr w:type="gramStart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should alternative procurement arrangements be used</w:t>
            </w:r>
            <w:proofErr w:type="gramEnd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for procurement in Bank projects and how should they be assessed?</w:t>
            </w:r>
          </w:p>
        </w:tc>
      </w:tr>
      <w:tr w:rsidR="002E23E9" w:rsidRPr="001C713F" w14:paraId="06C483FD" w14:textId="77777777" w:rsidTr="009E7E73">
        <w:trPr>
          <w:trHeight w:val="1637"/>
        </w:trPr>
        <w:tc>
          <w:tcPr>
            <w:tcW w:w="13320" w:type="dxa"/>
            <w:shd w:val="clear" w:color="auto" w:fill="auto"/>
          </w:tcPr>
          <w:p w14:paraId="01013120" w14:textId="77777777" w:rsidR="002E23E9" w:rsidRPr="00186694" w:rsidRDefault="00A3493B" w:rsidP="008A533C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The focus on market maturity,</w:t>
            </w:r>
            <w:r w:rsidR="008E6054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requiring an analysis is 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appreciated; however it </w:t>
            </w:r>
            <w:r w:rsidR="008E6054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stakeholders suggest 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the Bank review it’s framework in this regard</w:t>
            </w:r>
            <w:r w:rsidR="008E6054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in order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to identify if it is appropriate for all countries.</w:t>
            </w:r>
          </w:p>
          <w:p w14:paraId="25C6377F" w14:textId="77777777" w:rsidR="00E64FB7" w:rsidRPr="00186694" w:rsidRDefault="00E64FB7" w:rsidP="00E64FB7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Arguments were made in favor of operational procurement being delegated to a public authority where a country’s legal framework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for public procurement meets Bank </w:t>
            </w:r>
            <w:r w:rsidR="00BA7F77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requirements,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r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ather than imposing a system 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(GPA or of other MDBs) 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that create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s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unobtainable conditions for a country to apply </w:t>
            </w:r>
            <w:r w:rsidR="00BA7F77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its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own 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system. </w:t>
            </w:r>
          </w:p>
          <w:p w14:paraId="408699BB" w14:textId="06103ED8" w:rsidR="008E6054" w:rsidRPr="001C713F" w:rsidRDefault="00BA7F77" w:rsidP="008E6054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S</w:t>
            </w:r>
            <w:r w:rsidR="000133E4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takeholders find that the use of alternative procurement arrangements </w:t>
            </w:r>
            <w:r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can</w:t>
            </w:r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support the effort to decentralize the way in which project procurement </w:t>
            </w:r>
            <w:proofErr w:type="gramStart"/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>is conducted</w:t>
            </w:r>
            <w:proofErr w:type="gramEnd"/>
            <w:r w:rsidR="005446FD" w:rsidRPr="00186694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. </w:t>
            </w:r>
          </w:p>
        </w:tc>
      </w:tr>
      <w:tr w:rsidR="002717AA" w:rsidRPr="001C713F" w14:paraId="1FDA6224" w14:textId="77777777" w:rsidTr="009E7E73">
        <w:tblPrEx>
          <w:tblCellMar>
            <w:left w:w="0" w:type="dxa"/>
            <w:right w:w="0" w:type="dxa"/>
          </w:tblCellMar>
        </w:tblPrEx>
        <w:trPr>
          <w:trHeight w:val="386"/>
        </w:trPr>
        <w:tc>
          <w:tcPr>
            <w:tcW w:w="13320" w:type="dxa"/>
            <w:shd w:val="clear" w:color="auto" w:fill="DBE5F1" w:themeFill="accent1" w:themeFillTint="33"/>
          </w:tcPr>
          <w:p w14:paraId="3C082759" w14:textId="77777777" w:rsidR="002717AA" w:rsidRPr="001C713F" w:rsidRDefault="008A533C" w:rsidP="009E7E73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</w:t>
            </w:r>
            <w:proofErr w:type="gramStart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should sustainable procurement matters be addressed</w:t>
            </w:r>
            <w:proofErr w:type="gramEnd"/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in Bank-financed contracts?</w:t>
            </w:r>
          </w:p>
        </w:tc>
      </w:tr>
      <w:tr w:rsidR="002E23E9" w:rsidRPr="001C713F" w14:paraId="7EFE1640" w14:textId="77777777" w:rsidTr="009E7E73">
        <w:trPr>
          <w:trHeight w:val="827"/>
        </w:trPr>
        <w:tc>
          <w:tcPr>
            <w:tcW w:w="13320" w:type="dxa"/>
            <w:shd w:val="clear" w:color="auto" w:fill="auto"/>
          </w:tcPr>
          <w:p w14:paraId="17F3CCA2" w14:textId="77777777" w:rsidR="002E23E9" w:rsidRPr="00186694" w:rsidRDefault="00505B1C" w:rsidP="00505B1C">
            <w:pPr>
              <w:pStyle w:val="ListParagraph"/>
              <w:numPr>
                <w:ilvl w:val="0"/>
                <w:numId w:val="1"/>
              </w:numPr>
              <w:ind w:left="309" w:hanging="253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S</w:t>
            </w:r>
            <w:r w:rsidR="00502210" w:rsidRPr="00186694">
              <w:rPr>
                <w:rFonts w:asciiTheme="majorHAnsi" w:hAnsiTheme="majorHAnsi" w:cs="Times New Roman"/>
                <w:sz w:val="22"/>
                <w:szCs w:val="22"/>
              </w:rPr>
              <w:t>P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P should involve local stakeholders (private sector consultants and suppliers), simultaneously underlining the importance of domestic preference (especially in works) as the new policy does not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make reference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to this with </w:t>
            </w:r>
            <w:r w:rsidR="00502210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regard to 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consultants. Hence the question: why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doesn’t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the Bank introduce domestic preference/marginal preference for employment of consultants</w:t>
            </w:r>
            <w:r w:rsidR="00502210" w:rsidRPr="0018669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</w:tr>
      <w:tr w:rsidR="002A7906" w:rsidRPr="001C713F" w14:paraId="0035AF04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4A88650" w14:textId="77777777" w:rsidR="002A7906" w:rsidRPr="001C713F" w:rsidRDefault="008A533C" w:rsidP="009E7E73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2E23E9" w:rsidRPr="001C713F" w14:paraId="44E8C7AB" w14:textId="77777777" w:rsidTr="002E23E9">
        <w:trPr>
          <w:trHeight w:val="935"/>
        </w:trPr>
        <w:tc>
          <w:tcPr>
            <w:tcW w:w="13320" w:type="dxa"/>
            <w:shd w:val="clear" w:color="auto" w:fill="auto"/>
          </w:tcPr>
          <w:p w14:paraId="2687DAFC" w14:textId="77777777" w:rsidR="002E23E9" w:rsidRPr="00186694" w:rsidRDefault="00505B1C" w:rsidP="00B036F8">
            <w:pPr>
              <w:pStyle w:val="ListParagraph"/>
              <w:numPr>
                <w:ilvl w:val="0"/>
                <w:numId w:val="13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While SAIs can bring transparency on the use of funds in public </w:t>
            </w:r>
            <w:r w:rsidR="00B036F8" w:rsidRPr="00186694">
              <w:rPr>
                <w:rFonts w:asciiTheme="majorHAnsi" w:hAnsiTheme="majorHAnsi" w:cs="Times New Roman"/>
                <w:sz w:val="22"/>
                <w:szCs w:val="22"/>
              </w:rPr>
              <w:t>procurement, stakeholders are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concern</w:t>
            </w:r>
            <w:r w:rsidR="00B036F8" w:rsidRPr="00186694">
              <w:rPr>
                <w:rFonts w:asciiTheme="majorHAnsi" w:hAnsiTheme="majorHAnsi" w:cs="Times New Roman"/>
                <w:sz w:val="22"/>
                <w:szCs w:val="22"/>
              </w:rPr>
              <w:t>ed about how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some are qualified to undertake procurement audits beyond the financial aspect. It </w:t>
            </w:r>
            <w:r w:rsidR="00B036F8" w:rsidRPr="00186694">
              <w:rPr>
                <w:rFonts w:asciiTheme="majorHAnsi" w:hAnsiTheme="majorHAnsi" w:cs="Times New Roman"/>
                <w:sz w:val="22"/>
                <w:szCs w:val="22"/>
              </w:rPr>
              <w:t>is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suggested SAIs work with local procurement agencies and private sector. </w:t>
            </w:r>
          </w:p>
        </w:tc>
      </w:tr>
      <w:tr w:rsidR="00594D12" w:rsidRPr="001C713F" w14:paraId="1F6BC50A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140D658" w14:textId="77777777" w:rsidR="00594D12" w:rsidRPr="001C713F" w:rsidRDefault="008A533C" w:rsidP="009E7E73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2E23E9" w:rsidRPr="001C713F" w14:paraId="10F74325" w14:textId="77777777" w:rsidTr="00A04F40">
        <w:trPr>
          <w:trHeight w:val="800"/>
        </w:trPr>
        <w:tc>
          <w:tcPr>
            <w:tcW w:w="13320" w:type="dxa"/>
            <w:shd w:val="clear" w:color="auto" w:fill="auto"/>
          </w:tcPr>
          <w:p w14:paraId="0472C6A9" w14:textId="77777777" w:rsidR="002E23E9" w:rsidRPr="00186694" w:rsidRDefault="0088478E" w:rsidP="008A533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Supporting this proposal, stakeholders agree that the focus should be less on process but the result that the public benefits from. </w:t>
            </w:r>
          </w:p>
          <w:p w14:paraId="423BF372" w14:textId="77777777" w:rsidR="005A1D65" w:rsidRPr="00186694" w:rsidRDefault="005A1D65" w:rsidP="00A04F40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Stakeholders </w:t>
            </w:r>
            <w:r w:rsidR="00A04F40" w:rsidRPr="00186694">
              <w:rPr>
                <w:rFonts w:asciiTheme="majorHAnsi" w:hAnsiTheme="majorHAnsi" w:cs="Times New Roman"/>
                <w:sz w:val="22"/>
                <w:szCs w:val="22"/>
              </w:rPr>
              <w:t>are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interested in the details of evaluation methods for various types of procurement approaches and</w:t>
            </w:r>
            <w:r w:rsidR="00A04F40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guidance on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when the latter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may be</w:t>
            </w:r>
            <w:r w:rsidR="00D0281F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applied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most appropriately. </w:t>
            </w:r>
          </w:p>
        </w:tc>
      </w:tr>
      <w:tr w:rsidR="00A21FB6" w:rsidRPr="001C713F" w14:paraId="01CA481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8D7970A" w14:textId="77777777" w:rsidR="00A21FB6" w:rsidRPr="001C713F" w:rsidRDefault="008A533C" w:rsidP="001453DE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1C713F" w14:paraId="450FB250" w14:textId="77777777" w:rsidTr="002E23E9">
        <w:trPr>
          <w:trHeight w:val="1007"/>
        </w:trPr>
        <w:tc>
          <w:tcPr>
            <w:tcW w:w="13320" w:type="dxa"/>
            <w:shd w:val="clear" w:color="auto" w:fill="auto"/>
          </w:tcPr>
          <w:p w14:paraId="483CF5D2" w14:textId="6A87E736" w:rsidR="002E23E9" w:rsidRPr="00186694" w:rsidRDefault="000133E4" w:rsidP="009E00A4">
            <w:pPr>
              <w:pStyle w:val="BodyText2"/>
              <w:numPr>
                <w:ilvl w:val="0"/>
                <w:numId w:val="1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ind w:left="342" w:hanging="27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Stakeholders</w:t>
            </w:r>
            <w:r w:rsidR="00E80974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find</w:t>
            </w:r>
            <w:r w:rsidR="004E31A2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the current policy on</w:t>
            </w:r>
            <w:r w:rsidR="009E00A4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complaints handling to lack strength, in particular with regard to NCBs. Here feedback proposed that the procedure be more transparent and make </w:t>
            </w:r>
            <w:r w:rsidR="004E31A2" w:rsidRPr="00186694">
              <w:rPr>
                <w:rFonts w:asciiTheme="majorHAnsi" w:hAnsiTheme="majorHAnsi" w:cs="Times New Roman"/>
                <w:color w:val="auto"/>
                <w:sz w:val="22"/>
                <w:szCs w:val="22"/>
                <w:lang w:val="en-US"/>
              </w:rPr>
              <w:t xml:space="preserve">Bank </w:t>
            </w:r>
            <w:r w:rsidR="009E00A4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staff more accessible to the private sector.</w:t>
            </w:r>
          </w:p>
          <w:p w14:paraId="65AF541A" w14:textId="77777777" w:rsidR="009E00A4" w:rsidRPr="00186694" w:rsidRDefault="00286F33" w:rsidP="009E00A4">
            <w:pPr>
              <w:pStyle w:val="BodyText2"/>
              <w:numPr>
                <w:ilvl w:val="0"/>
                <w:numId w:val="1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ind w:left="342" w:hanging="27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Ethiopia’s public procurement framework having a central monitoring system for procurement in place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should be permitted</w:t>
            </w:r>
            <w:proofErr w:type="gramEnd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to use its own country system, which also provides for complaints handling.</w:t>
            </w:r>
          </w:p>
          <w:p w14:paraId="123A5FFC" w14:textId="77777777" w:rsidR="00457939" w:rsidRPr="00186694" w:rsidRDefault="00E80974" w:rsidP="00457939">
            <w:pPr>
              <w:pStyle w:val="BodyText2"/>
              <w:numPr>
                <w:ilvl w:val="0"/>
                <w:numId w:val="1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ind w:left="342" w:hanging="27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T</w:t>
            </w:r>
            <w:r w:rsidR="00457939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he procedure for complaints handling should not only support timely resolution but also outline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how development objectives </w:t>
            </w:r>
            <w:proofErr w:type="gramStart"/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will be </w:t>
            </w:r>
            <w:r w:rsidR="00457939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met</w:t>
            </w:r>
            <w:proofErr w:type="gramEnd"/>
            <w:r w:rsidR="00457939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</w:t>
            </w:r>
          </w:p>
          <w:p w14:paraId="648107A8" w14:textId="77777777" w:rsidR="005A1D65" w:rsidRPr="001C713F" w:rsidRDefault="00280133" w:rsidP="00280133">
            <w:pPr>
              <w:pStyle w:val="BodyText2"/>
              <w:numPr>
                <w:ilvl w:val="0"/>
                <w:numId w:val="1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ind w:left="342" w:hanging="270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Stakeholders appreciate</w:t>
            </w:r>
            <w:r w:rsidR="005A1D65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the proactive and preventive approach proposed regarding complaints handling</w:t>
            </w:r>
            <w:proofErr w:type="gramStart"/>
            <w:r w:rsidR="005A1D65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;</w:t>
            </w:r>
            <w:proofErr w:type="gramEnd"/>
            <w:r w:rsidR="005A1D65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in particular the introduction of Disputes Resolution Boards</w:t>
            </w:r>
            <w:r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 Do DRBs</w:t>
            </w:r>
            <w:r w:rsidR="005A1D65" w:rsidRPr="0018669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include national equivalents?</w:t>
            </w:r>
          </w:p>
        </w:tc>
      </w:tr>
      <w:tr w:rsidR="002E23E9" w:rsidRPr="001C713F" w14:paraId="4339D29F" w14:textId="77777777" w:rsidTr="009E7E73">
        <w:trPr>
          <w:trHeight w:val="359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3891B0" w14:textId="77777777" w:rsidR="002E23E9" w:rsidRPr="001C713F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1C713F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1C713F" w14:paraId="3BD179E7" w14:textId="77777777" w:rsidTr="002E23E9">
        <w:trPr>
          <w:trHeight w:val="100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EEF1" w14:textId="67C9559E" w:rsidR="00355F82" w:rsidRPr="00186694" w:rsidRDefault="00C2659D" w:rsidP="001C713F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Decentralizing the</w:t>
            </w:r>
            <w:r w:rsidR="00466733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decision making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process and effectively giving more responsibility to the CO</w:t>
            </w:r>
            <w:r w:rsidR="00214836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and expediting decision-making, is something stakeholders support.</w:t>
            </w:r>
          </w:p>
        </w:tc>
      </w:tr>
      <w:tr w:rsidR="002E23E9" w:rsidRPr="001C713F" w14:paraId="6C9717DF" w14:textId="77777777" w:rsidTr="009E7E73">
        <w:trPr>
          <w:trHeight w:val="3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3E718D" w14:textId="77777777" w:rsidR="002E23E9" w:rsidRPr="001C713F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C713F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  <w:proofErr w:type="gramEnd"/>
          </w:p>
        </w:tc>
      </w:tr>
      <w:tr w:rsidR="002E23E9" w:rsidRPr="001C713F" w14:paraId="7579C75A" w14:textId="77777777" w:rsidTr="002E23E9">
        <w:trPr>
          <w:trHeight w:val="100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B82F" w14:textId="2C48C7CC" w:rsidR="005D0F11" w:rsidRPr="00186694" w:rsidRDefault="00013380" w:rsidP="001C713F">
            <w:pPr>
              <w:pStyle w:val="ListParagraph"/>
              <w:numPr>
                <w:ilvl w:val="0"/>
                <w:numId w:val="40"/>
              </w:numPr>
              <w:ind w:left="342" w:hanging="270"/>
              <w:rPr>
                <w:rFonts w:asciiTheme="majorHAnsi" w:hAnsiTheme="majorHAnsi"/>
                <w:sz w:val="22"/>
                <w:szCs w:val="22"/>
              </w:rPr>
            </w:pPr>
            <w:r w:rsidRPr="00186694">
              <w:rPr>
                <w:rFonts w:asciiTheme="majorHAnsi" w:hAnsiTheme="majorHAnsi"/>
                <w:sz w:val="22"/>
                <w:szCs w:val="22"/>
              </w:rPr>
              <w:t xml:space="preserve">The proposal to focus on high risk/high value projects for prior/post reviews </w:t>
            </w:r>
            <w:r w:rsidR="00074688" w:rsidRPr="00186694">
              <w:rPr>
                <w:rFonts w:asciiTheme="majorHAnsi" w:hAnsiTheme="majorHAnsi"/>
                <w:sz w:val="22"/>
                <w:szCs w:val="22"/>
              </w:rPr>
              <w:t>is welcome, but stakeholders wish</w:t>
            </w:r>
            <w:r w:rsidRPr="00186694">
              <w:rPr>
                <w:rFonts w:asciiTheme="majorHAnsi" w:hAnsiTheme="majorHAnsi"/>
                <w:sz w:val="22"/>
                <w:szCs w:val="22"/>
              </w:rPr>
              <w:t xml:space="preserve"> to understand how exactly these type of projects </w:t>
            </w:r>
            <w:r w:rsidR="00074688" w:rsidRPr="00186694">
              <w:rPr>
                <w:rFonts w:asciiTheme="majorHAnsi" w:hAnsiTheme="majorHAnsi"/>
                <w:sz w:val="22"/>
                <w:szCs w:val="22"/>
              </w:rPr>
              <w:t>will</w:t>
            </w:r>
            <w:r w:rsidRPr="00186694">
              <w:rPr>
                <w:rFonts w:asciiTheme="majorHAnsi" w:hAnsiTheme="majorHAnsi"/>
                <w:sz w:val="22"/>
                <w:szCs w:val="22"/>
              </w:rPr>
              <w:t xml:space="preserve"> be identified; i.e. the methodology behin</w:t>
            </w:r>
            <w:r w:rsidR="0029430D" w:rsidRPr="00186694">
              <w:rPr>
                <w:rFonts w:asciiTheme="majorHAnsi" w:hAnsiTheme="majorHAnsi"/>
                <w:sz w:val="22"/>
                <w:szCs w:val="22"/>
              </w:rPr>
              <w:t xml:space="preserve">d the selection for P/P reviews </w:t>
            </w:r>
          </w:p>
          <w:p w14:paraId="6D12B26C" w14:textId="77777777" w:rsidR="00505B1C" w:rsidRPr="00186694" w:rsidRDefault="00BD0CA5" w:rsidP="00505B1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Stakeholders 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>have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particular interest in how the new policy (and procedures to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be drafted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) 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>will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help expedite processes such as prior/post reviews, no objection issuance,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etc.</w:t>
            </w:r>
          </w:p>
          <w:p w14:paraId="0153C0CA" w14:textId="728AA129" w:rsidR="00505B1C" w:rsidRPr="00186694" w:rsidRDefault="00505B1C" w:rsidP="00505B1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Stakeholders 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>find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the pr</w:t>
            </w:r>
            <w:r w:rsidR="00A32C7E" w:rsidRPr="00186694">
              <w:rPr>
                <w:rFonts w:asciiTheme="majorHAnsi" w:hAnsiTheme="majorHAnsi" w:cs="Times New Roman"/>
                <w:sz w:val="22"/>
                <w:szCs w:val="22"/>
              </w:rPr>
              <w:t>oposed policy does not demand/oblige the enga</w:t>
            </w:r>
            <w:r w:rsidR="009E5141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gement of local firms with foreign ones </w:t>
            </w:r>
            <w:proofErr w:type="gramStart"/>
            <w:r w:rsidR="009E5141" w:rsidRPr="00186694">
              <w:rPr>
                <w:rFonts w:asciiTheme="majorHAnsi" w:hAnsiTheme="majorHAnsi" w:cs="Times New Roman"/>
                <w:sz w:val="22"/>
                <w:szCs w:val="22"/>
              </w:rPr>
              <w:t>through</w:t>
            </w:r>
            <w:r w:rsidR="00A32C7E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joint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ventures in large projects especially</w:t>
            </w:r>
            <w:r w:rsidR="00AF423A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not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in ICB</w:t>
            </w:r>
            <w:r w:rsidR="00AF423A" w:rsidRPr="00186694">
              <w:rPr>
                <w:rFonts w:asciiTheme="majorHAnsi" w:hAnsiTheme="majorHAnsi" w:cs="Times New Roman"/>
                <w:sz w:val="22"/>
                <w:szCs w:val="22"/>
              </w:rPr>
              <w:t>, making the point however that in so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>me cases JV can be a useful tool</w:t>
            </w:r>
            <w:r w:rsidR="00AF423A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to enhance abilities but in other cases they have lead to corruption in the past.</w:t>
            </w:r>
          </w:p>
          <w:p w14:paraId="0517BA10" w14:textId="5FFFFD68" w:rsidR="007C7343" w:rsidRPr="00186694" w:rsidRDefault="00074688" w:rsidP="00505B1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Are there</w:t>
            </w:r>
            <w:r w:rsidR="007C7343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policy changes that may affect SoEs and their interaction with the Bank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r w:rsidR="00DF3D11" w:rsidRPr="00186694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proofErr w:type="gramEnd"/>
          </w:p>
          <w:p w14:paraId="7A499F86" w14:textId="77777777" w:rsidR="00EC5E6B" w:rsidRPr="001C713F" w:rsidRDefault="00EC5E6B" w:rsidP="00074688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As a final matter, stakeholders 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hope 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that the new policy </w:t>
            </w:r>
            <w:r w:rsidR="00074688" w:rsidRPr="00186694">
              <w:rPr>
                <w:rFonts w:asciiTheme="majorHAnsi" w:hAnsiTheme="majorHAnsi" w:cs="Times New Roman"/>
                <w:sz w:val="22"/>
                <w:szCs w:val="22"/>
              </w:rPr>
              <w:t>will</w:t>
            </w:r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support and facilitate rather than </w:t>
            </w:r>
            <w:proofErr w:type="gramStart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>be applied</w:t>
            </w:r>
            <w:proofErr w:type="gramEnd"/>
            <w:r w:rsidRPr="00186694">
              <w:rPr>
                <w:rFonts w:asciiTheme="majorHAnsi" w:hAnsiTheme="majorHAnsi" w:cs="Times New Roman"/>
                <w:sz w:val="22"/>
                <w:szCs w:val="22"/>
              </w:rPr>
              <w:t xml:space="preserve"> to influence governments’ policies. </w:t>
            </w:r>
          </w:p>
        </w:tc>
      </w:tr>
    </w:tbl>
    <w:p w14:paraId="5BE1C965" w14:textId="77777777" w:rsidR="0041268A" w:rsidRPr="001C713F" w:rsidRDefault="0041268A" w:rsidP="00AC78CB">
      <w:pPr>
        <w:rPr>
          <w:rFonts w:asciiTheme="majorHAnsi" w:hAnsiTheme="majorHAnsi"/>
          <w:sz w:val="22"/>
          <w:szCs w:val="22"/>
        </w:rPr>
      </w:pPr>
    </w:p>
    <w:sectPr w:rsidR="0041268A" w:rsidRPr="001C713F" w:rsidSect="00150B6C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6EFB" w14:textId="77777777" w:rsidR="00EB6869" w:rsidRDefault="00EB6869">
      <w:pPr>
        <w:spacing w:after="0" w:line="240" w:lineRule="auto"/>
      </w:pPr>
      <w:r>
        <w:separator/>
      </w:r>
    </w:p>
  </w:endnote>
  <w:endnote w:type="continuationSeparator" w:id="0">
    <w:p w14:paraId="0591B899" w14:textId="77777777" w:rsidR="00EB6869" w:rsidRDefault="00EB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8487" w14:textId="77777777" w:rsidR="009E7E73" w:rsidRDefault="009E7E7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8561BD7" w14:textId="77777777" w:rsidR="009E7E73" w:rsidRDefault="009E7E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C2506A7" w14:textId="77777777" w:rsidR="009E7E73" w:rsidRPr="00150B6C" w:rsidRDefault="009E7E73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BD2C72">
          <w:rPr>
            <w:rFonts w:asciiTheme="minorHAnsi" w:hAnsiTheme="minorHAnsi"/>
            <w:noProof/>
            <w:sz w:val="20"/>
            <w:szCs w:val="20"/>
          </w:rPr>
          <w:t>3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37D3B51" w14:textId="77777777" w:rsidR="009E7E73" w:rsidRDefault="009E7E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B854" w14:textId="77777777" w:rsidR="00EB6869" w:rsidRDefault="00EB6869">
      <w:pPr>
        <w:spacing w:after="0" w:line="240" w:lineRule="auto"/>
      </w:pPr>
      <w:r>
        <w:separator/>
      </w:r>
    </w:p>
  </w:footnote>
  <w:footnote w:type="continuationSeparator" w:id="0">
    <w:p w14:paraId="733EE764" w14:textId="77777777" w:rsidR="00EB6869" w:rsidRDefault="00EB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7FCC" w14:textId="77777777" w:rsidR="009E7E73" w:rsidRDefault="009E7E73">
    <w:pPr>
      <w:pStyle w:val="Header"/>
      <w:rPr>
        <w:sz w:val="18"/>
        <w:szCs w:val="18"/>
      </w:rPr>
    </w:pPr>
  </w:p>
  <w:p w14:paraId="2DFE7660" w14:textId="77777777" w:rsidR="009E7E73" w:rsidRPr="00ED2123" w:rsidRDefault="009E7E7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1F8F"/>
    <w:multiLevelType w:val="hybridMultilevel"/>
    <w:tmpl w:val="B4BC0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1761"/>
    <w:multiLevelType w:val="hybridMultilevel"/>
    <w:tmpl w:val="C6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1883F84"/>
    <w:multiLevelType w:val="hybridMultilevel"/>
    <w:tmpl w:val="E0ACB5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C116600"/>
    <w:multiLevelType w:val="hybridMultilevel"/>
    <w:tmpl w:val="63CCDF6E"/>
    <w:lvl w:ilvl="0" w:tplc="129C5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4"/>
  </w:num>
  <w:num w:numId="5">
    <w:abstractNumId w:val="19"/>
  </w:num>
  <w:num w:numId="6">
    <w:abstractNumId w:val="33"/>
  </w:num>
  <w:num w:numId="7">
    <w:abstractNumId w:val="38"/>
  </w:num>
  <w:num w:numId="8">
    <w:abstractNumId w:val="40"/>
  </w:num>
  <w:num w:numId="9">
    <w:abstractNumId w:val="35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30"/>
  </w:num>
  <w:num w:numId="16">
    <w:abstractNumId w:val="4"/>
  </w:num>
  <w:num w:numId="17">
    <w:abstractNumId w:val="31"/>
  </w:num>
  <w:num w:numId="18">
    <w:abstractNumId w:val="9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34"/>
  </w:num>
  <w:num w:numId="24">
    <w:abstractNumId w:val="29"/>
  </w:num>
  <w:num w:numId="25">
    <w:abstractNumId w:val="13"/>
  </w:num>
  <w:num w:numId="26">
    <w:abstractNumId w:val="22"/>
  </w:num>
  <w:num w:numId="27">
    <w:abstractNumId w:val="14"/>
  </w:num>
  <w:num w:numId="28">
    <w:abstractNumId w:val="17"/>
  </w:num>
  <w:num w:numId="29">
    <w:abstractNumId w:val="27"/>
  </w:num>
  <w:num w:numId="30">
    <w:abstractNumId w:val="39"/>
  </w:num>
  <w:num w:numId="31">
    <w:abstractNumId w:val="25"/>
  </w:num>
  <w:num w:numId="32">
    <w:abstractNumId w:val="32"/>
  </w:num>
  <w:num w:numId="33">
    <w:abstractNumId w:val="20"/>
  </w:num>
  <w:num w:numId="34">
    <w:abstractNumId w:val="26"/>
  </w:num>
  <w:num w:numId="35">
    <w:abstractNumId w:val="15"/>
  </w:num>
  <w:num w:numId="36">
    <w:abstractNumId w:val="2"/>
  </w:num>
  <w:num w:numId="37">
    <w:abstractNumId w:val="6"/>
  </w:num>
  <w:num w:numId="38">
    <w:abstractNumId w:val="21"/>
  </w:num>
  <w:num w:numId="39">
    <w:abstractNumId w:val="1"/>
  </w:num>
  <w:num w:numId="40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5AC8"/>
    <w:rsid w:val="00007DA4"/>
    <w:rsid w:val="00013380"/>
    <w:rsid w:val="000133E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3DED"/>
    <w:rsid w:val="00046FD1"/>
    <w:rsid w:val="00050278"/>
    <w:rsid w:val="00052126"/>
    <w:rsid w:val="00052A60"/>
    <w:rsid w:val="000548C3"/>
    <w:rsid w:val="000568E5"/>
    <w:rsid w:val="000615B0"/>
    <w:rsid w:val="000701AB"/>
    <w:rsid w:val="000744EF"/>
    <w:rsid w:val="0007468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0D37"/>
    <w:rsid w:val="000F3983"/>
    <w:rsid w:val="000F3E02"/>
    <w:rsid w:val="000F42AD"/>
    <w:rsid w:val="000F70D2"/>
    <w:rsid w:val="00101AD6"/>
    <w:rsid w:val="00107A9A"/>
    <w:rsid w:val="00112D59"/>
    <w:rsid w:val="00116045"/>
    <w:rsid w:val="0011666B"/>
    <w:rsid w:val="001223AF"/>
    <w:rsid w:val="0012738A"/>
    <w:rsid w:val="0013530E"/>
    <w:rsid w:val="00136208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6694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C713F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145BA"/>
    <w:rsid w:val="00214836"/>
    <w:rsid w:val="002248F1"/>
    <w:rsid w:val="002253F7"/>
    <w:rsid w:val="00225F7C"/>
    <w:rsid w:val="00227180"/>
    <w:rsid w:val="002301E1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33"/>
    <w:rsid w:val="002801FD"/>
    <w:rsid w:val="00280ADD"/>
    <w:rsid w:val="00283919"/>
    <w:rsid w:val="0028464A"/>
    <w:rsid w:val="00286F33"/>
    <w:rsid w:val="00292E6E"/>
    <w:rsid w:val="002934A7"/>
    <w:rsid w:val="0029430D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473E6"/>
    <w:rsid w:val="003507ED"/>
    <w:rsid w:val="00352D9C"/>
    <w:rsid w:val="00353D85"/>
    <w:rsid w:val="00353E83"/>
    <w:rsid w:val="00354731"/>
    <w:rsid w:val="003559C0"/>
    <w:rsid w:val="00355F82"/>
    <w:rsid w:val="0035744E"/>
    <w:rsid w:val="00357A75"/>
    <w:rsid w:val="00361A5B"/>
    <w:rsid w:val="0036531B"/>
    <w:rsid w:val="00366F47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4B20"/>
    <w:rsid w:val="00416EDE"/>
    <w:rsid w:val="00424C82"/>
    <w:rsid w:val="00426B51"/>
    <w:rsid w:val="00431D5F"/>
    <w:rsid w:val="00436033"/>
    <w:rsid w:val="00440C49"/>
    <w:rsid w:val="00442D97"/>
    <w:rsid w:val="00443EEF"/>
    <w:rsid w:val="00446D15"/>
    <w:rsid w:val="00453CD4"/>
    <w:rsid w:val="00457939"/>
    <w:rsid w:val="00457F6D"/>
    <w:rsid w:val="0046032B"/>
    <w:rsid w:val="004604F5"/>
    <w:rsid w:val="00466733"/>
    <w:rsid w:val="00466CE3"/>
    <w:rsid w:val="0047019F"/>
    <w:rsid w:val="00473315"/>
    <w:rsid w:val="00474F9B"/>
    <w:rsid w:val="00481ACF"/>
    <w:rsid w:val="00491A35"/>
    <w:rsid w:val="00491D90"/>
    <w:rsid w:val="0049389F"/>
    <w:rsid w:val="004941BC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31A2"/>
    <w:rsid w:val="004E61B9"/>
    <w:rsid w:val="004F2672"/>
    <w:rsid w:val="004F3586"/>
    <w:rsid w:val="004F4615"/>
    <w:rsid w:val="004F551D"/>
    <w:rsid w:val="004F5D6B"/>
    <w:rsid w:val="004F78BE"/>
    <w:rsid w:val="00502210"/>
    <w:rsid w:val="00503AC3"/>
    <w:rsid w:val="00505B1C"/>
    <w:rsid w:val="005065C7"/>
    <w:rsid w:val="00507646"/>
    <w:rsid w:val="005108C6"/>
    <w:rsid w:val="00517254"/>
    <w:rsid w:val="00517A78"/>
    <w:rsid w:val="00521046"/>
    <w:rsid w:val="005214D1"/>
    <w:rsid w:val="0052371D"/>
    <w:rsid w:val="005409E3"/>
    <w:rsid w:val="005420E0"/>
    <w:rsid w:val="00542D82"/>
    <w:rsid w:val="005446FD"/>
    <w:rsid w:val="00551E85"/>
    <w:rsid w:val="0055516F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1D65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0F11"/>
    <w:rsid w:val="005D1984"/>
    <w:rsid w:val="005E6733"/>
    <w:rsid w:val="005F0290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C5B59"/>
    <w:rsid w:val="006D4EB1"/>
    <w:rsid w:val="006D5D8B"/>
    <w:rsid w:val="006E0A72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2242"/>
    <w:rsid w:val="00721455"/>
    <w:rsid w:val="00725E0D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C7343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73220"/>
    <w:rsid w:val="00875B03"/>
    <w:rsid w:val="00877B95"/>
    <w:rsid w:val="00877C0B"/>
    <w:rsid w:val="00881284"/>
    <w:rsid w:val="0088478E"/>
    <w:rsid w:val="00885E07"/>
    <w:rsid w:val="008878D2"/>
    <w:rsid w:val="00895C16"/>
    <w:rsid w:val="008967BD"/>
    <w:rsid w:val="008A0F2A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5294"/>
    <w:rsid w:val="008D6E46"/>
    <w:rsid w:val="008E3CAB"/>
    <w:rsid w:val="008E6054"/>
    <w:rsid w:val="008E60CF"/>
    <w:rsid w:val="008E6553"/>
    <w:rsid w:val="008E663F"/>
    <w:rsid w:val="008E6961"/>
    <w:rsid w:val="008E6CA9"/>
    <w:rsid w:val="008F4648"/>
    <w:rsid w:val="008F514A"/>
    <w:rsid w:val="009000FA"/>
    <w:rsid w:val="00901980"/>
    <w:rsid w:val="009044FA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83458"/>
    <w:rsid w:val="00990B5E"/>
    <w:rsid w:val="00993EAB"/>
    <w:rsid w:val="00994D19"/>
    <w:rsid w:val="009A343C"/>
    <w:rsid w:val="009A4357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00A4"/>
    <w:rsid w:val="009E2E13"/>
    <w:rsid w:val="009E4E07"/>
    <w:rsid w:val="009E5141"/>
    <w:rsid w:val="009E5FD0"/>
    <w:rsid w:val="009E60A4"/>
    <w:rsid w:val="009E6AC5"/>
    <w:rsid w:val="009E6DF9"/>
    <w:rsid w:val="009E7E73"/>
    <w:rsid w:val="009F14D6"/>
    <w:rsid w:val="009F279E"/>
    <w:rsid w:val="00A02FEB"/>
    <w:rsid w:val="00A03042"/>
    <w:rsid w:val="00A04F40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2C7E"/>
    <w:rsid w:val="00A34312"/>
    <w:rsid w:val="00A3493B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2AAC"/>
    <w:rsid w:val="00AA60D2"/>
    <w:rsid w:val="00AA7CA7"/>
    <w:rsid w:val="00AA7FC7"/>
    <w:rsid w:val="00AB0A31"/>
    <w:rsid w:val="00AB1D59"/>
    <w:rsid w:val="00AB26C6"/>
    <w:rsid w:val="00AB2C51"/>
    <w:rsid w:val="00AB3901"/>
    <w:rsid w:val="00AC2A7B"/>
    <w:rsid w:val="00AC35E9"/>
    <w:rsid w:val="00AC45B2"/>
    <w:rsid w:val="00AC6935"/>
    <w:rsid w:val="00AC6A20"/>
    <w:rsid w:val="00AC71AD"/>
    <w:rsid w:val="00AC78CB"/>
    <w:rsid w:val="00AD0C13"/>
    <w:rsid w:val="00AD199B"/>
    <w:rsid w:val="00AD288F"/>
    <w:rsid w:val="00AD3704"/>
    <w:rsid w:val="00AD3936"/>
    <w:rsid w:val="00AD3968"/>
    <w:rsid w:val="00AE30D9"/>
    <w:rsid w:val="00AF0A93"/>
    <w:rsid w:val="00AF1D2F"/>
    <w:rsid w:val="00AF31AE"/>
    <w:rsid w:val="00AF423A"/>
    <w:rsid w:val="00AF52DA"/>
    <w:rsid w:val="00AF61A2"/>
    <w:rsid w:val="00AF6ED0"/>
    <w:rsid w:val="00B00B8D"/>
    <w:rsid w:val="00B00C48"/>
    <w:rsid w:val="00B036F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32A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4095"/>
    <w:rsid w:val="00B947D5"/>
    <w:rsid w:val="00BA0194"/>
    <w:rsid w:val="00BA494C"/>
    <w:rsid w:val="00BA52B0"/>
    <w:rsid w:val="00BA7F77"/>
    <w:rsid w:val="00BB1F9B"/>
    <w:rsid w:val="00BB62D4"/>
    <w:rsid w:val="00BC0E42"/>
    <w:rsid w:val="00BC1A8B"/>
    <w:rsid w:val="00BC454A"/>
    <w:rsid w:val="00BD0CA5"/>
    <w:rsid w:val="00BD2C72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2659D"/>
    <w:rsid w:val="00C333B3"/>
    <w:rsid w:val="00C33550"/>
    <w:rsid w:val="00C33DD9"/>
    <w:rsid w:val="00C362F6"/>
    <w:rsid w:val="00C36B34"/>
    <w:rsid w:val="00C37185"/>
    <w:rsid w:val="00C42FCF"/>
    <w:rsid w:val="00C4631D"/>
    <w:rsid w:val="00C532C2"/>
    <w:rsid w:val="00C53915"/>
    <w:rsid w:val="00C56076"/>
    <w:rsid w:val="00C56288"/>
    <w:rsid w:val="00C56F67"/>
    <w:rsid w:val="00C606C1"/>
    <w:rsid w:val="00C63B05"/>
    <w:rsid w:val="00C64909"/>
    <w:rsid w:val="00C70001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0513"/>
    <w:rsid w:val="00CB1BC5"/>
    <w:rsid w:val="00CB25DF"/>
    <w:rsid w:val="00CB7BBA"/>
    <w:rsid w:val="00CC0149"/>
    <w:rsid w:val="00CC0A12"/>
    <w:rsid w:val="00CD05E9"/>
    <w:rsid w:val="00CD37EF"/>
    <w:rsid w:val="00CD481A"/>
    <w:rsid w:val="00CE24E4"/>
    <w:rsid w:val="00CE3AFE"/>
    <w:rsid w:val="00CE71B7"/>
    <w:rsid w:val="00CF3100"/>
    <w:rsid w:val="00CF4060"/>
    <w:rsid w:val="00D01693"/>
    <w:rsid w:val="00D0281F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556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3D11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1D73"/>
    <w:rsid w:val="00E23D81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4FB7"/>
    <w:rsid w:val="00E664D1"/>
    <w:rsid w:val="00E72DFF"/>
    <w:rsid w:val="00E7417F"/>
    <w:rsid w:val="00E76D91"/>
    <w:rsid w:val="00E77D18"/>
    <w:rsid w:val="00E805E8"/>
    <w:rsid w:val="00E80974"/>
    <w:rsid w:val="00E81311"/>
    <w:rsid w:val="00E82466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6869"/>
    <w:rsid w:val="00EB75B9"/>
    <w:rsid w:val="00EC2056"/>
    <w:rsid w:val="00EC26D9"/>
    <w:rsid w:val="00EC4F18"/>
    <w:rsid w:val="00EC524C"/>
    <w:rsid w:val="00EC5E6B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A86D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81050B-99CC-44AB-898B-2E660F14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4</cp:revision>
  <cp:lastPrinted>2012-05-24T21:00:00Z</cp:lastPrinted>
  <dcterms:created xsi:type="dcterms:W3CDTF">2014-12-12T19:53:00Z</dcterms:created>
  <dcterms:modified xsi:type="dcterms:W3CDTF">2015-02-06T20:52:00Z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