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74" w:rsidRPr="0098329F" w:rsidRDefault="00E146FE" w:rsidP="00A16DA7">
      <w:pPr>
        <w:pStyle w:val="Heading1"/>
        <w:spacing w:before="240"/>
        <w:rPr>
          <w:color w:val="4F81BD" w:themeColor="accent1"/>
          <w:sz w:val="26"/>
          <w:szCs w:val="26"/>
        </w:rPr>
      </w:pPr>
      <w:r>
        <w:t>Yangon Urban Poverty</w:t>
      </w:r>
      <w:r w:rsidR="007849F0" w:rsidRPr="007849F0">
        <w:t xml:space="preserve"> </w:t>
      </w:r>
      <w:r w:rsidR="007849F0">
        <w:t>Consultation</w:t>
      </w:r>
      <w:r w:rsidR="00E65D15">
        <w:t xml:space="preserve">: </w:t>
      </w:r>
      <w:r w:rsidR="0098329F">
        <w:tab/>
      </w:r>
      <w:r w:rsidR="0098329F">
        <w:tab/>
      </w:r>
      <w:r w:rsidR="007849F0">
        <w:t>Key Priorities for Ending Poverty and Sharing Prosperity</w:t>
      </w:r>
    </w:p>
    <w:tbl>
      <w:tblPr>
        <w:tblStyle w:val="TableGrid"/>
        <w:tblpPr w:leftFromText="180" w:rightFromText="180" w:vertAnchor="page" w:horzAnchor="margin" w:tblpXSpec="center" w:tblpY="1534"/>
        <w:tblW w:w="15192" w:type="dxa"/>
        <w:tblLayout w:type="fixed"/>
        <w:tblLook w:val="04A0"/>
      </w:tblPr>
      <w:tblGrid>
        <w:gridCol w:w="2430"/>
        <w:gridCol w:w="3690"/>
        <w:gridCol w:w="1422"/>
        <w:gridCol w:w="1728"/>
        <w:gridCol w:w="2070"/>
        <w:gridCol w:w="1890"/>
        <w:gridCol w:w="1962"/>
      </w:tblGrid>
      <w:tr w:rsidR="00A16DA7" w:rsidTr="00A16DA7">
        <w:trPr>
          <w:trHeight w:val="618"/>
        </w:trPr>
        <w:tc>
          <w:tcPr>
            <w:tcW w:w="2430" w:type="dxa"/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sz w:val="24"/>
                <w:szCs w:val="24"/>
              </w:rPr>
              <w:t>Education (19)</w:t>
            </w:r>
          </w:p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sz w:val="24"/>
                <w:szCs w:val="24"/>
              </w:rPr>
              <w:t>Agriculture (11)</w:t>
            </w:r>
          </w:p>
        </w:tc>
        <w:tc>
          <w:tcPr>
            <w:tcW w:w="1422" w:type="dxa"/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sz w:val="24"/>
                <w:szCs w:val="24"/>
              </w:rPr>
              <w:t>Health (6)</w:t>
            </w:r>
          </w:p>
        </w:tc>
        <w:tc>
          <w:tcPr>
            <w:tcW w:w="1728" w:type="dxa"/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sz w:val="24"/>
                <w:szCs w:val="24"/>
              </w:rPr>
              <w:t>Access to Finance (6)</w:t>
            </w:r>
          </w:p>
        </w:tc>
        <w:tc>
          <w:tcPr>
            <w:tcW w:w="2070" w:type="dxa"/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sz w:val="24"/>
                <w:szCs w:val="24"/>
              </w:rPr>
              <w:t>Transport Connectivity (5)</w:t>
            </w:r>
          </w:p>
        </w:tc>
        <w:tc>
          <w:tcPr>
            <w:tcW w:w="1890" w:type="dxa"/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sz w:val="24"/>
                <w:szCs w:val="24"/>
              </w:rPr>
              <w:t>Electricity (5)</w:t>
            </w:r>
          </w:p>
        </w:tc>
        <w:tc>
          <w:tcPr>
            <w:tcW w:w="1962" w:type="dxa"/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sz w:val="24"/>
                <w:szCs w:val="24"/>
              </w:rPr>
              <w:t>Job Creation (1)</w:t>
            </w:r>
          </w:p>
        </w:tc>
      </w:tr>
      <w:tr w:rsidR="00A16DA7" w:rsidTr="00A16DA7">
        <w:trPr>
          <w:trHeight w:val="85"/>
        </w:trPr>
        <w:tc>
          <w:tcPr>
            <w:tcW w:w="2430" w:type="dxa"/>
            <w:vMerge w:val="restart"/>
          </w:tcPr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the quality of education is high the standard o the country will also be high. 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Education is a key to development in Myanmar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of the following are necessary: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development of educational infrastructure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Provision of free education to high school level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Health system for schools.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Improved collaboration between teachers &amp; parents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Raised awareness of the importance of education among parents 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upgrade the expertise of teachers&amp; educators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poor do not know how to manage their money.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There is need for pre-vocational training.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Parents’ awareness of the importance of education needs to be raised. </w:t>
            </w:r>
          </w:p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  <w:p w:rsidR="00A16DA7" w:rsidRPr="00EC5A3C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Need to raise the expertise of teachers and educators.</w:t>
            </w:r>
          </w:p>
        </w:tc>
        <w:tc>
          <w:tcPr>
            <w:tcW w:w="3690" w:type="dxa"/>
            <w:vMerge w:val="restart"/>
          </w:tcPr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  <w:r w:rsidRPr="00B43854">
              <w:rPr>
                <w:b/>
                <w:i/>
                <w:sz w:val="20"/>
                <w:szCs w:val="20"/>
              </w:rPr>
              <w:t>General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 w:rsidRPr="00F4035B">
              <w:rPr>
                <w:i/>
                <w:sz w:val="20"/>
                <w:szCs w:val="20"/>
              </w:rPr>
              <w:t>An independent farmer’s union should be formed and granted legal status.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75% of the population work in agriculture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rule of law is </w:t>
            </w:r>
            <w:proofErr w:type="gramStart"/>
            <w:r>
              <w:rPr>
                <w:i/>
                <w:sz w:val="20"/>
                <w:szCs w:val="20"/>
              </w:rPr>
              <w:t>key</w:t>
            </w:r>
            <w:proofErr w:type="gramEnd"/>
            <w:r>
              <w:rPr>
                <w:i/>
                <w:sz w:val="20"/>
                <w:szCs w:val="20"/>
              </w:rPr>
              <w:t xml:space="preserve"> to alleviating poverty.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There should be no laws that affect farmers negatively.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Livestock and fishery development.</w:t>
            </w:r>
          </w:p>
          <w:p w:rsidR="00A16DA7" w:rsidRPr="00AE779C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Livelihood and income generation activities</w:t>
            </w:r>
          </w:p>
        </w:tc>
        <w:tc>
          <w:tcPr>
            <w:tcW w:w="1422" w:type="dxa"/>
            <w:vMerge w:val="restart"/>
          </w:tcPr>
          <w:p w:rsidR="00A16DA7" w:rsidRDefault="00A16DA7" w:rsidP="00A16DA7">
            <w:r w:rsidRPr="00043090">
              <w:rPr>
                <w:i/>
                <w:sz w:val="20"/>
                <w:szCs w:val="20"/>
              </w:rPr>
              <w:t>Nutritional deficiency is a problem. Children under 5 need adequate nutrition for proper brain development. Many children are deficient in iron.</w:t>
            </w:r>
            <w:r>
              <w:t xml:space="preserve"> </w:t>
            </w:r>
          </w:p>
        </w:tc>
        <w:tc>
          <w:tcPr>
            <w:tcW w:w="1728" w:type="dxa"/>
            <w:vMerge w:val="restart"/>
          </w:tcPr>
          <w:p w:rsidR="00A16DA7" w:rsidRDefault="00A16DA7" w:rsidP="00A16DA7">
            <w:pPr>
              <w:rPr>
                <w:i/>
                <w:sz w:val="20"/>
                <w:szCs w:val="20"/>
              </w:rPr>
            </w:pPr>
            <w:r w:rsidRPr="007C6FF4">
              <w:rPr>
                <w:i/>
                <w:sz w:val="20"/>
                <w:szCs w:val="20"/>
              </w:rPr>
              <w:t>The huge level of indebtedness is one of the root causes of persistent poverty in urban slums</w:t>
            </w:r>
            <w:r>
              <w:rPr>
                <w:i/>
                <w:sz w:val="20"/>
                <w:szCs w:val="20"/>
              </w:rPr>
              <w:t>.</w:t>
            </w:r>
            <w:r w:rsidRPr="00797589">
              <w:rPr>
                <w:i/>
                <w:sz w:val="20"/>
                <w:szCs w:val="20"/>
              </w:rPr>
              <w:t xml:space="preserve"> This is mainly because of lack of formal sources of finances, and the poor have to rely on informal sources that charge very high interest rates keeping them in-debated.</w:t>
            </w:r>
          </w:p>
          <w:p w:rsidR="00A16DA7" w:rsidRPr="00B77D78" w:rsidRDefault="00A16DA7" w:rsidP="00A16DA7">
            <w:pPr>
              <w:rPr>
                <w:i/>
                <w:sz w:val="20"/>
                <w:szCs w:val="20"/>
              </w:rPr>
            </w:pPr>
          </w:p>
          <w:p w:rsidR="00A16DA7" w:rsidRPr="00F90242" w:rsidRDefault="00A16DA7" w:rsidP="00A16DA7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F90242">
              <w:rPr>
                <w:i/>
                <w:sz w:val="20"/>
                <w:szCs w:val="20"/>
              </w:rPr>
              <w:t>There is a need for money to run a business (for the poor population)</w:t>
            </w:r>
          </w:p>
          <w:p w:rsidR="00A16DA7" w:rsidRPr="00F90242" w:rsidRDefault="00A16DA7" w:rsidP="00A16DA7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F90242">
              <w:rPr>
                <w:i/>
                <w:sz w:val="20"/>
                <w:szCs w:val="20"/>
              </w:rPr>
              <w:t xml:space="preserve">There is a need to train the poor people how to manage the money </w:t>
            </w:r>
          </w:p>
          <w:p w:rsidR="00A16DA7" w:rsidRPr="00CF376A" w:rsidRDefault="00A16DA7" w:rsidP="00A16DA7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F90242">
              <w:rPr>
                <w:i/>
                <w:sz w:val="20"/>
                <w:szCs w:val="20"/>
              </w:rPr>
              <w:t>One of the key factor to poverty is not knowing how to manage money</w:t>
            </w:r>
          </w:p>
        </w:tc>
        <w:tc>
          <w:tcPr>
            <w:tcW w:w="2070" w:type="dxa"/>
            <w:vMerge w:val="restart"/>
          </w:tcPr>
          <w:p w:rsidR="00A16DA7" w:rsidRPr="00AE779C" w:rsidRDefault="00A16DA7" w:rsidP="00A16DA7">
            <w:pPr>
              <w:rPr>
                <w:i/>
                <w:sz w:val="20"/>
                <w:szCs w:val="20"/>
              </w:rPr>
            </w:pPr>
            <w:r w:rsidRPr="00AE779C">
              <w:rPr>
                <w:i/>
                <w:sz w:val="20"/>
                <w:szCs w:val="20"/>
              </w:rPr>
              <w:t>Improved transport connectivity would improve the standard of living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  <w:p w:rsidR="00A16DA7" w:rsidRDefault="00A16DA7" w:rsidP="00A16DA7">
            <w:r>
              <w:rPr>
                <w:i/>
                <w:sz w:val="20"/>
                <w:szCs w:val="20"/>
              </w:rPr>
              <w:t>It w</w:t>
            </w:r>
            <w:r w:rsidRPr="00AE779C">
              <w:rPr>
                <w:i/>
                <w:sz w:val="20"/>
                <w:szCs w:val="20"/>
              </w:rPr>
              <w:t>ould stimulate both local and foreign investment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16DA7" w:rsidRPr="00512C1B" w:rsidRDefault="00A16DA7" w:rsidP="00A16DA7">
            <w:pPr>
              <w:pStyle w:val="Heading3"/>
              <w:outlineLvl w:val="2"/>
              <w:rPr>
                <w:sz w:val="21"/>
                <w:szCs w:val="21"/>
              </w:rPr>
            </w:pPr>
            <w:r w:rsidRPr="00B77D78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  <w:t>No Comments</w:t>
            </w:r>
          </w:p>
        </w:tc>
        <w:tc>
          <w:tcPr>
            <w:tcW w:w="1962" w:type="dxa"/>
            <w:vMerge w:val="restart"/>
          </w:tcPr>
          <w:p w:rsidR="00A16DA7" w:rsidRPr="003C5D9F" w:rsidRDefault="00A16DA7" w:rsidP="00A16DA7">
            <w:pPr>
              <w:rPr>
                <w:i/>
                <w:sz w:val="20"/>
                <w:szCs w:val="20"/>
              </w:rPr>
            </w:pPr>
            <w:r w:rsidRPr="003C5D9F">
              <w:rPr>
                <w:i/>
                <w:sz w:val="20"/>
                <w:szCs w:val="20"/>
              </w:rPr>
              <w:t xml:space="preserve">Strengthen private sector development 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  <w:p w:rsidR="00A16DA7" w:rsidRPr="003C5D9F" w:rsidRDefault="00A16DA7" w:rsidP="00A16DA7">
            <w:pPr>
              <w:rPr>
                <w:i/>
                <w:sz w:val="20"/>
                <w:szCs w:val="20"/>
              </w:rPr>
            </w:pPr>
            <w:r w:rsidRPr="003C5D9F">
              <w:rPr>
                <w:i/>
                <w:sz w:val="20"/>
                <w:szCs w:val="20"/>
              </w:rPr>
              <w:t>Human resource development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  <w:p w:rsidR="00A16DA7" w:rsidRPr="003C5D9F" w:rsidRDefault="00A16DA7" w:rsidP="00A16DA7">
            <w:pPr>
              <w:rPr>
                <w:i/>
                <w:sz w:val="20"/>
                <w:szCs w:val="20"/>
              </w:rPr>
            </w:pPr>
            <w:r w:rsidRPr="003C5D9F">
              <w:rPr>
                <w:i/>
                <w:sz w:val="20"/>
                <w:szCs w:val="20"/>
              </w:rPr>
              <w:t>Implement</w:t>
            </w:r>
            <w:r>
              <w:rPr>
                <w:i/>
                <w:sz w:val="20"/>
                <w:szCs w:val="20"/>
              </w:rPr>
              <w:t xml:space="preserve"> a</w:t>
            </w:r>
            <w:r w:rsidRPr="003C5D9F">
              <w:rPr>
                <w:i/>
                <w:sz w:val="20"/>
                <w:szCs w:val="20"/>
              </w:rPr>
              <w:t xml:space="preserve"> child rights approach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  <w:p w:rsidR="00A16DA7" w:rsidRDefault="00A16DA7" w:rsidP="00A16DA7">
            <w:r w:rsidRPr="003C5D9F">
              <w:rPr>
                <w:i/>
                <w:sz w:val="20"/>
                <w:szCs w:val="20"/>
              </w:rPr>
              <w:t>Respect individual rights.</w:t>
            </w:r>
          </w:p>
        </w:tc>
      </w:tr>
      <w:tr w:rsidR="00A16DA7" w:rsidTr="00A16DA7">
        <w:trPr>
          <w:trHeight w:val="935"/>
        </w:trPr>
        <w:tc>
          <w:tcPr>
            <w:tcW w:w="2430" w:type="dxa"/>
            <w:vMerge/>
          </w:tcPr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16DA7" w:rsidRPr="00043090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16DA7" w:rsidRPr="007C6FF4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6DA7" w:rsidRPr="00AE779C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16DA7" w:rsidRPr="00B77D78" w:rsidRDefault="00A16DA7" w:rsidP="00686ACD">
            <w:pPr>
              <w:pStyle w:val="Heading3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5E7BBB">
              <w:rPr>
                <w:sz w:val="24"/>
                <w:szCs w:val="24"/>
              </w:rPr>
              <w:t>Access to Markets (4)</w:t>
            </w:r>
          </w:p>
        </w:tc>
        <w:tc>
          <w:tcPr>
            <w:tcW w:w="1962" w:type="dxa"/>
            <w:vMerge/>
          </w:tcPr>
          <w:p w:rsidR="00A16DA7" w:rsidRPr="003C5D9F" w:rsidRDefault="00A16DA7" w:rsidP="00A16DA7">
            <w:pPr>
              <w:rPr>
                <w:i/>
                <w:sz w:val="20"/>
                <w:szCs w:val="20"/>
              </w:rPr>
            </w:pPr>
          </w:p>
        </w:tc>
      </w:tr>
      <w:tr w:rsidR="00A16DA7" w:rsidTr="00A16DA7">
        <w:trPr>
          <w:trHeight w:val="617"/>
        </w:trPr>
        <w:tc>
          <w:tcPr>
            <w:tcW w:w="2430" w:type="dxa"/>
            <w:vMerge/>
          </w:tcPr>
          <w:p w:rsidR="00A16DA7" w:rsidRDefault="00A16DA7" w:rsidP="00A16DA7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16DA7" w:rsidRPr="00043090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16DA7" w:rsidRPr="007C6FF4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6DA7" w:rsidRPr="00AE779C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12C1B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  <w:t>Though we have plenty of product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  <w:t xml:space="preserve">s </w:t>
            </w:r>
            <w:r w:rsidRPr="00512C1B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  <w:t>we cannot sell them unless we have a market</w:t>
            </w:r>
          </w:p>
        </w:tc>
        <w:tc>
          <w:tcPr>
            <w:tcW w:w="1962" w:type="dxa"/>
            <w:vMerge/>
          </w:tcPr>
          <w:p w:rsidR="00A16DA7" w:rsidRPr="003C5D9F" w:rsidRDefault="00A16DA7" w:rsidP="00A16DA7">
            <w:pPr>
              <w:rPr>
                <w:i/>
                <w:sz w:val="20"/>
                <w:szCs w:val="20"/>
              </w:rPr>
            </w:pPr>
          </w:p>
        </w:tc>
      </w:tr>
      <w:tr w:rsidR="00A16DA7" w:rsidTr="00A16DA7">
        <w:trPr>
          <w:trHeight w:val="1084"/>
        </w:trPr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A16DA7" w:rsidRPr="00D323BB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  <w:r w:rsidRPr="00B43854">
              <w:rPr>
                <w:b/>
                <w:i/>
                <w:sz w:val="20"/>
                <w:szCs w:val="20"/>
              </w:rPr>
              <w:t>Land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There should be no land confiscation.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Farmers should own their land.</w:t>
            </w:r>
          </w:p>
          <w:p w:rsidR="00A16DA7" w:rsidRPr="00AE779C" w:rsidRDefault="00811BCD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farmers union should play a role in land ownership determination. </w:t>
            </w:r>
            <w:r w:rsidR="00A16DA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/>
            <w:tcBorders>
              <w:bottom w:val="single" w:sz="4" w:space="0" w:color="000000" w:themeColor="text1"/>
            </w:tcBorders>
          </w:tcPr>
          <w:p w:rsidR="00A16DA7" w:rsidRDefault="00A16DA7" w:rsidP="00A16DA7"/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</w:tcPr>
          <w:p w:rsidR="00A16DA7" w:rsidRDefault="00A16DA7" w:rsidP="00A16DA7"/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A16DA7" w:rsidRDefault="00A16DA7" w:rsidP="00A16DA7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A16DA7" w:rsidRDefault="00A16DA7" w:rsidP="00A16DA7"/>
        </w:tc>
      </w:tr>
      <w:tr w:rsidR="00A16DA7" w:rsidTr="00A16DA7">
        <w:trPr>
          <w:trHeight w:val="244"/>
        </w:trPr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A16DA7" w:rsidRPr="00D323BB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 w:themeColor="text1"/>
            </w:tcBorders>
          </w:tcPr>
          <w:p w:rsidR="00A16DA7" w:rsidRDefault="00A16DA7" w:rsidP="00A16DA7"/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</w:tcPr>
          <w:p w:rsidR="00A16DA7" w:rsidRDefault="00A16DA7" w:rsidP="00A16DA7"/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A16DA7" w:rsidRDefault="00A16DA7" w:rsidP="00A16DA7"/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  <w:r w:rsidRPr="005E7BBB">
              <w:rPr>
                <w:bCs w:val="0"/>
                <w:sz w:val="24"/>
                <w:szCs w:val="24"/>
              </w:rPr>
              <w:t>WASH (3)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6DA7" w:rsidRDefault="00A16DA7" w:rsidP="00A16DA7">
            <w:pPr>
              <w:pStyle w:val="Heading3"/>
              <w:jc w:val="center"/>
              <w:outlineLvl w:val="2"/>
            </w:pPr>
            <w:r w:rsidRPr="008509CE">
              <w:rPr>
                <w:bCs w:val="0"/>
                <w:sz w:val="24"/>
                <w:szCs w:val="24"/>
              </w:rPr>
              <w:t xml:space="preserve">Public </w:t>
            </w:r>
            <w:r>
              <w:rPr>
                <w:bCs w:val="0"/>
                <w:sz w:val="24"/>
                <w:szCs w:val="24"/>
              </w:rPr>
              <w:t xml:space="preserve">Services </w:t>
            </w:r>
            <w:r w:rsidRPr="008509CE">
              <w:rPr>
                <w:bCs w:val="0"/>
                <w:sz w:val="24"/>
                <w:szCs w:val="24"/>
              </w:rPr>
              <w:t>(1)</w:t>
            </w:r>
          </w:p>
        </w:tc>
      </w:tr>
      <w:tr w:rsidR="00A16DA7" w:rsidTr="00A16DA7">
        <w:trPr>
          <w:trHeight w:val="842"/>
        </w:trPr>
        <w:tc>
          <w:tcPr>
            <w:tcW w:w="2430" w:type="dxa"/>
            <w:vMerge/>
          </w:tcPr>
          <w:p w:rsidR="00A16DA7" w:rsidRPr="00D323BB" w:rsidRDefault="00A16DA7" w:rsidP="00A16DA7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6DA7" w:rsidRDefault="00A16DA7" w:rsidP="00A16D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Agricultural Inputs</w:t>
            </w:r>
          </w:p>
          <w:p w:rsidR="00A16DA7" w:rsidRPr="00130F93" w:rsidRDefault="00A16DA7" w:rsidP="00A16DA7">
            <w:pPr>
              <w:rPr>
                <w:i/>
                <w:sz w:val="20"/>
                <w:szCs w:val="20"/>
              </w:rPr>
            </w:pPr>
            <w:r w:rsidRPr="00130F93">
              <w:rPr>
                <w:i/>
                <w:sz w:val="20"/>
                <w:szCs w:val="20"/>
              </w:rPr>
              <w:t>There is a need to support agricultural machines</w:t>
            </w:r>
          </w:p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  <w:r w:rsidRPr="00130F93">
              <w:rPr>
                <w:i/>
                <w:sz w:val="20"/>
                <w:szCs w:val="20"/>
              </w:rPr>
              <w:t>Improve agricultural technology</w:t>
            </w:r>
          </w:p>
        </w:tc>
        <w:tc>
          <w:tcPr>
            <w:tcW w:w="1422" w:type="dxa"/>
            <w:vMerge/>
          </w:tcPr>
          <w:p w:rsidR="00A16DA7" w:rsidRDefault="00A16DA7" w:rsidP="00A16DA7"/>
        </w:tc>
        <w:tc>
          <w:tcPr>
            <w:tcW w:w="1728" w:type="dxa"/>
            <w:vMerge/>
          </w:tcPr>
          <w:p w:rsidR="00A16DA7" w:rsidRDefault="00A16DA7" w:rsidP="00A16DA7"/>
        </w:tc>
        <w:tc>
          <w:tcPr>
            <w:tcW w:w="2070" w:type="dxa"/>
            <w:vMerge/>
          </w:tcPr>
          <w:p w:rsidR="00A16DA7" w:rsidRDefault="00A16DA7" w:rsidP="00A16DA7"/>
        </w:tc>
        <w:tc>
          <w:tcPr>
            <w:tcW w:w="1890" w:type="dxa"/>
            <w:vMerge/>
          </w:tcPr>
          <w:p w:rsidR="00A16DA7" w:rsidRPr="00512C1B" w:rsidRDefault="00A16DA7" w:rsidP="00A16DA7">
            <w:pPr>
              <w:pStyle w:val="Heading3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A16DA7" w:rsidRDefault="00A16DA7" w:rsidP="00A16DA7"/>
        </w:tc>
      </w:tr>
      <w:tr w:rsidR="00A16DA7" w:rsidTr="00A16DA7">
        <w:trPr>
          <w:trHeight w:val="904"/>
        </w:trPr>
        <w:tc>
          <w:tcPr>
            <w:tcW w:w="2430" w:type="dxa"/>
            <w:vMerge/>
          </w:tcPr>
          <w:p w:rsidR="00A16DA7" w:rsidRDefault="00A16DA7" w:rsidP="00A16DA7"/>
        </w:tc>
        <w:tc>
          <w:tcPr>
            <w:tcW w:w="3690" w:type="dxa"/>
            <w:vMerge w:val="restart"/>
          </w:tcPr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  <w:r w:rsidRPr="00B43854">
              <w:rPr>
                <w:b/>
                <w:i/>
                <w:sz w:val="20"/>
                <w:szCs w:val="20"/>
              </w:rPr>
              <w:t xml:space="preserve">Market 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Farmers should have the right to sell their products freely</w:t>
            </w:r>
          </w:p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  <w:p w:rsidR="00A16DA7" w:rsidRPr="00AE779C" w:rsidRDefault="00A16DA7" w:rsidP="00A16DA7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512C1B">
              <w:rPr>
                <w:i/>
                <w:sz w:val="20"/>
                <w:szCs w:val="20"/>
              </w:rPr>
              <w:t xml:space="preserve">The government should </w:t>
            </w:r>
            <w:r>
              <w:rPr>
                <w:i/>
                <w:sz w:val="20"/>
                <w:szCs w:val="20"/>
              </w:rPr>
              <w:t xml:space="preserve">set </w:t>
            </w:r>
            <w:r w:rsidRPr="00512C1B">
              <w:rPr>
                <w:i/>
                <w:sz w:val="20"/>
                <w:szCs w:val="20"/>
              </w:rPr>
              <w:t>th</w:t>
            </w:r>
            <w:r>
              <w:rPr>
                <w:i/>
                <w:sz w:val="20"/>
                <w:szCs w:val="20"/>
              </w:rPr>
              <w:t xml:space="preserve">e price for agricultural produce </w:t>
            </w:r>
            <w:r w:rsidRPr="00512C1B">
              <w:rPr>
                <w:i/>
                <w:sz w:val="20"/>
                <w:szCs w:val="20"/>
              </w:rPr>
              <w:t>and there should be no fluctuation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22" w:type="dxa"/>
            <w:vMerge/>
          </w:tcPr>
          <w:p w:rsidR="00A16DA7" w:rsidRDefault="00A16DA7" w:rsidP="00A16DA7"/>
        </w:tc>
        <w:tc>
          <w:tcPr>
            <w:tcW w:w="1728" w:type="dxa"/>
            <w:vMerge/>
          </w:tcPr>
          <w:p w:rsidR="00A16DA7" w:rsidRDefault="00A16DA7" w:rsidP="00A16DA7"/>
        </w:tc>
        <w:tc>
          <w:tcPr>
            <w:tcW w:w="2070" w:type="dxa"/>
            <w:vMerge/>
          </w:tcPr>
          <w:p w:rsidR="00A16DA7" w:rsidRDefault="00A16DA7" w:rsidP="00A16DA7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16DA7" w:rsidRDefault="00A16DA7" w:rsidP="00A16DA7">
            <w:pPr>
              <w:pStyle w:val="Heading3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545623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  <w:t>To establish a health community</w:t>
            </w:r>
          </w:p>
          <w:p w:rsidR="00A16DA7" w:rsidRPr="005E7BBB" w:rsidRDefault="00A16DA7" w:rsidP="00A16DA7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16DA7" w:rsidRPr="007C6FF4" w:rsidRDefault="00A16DA7" w:rsidP="00A16DA7">
            <w:pPr>
              <w:pStyle w:val="Heading3"/>
              <w:jc w:val="center"/>
              <w:outlineLvl w:val="2"/>
            </w:pPr>
            <w:r w:rsidRPr="00130F93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  <w:t>Affordable public services for all (electricity, water, health, sanitation</w:t>
            </w:r>
            <w:proofErr w:type="gramStart"/>
            <w:r w:rsidRPr="00130F93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  <w:t>,  education</w:t>
            </w:r>
            <w:proofErr w:type="gramEnd"/>
          </w:p>
        </w:tc>
      </w:tr>
      <w:tr w:rsidR="00A16DA7" w:rsidTr="00A16DA7">
        <w:trPr>
          <w:trHeight w:val="336"/>
        </w:trPr>
        <w:tc>
          <w:tcPr>
            <w:tcW w:w="2430" w:type="dxa"/>
            <w:vMerge/>
          </w:tcPr>
          <w:p w:rsidR="00A16DA7" w:rsidRDefault="00A16DA7" w:rsidP="00A16DA7"/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16DA7" w:rsidRDefault="00A16DA7" w:rsidP="00A16DA7"/>
        </w:tc>
        <w:tc>
          <w:tcPr>
            <w:tcW w:w="1728" w:type="dxa"/>
            <w:vMerge/>
          </w:tcPr>
          <w:p w:rsidR="00A16DA7" w:rsidRDefault="00A16DA7" w:rsidP="00A16DA7"/>
        </w:tc>
        <w:tc>
          <w:tcPr>
            <w:tcW w:w="2070" w:type="dxa"/>
            <w:vMerge/>
          </w:tcPr>
          <w:p w:rsidR="00A16DA7" w:rsidRDefault="00A16DA7" w:rsidP="00A16DA7"/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16DA7" w:rsidRPr="00B77D78" w:rsidRDefault="00A16DA7" w:rsidP="00A16DA7">
            <w:pPr>
              <w:pStyle w:val="Heading3"/>
              <w:jc w:val="center"/>
              <w:outlineLvl w:val="2"/>
            </w:pPr>
            <w:r w:rsidRPr="005E7BBB">
              <w:rPr>
                <w:bCs w:val="0"/>
                <w:sz w:val="24"/>
                <w:szCs w:val="24"/>
              </w:rPr>
              <w:t>Governance (2)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  <w:p w:rsidR="00A16DA7" w:rsidRPr="00B77D78" w:rsidRDefault="00A16DA7" w:rsidP="00A16DA7">
            <w:pPr>
              <w:rPr>
                <w:sz w:val="24"/>
                <w:szCs w:val="24"/>
              </w:rPr>
            </w:pPr>
            <w:r w:rsidRPr="00130F93">
              <w:rPr>
                <w:rFonts w:asciiTheme="majorHAnsi" w:eastAsiaTheme="majorEastAsia" w:hAnsiTheme="majorHAnsi" w:cstheme="majorBidi"/>
                <w:b/>
                <w:color w:val="4F81BD" w:themeColor="accent1"/>
                <w:sz w:val="24"/>
                <w:szCs w:val="24"/>
              </w:rPr>
              <w:t>Housing (1)</w:t>
            </w:r>
          </w:p>
        </w:tc>
      </w:tr>
      <w:tr w:rsidR="00A16DA7" w:rsidTr="00A16DA7">
        <w:trPr>
          <w:trHeight w:val="318"/>
        </w:trPr>
        <w:tc>
          <w:tcPr>
            <w:tcW w:w="2430" w:type="dxa"/>
            <w:vMerge/>
          </w:tcPr>
          <w:p w:rsidR="00A16DA7" w:rsidRDefault="00A16DA7" w:rsidP="00A16DA7"/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:rsidR="00A16DA7" w:rsidRPr="00DF4328" w:rsidRDefault="00A16DA7" w:rsidP="00A16D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Access to </w:t>
            </w:r>
            <w:r w:rsidRPr="00DF4328">
              <w:rPr>
                <w:b/>
                <w:i/>
                <w:sz w:val="20"/>
                <w:szCs w:val="20"/>
              </w:rPr>
              <w:t>Finance</w:t>
            </w:r>
          </w:p>
          <w:p w:rsidR="00A16DA7" w:rsidRPr="00B43854" w:rsidRDefault="00A16DA7" w:rsidP="00A16DA7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12C1B">
              <w:rPr>
                <w:i/>
                <w:sz w:val="20"/>
                <w:szCs w:val="20"/>
              </w:rPr>
              <w:t>There is a need for low interest loans</w:t>
            </w:r>
          </w:p>
        </w:tc>
        <w:tc>
          <w:tcPr>
            <w:tcW w:w="1422" w:type="dxa"/>
            <w:vMerge/>
          </w:tcPr>
          <w:p w:rsidR="00A16DA7" w:rsidRDefault="00A16DA7" w:rsidP="00A16DA7"/>
        </w:tc>
        <w:tc>
          <w:tcPr>
            <w:tcW w:w="1728" w:type="dxa"/>
            <w:vMerge/>
          </w:tcPr>
          <w:p w:rsidR="00A16DA7" w:rsidRDefault="00A16DA7" w:rsidP="00A16DA7"/>
        </w:tc>
        <w:tc>
          <w:tcPr>
            <w:tcW w:w="2070" w:type="dxa"/>
            <w:vMerge/>
          </w:tcPr>
          <w:p w:rsidR="00A16DA7" w:rsidRDefault="00A16DA7" w:rsidP="00A16DA7"/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6DA7" w:rsidRDefault="00A16DA7" w:rsidP="00A16DA7"/>
        </w:tc>
        <w:tc>
          <w:tcPr>
            <w:tcW w:w="1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</w:tc>
      </w:tr>
      <w:tr w:rsidR="00A16DA7" w:rsidTr="00A16DA7">
        <w:trPr>
          <w:trHeight w:val="337"/>
        </w:trPr>
        <w:tc>
          <w:tcPr>
            <w:tcW w:w="2430" w:type="dxa"/>
            <w:vMerge/>
          </w:tcPr>
          <w:p w:rsidR="00A16DA7" w:rsidRDefault="00A16DA7" w:rsidP="00A16DA7"/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A16DA7" w:rsidRDefault="00A16DA7" w:rsidP="00A16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16DA7" w:rsidRDefault="00A16DA7" w:rsidP="00A16DA7"/>
        </w:tc>
        <w:tc>
          <w:tcPr>
            <w:tcW w:w="1728" w:type="dxa"/>
            <w:vMerge/>
          </w:tcPr>
          <w:p w:rsidR="00A16DA7" w:rsidRDefault="00A16DA7" w:rsidP="00A16DA7"/>
        </w:tc>
        <w:tc>
          <w:tcPr>
            <w:tcW w:w="2070" w:type="dxa"/>
            <w:vMerge/>
          </w:tcPr>
          <w:p w:rsidR="00A16DA7" w:rsidRDefault="00A16DA7" w:rsidP="00A16DA7"/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16DA7" w:rsidRPr="00AE779C" w:rsidRDefault="00A16DA7" w:rsidP="00A16DA7">
            <w:pPr>
              <w:spacing w:after="160" w:line="259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Institutional environment, </w:t>
            </w:r>
            <w:r w:rsidRPr="00AE779C">
              <w:rPr>
                <w:i/>
                <w:sz w:val="20"/>
                <w:szCs w:val="20"/>
              </w:rPr>
              <w:t>governance, and policy framework</w:t>
            </w:r>
          </w:p>
          <w:p w:rsidR="00A16DA7" w:rsidRPr="00657798" w:rsidRDefault="00A16DA7" w:rsidP="00A16DA7">
            <w:pPr>
              <w:rPr>
                <w:i/>
                <w:sz w:val="20"/>
                <w:szCs w:val="20"/>
              </w:rPr>
            </w:pPr>
            <w:r w:rsidRPr="00657798">
              <w:rPr>
                <w:i/>
                <w:sz w:val="20"/>
                <w:szCs w:val="20"/>
              </w:rPr>
              <w:t>Want to see a complete transition to democracy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A16DA7" w:rsidRDefault="00A16DA7" w:rsidP="00A16DA7">
            <w:pPr>
              <w:rPr>
                <w:i/>
                <w:sz w:val="20"/>
                <w:szCs w:val="20"/>
              </w:rPr>
            </w:pPr>
            <w:r w:rsidRPr="00657798">
              <w:rPr>
                <w:i/>
                <w:sz w:val="20"/>
                <w:szCs w:val="20"/>
              </w:rPr>
              <w:t>No Comments</w:t>
            </w:r>
          </w:p>
        </w:tc>
      </w:tr>
      <w:tr w:rsidR="00A16DA7" w:rsidTr="00A16DA7">
        <w:trPr>
          <w:trHeight w:val="85"/>
        </w:trPr>
        <w:tc>
          <w:tcPr>
            <w:tcW w:w="2430" w:type="dxa"/>
            <w:vMerge/>
          </w:tcPr>
          <w:p w:rsidR="00A16DA7" w:rsidRDefault="00A16DA7" w:rsidP="00A16DA7"/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16DA7" w:rsidRDefault="00A16DA7" w:rsidP="00A16DA7">
            <w:pPr>
              <w:rPr>
                <w:b/>
                <w:i/>
                <w:sz w:val="20"/>
                <w:szCs w:val="20"/>
              </w:rPr>
            </w:pPr>
            <w:r w:rsidRPr="00512C1B">
              <w:rPr>
                <w:b/>
                <w:i/>
                <w:sz w:val="20"/>
                <w:szCs w:val="20"/>
              </w:rPr>
              <w:t>Technical support / Training</w:t>
            </w:r>
          </w:p>
          <w:p w:rsidR="00A16DA7" w:rsidRPr="00512C1B" w:rsidRDefault="00A16DA7" w:rsidP="00A16DA7">
            <w:pPr>
              <w:rPr>
                <w:i/>
                <w:sz w:val="20"/>
                <w:szCs w:val="20"/>
              </w:rPr>
            </w:pPr>
            <w:r w:rsidRPr="00512C1B">
              <w:rPr>
                <w:i/>
                <w:sz w:val="20"/>
                <w:szCs w:val="20"/>
              </w:rPr>
              <w:t>There should be more agricultural universities</w:t>
            </w:r>
          </w:p>
          <w:p w:rsidR="00A16DA7" w:rsidRPr="00512C1B" w:rsidRDefault="00A16DA7" w:rsidP="00A16DA7">
            <w:pPr>
              <w:rPr>
                <w:i/>
                <w:sz w:val="20"/>
                <w:szCs w:val="20"/>
              </w:rPr>
            </w:pPr>
            <w:r w:rsidRPr="00512C1B">
              <w:rPr>
                <w:i/>
                <w:sz w:val="20"/>
                <w:szCs w:val="20"/>
              </w:rPr>
              <w:t>There should be more vocational training schools.</w:t>
            </w:r>
          </w:p>
          <w:p w:rsidR="00A16DA7" w:rsidRPr="00B43854" w:rsidRDefault="00A16DA7" w:rsidP="00A16DA7">
            <w:pPr>
              <w:rPr>
                <w:b/>
                <w:i/>
                <w:sz w:val="20"/>
                <w:szCs w:val="20"/>
              </w:rPr>
            </w:pPr>
            <w:r w:rsidRPr="00512C1B">
              <w:rPr>
                <w:i/>
                <w:sz w:val="20"/>
                <w:szCs w:val="20"/>
              </w:rPr>
              <w:t>Agricultural technology should be theoretically and practically taught</w:t>
            </w:r>
          </w:p>
        </w:tc>
        <w:tc>
          <w:tcPr>
            <w:tcW w:w="1422" w:type="dxa"/>
            <w:vMerge/>
          </w:tcPr>
          <w:p w:rsidR="00A16DA7" w:rsidRDefault="00A16DA7" w:rsidP="00A16DA7"/>
        </w:tc>
        <w:tc>
          <w:tcPr>
            <w:tcW w:w="1728" w:type="dxa"/>
            <w:vMerge/>
          </w:tcPr>
          <w:p w:rsidR="00A16DA7" w:rsidRDefault="00A16DA7" w:rsidP="00A16DA7"/>
        </w:tc>
        <w:tc>
          <w:tcPr>
            <w:tcW w:w="2070" w:type="dxa"/>
            <w:vMerge/>
          </w:tcPr>
          <w:p w:rsidR="00A16DA7" w:rsidRDefault="00A16DA7" w:rsidP="00A16DA7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16DA7" w:rsidRPr="00545623" w:rsidRDefault="00A16DA7" w:rsidP="00A16DA7">
            <w:pPr>
              <w:pStyle w:val="Heading3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A16DA7" w:rsidRDefault="00A16DA7" w:rsidP="00A16DA7">
            <w:pPr>
              <w:rPr>
                <w:i/>
                <w:sz w:val="20"/>
                <w:szCs w:val="20"/>
              </w:rPr>
            </w:pPr>
          </w:p>
        </w:tc>
      </w:tr>
    </w:tbl>
    <w:p w:rsidR="00972F34" w:rsidRPr="007C6FF4" w:rsidRDefault="0098329F" w:rsidP="007C6FF4">
      <w:pPr>
        <w:contextualSpacing/>
        <w:rPr>
          <w:rFonts w:ascii="Times New Roman" w:hAnsi="Times New Roman" w:cs="Times New Roman"/>
          <w:i/>
        </w:rPr>
      </w:pPr>
      <w:r w:rsidRPr="00E65D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7849F0" w:rsidRPr="00E65D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Individual Responses</w:t>
      </w:r>
      <w:r w:rsidR="00E65D15">
        <w:rPr>
          <w:b/>
        </w:rPr>
        <w:t xml:space="preserve"> </w:t>
      </w:r>
      <w:r w:rsidR="00E65D15">
        <w:t xml:space="preserve"> </w:t>
      </w:r>
      <w:r w:rsidR="00E65D15">
        <w:tab/>
      </w:r>
      <w:r w:rsidR="00E65D15">
        <w:tab/>
      </w:r>
      <w:r>
        <w:tab/>
      </w:r>
      <w:r>
        <w:tab/>
      </w:r>
      <w:r>
        <w:tab/>
      </w:r>
      <w:r w:rsidR="00E65D15">
        <w:t>(</w:t>
      </w:r>
      <w:r w:rsidR="00E65D15" w:rsidRPr="004951F3">
        <w:rPr>
          <w:rFonts w:ascii="Times New Roman" w:hAnsi="Times New Roman" w:cs="Times New Roman"/>
          <w:i/>
        </w:rPr>
        <w:t xml:space="preserve">Note: </w:t>
      </w:r>
      <w:r w:rsidR="00E65D15">
        <w:rPr>
          <w:rFonts w:ascii="Times New Roman" w:hAnsi="Times New Roman" w:cs="Times New Roman"/>
          <w:i/>
        </w:rPr>
        <w:t>The numbers</w:t>
      </w:r>
      <w:r w:rsidR="00E65D15" w:rsidRPr="004951F3">
        <w:rPr>
          <w:rFonts w:ascii="Times New Roman" w:hAnsi="Times New Roman" w:cs="Times New Roman"/>
          <w:i/>
        </w:rPr>
        <w:t xml:space="preserve"> in brackets </w:t>
      </w:r>
      <w:r w:rsidR="00E65D15">
        <w:rPr>
          <w:rFonts w:ascii="Times New Roman" w:hAnsi="Times New Roman" w:cs="Times New Roman"/>
          <w:i/>
        </w:rPr>
        <w:t xml:space="preserve">are </w:t>
      </w:r>
      <w:r w:rsidR="00E65D15" w:rsidRPr="004951F3">
        <w:rPr>
          <w:rFonts w:ascii="Times New Roman" w:hAnsi="Times New Roman" w:cs="Times New Roman"/>
          <w:i/>
        </w:rPr>
        <w:t xml:space="preserve">the number of respondents </w:t>
      </w:r>
      <w:r w:rsidR="00E65D15">
        <w:rPr>
          <w:rFonts w:ascii="Times New Roman" w:hAnsi="Times New Roman" w:cs="Times New Roman"/>
          <w:i/>
        </w:rPr>
        <w:t>that selected each priority)</w:t>
      </w:r>
    </w:p>
    <w:sectPr w:rsidR="00972F34" w:rsidRPr="007C6FF4" w:rsidSect="00A16DA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E00"/>
    <w:multiLevelType w:val="hybridMultilevel"/>
    <w:tmpl w:val="1C8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0C85"/>
    <w:multiLevelType w:val="hybridMultilevel"/>
    <w:tmpl w:val="F3EC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1A04"/>
    <w:multiLevelType w:val="hybridMultilevel"/>
    <w:tmpl w:val="9C5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91947"/>
    <w:multiLevelType w:val="hybridMultilevel"/>
    <w:tmpl w:val="00D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0BFE"/>
    <w:multiLevelType w:val="hybridMultilevel"/>
    <w:tmpl w:val="466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2C0A"/>
    <w:multiLevelType w:val="hybridMultilevel"/>
    <w:tmpl w:val="915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B4CD0"/>
    <w:multiLevelType w:val="hybridMultilevel"/>
    <w:tmpl w:val="190E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C435A"/>
    <w:multiLevelType w:val="hybridMultilevel"/>
    <w:tmpl w:val="46B86B4C"/>
    <w:lvl w:ilvl="0" w:tplc="BCC8E4E8">
      <w:start w:val="8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534D0"/>
    <w:multiLevelType w:val="hybridMultilevel"/>
    <w:tmpl w:val="B52AB19C"/>
    <w:lvl w:ilvl="0" w:tplc="B760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DAC"/>
    <w:rsid w:val="00004A16"/>
    <w:rsid w:val="00043090"/>
    <w:rsid w:val="00062DF1"/>
    <w:rsid w:val="000E64F5"/>
    <w:rsid w:val="00130F93"/>
    <w:rsid w:val="00183E09"/>
    <w:rsid w:val="001B08B0"/>
    <w:rsid w:val="001B0A16"/>
    <w:rsid w:val="001C2295"/>
    <w:rsid w:val="001D1B68"/>
    <w:rsid w:val="001E104D"/>
    <w:rsid w:val="001E32F3"/>
    <w:rsid w:val="001F0B55"/>
    <w:rsid w:val="00222B85"/>
    <w:rsid w:val="002D47AC"/>
    <w:rsid w:val="00312592"/>
    <w:rsid w:val="00327EF1"/>
    <w:rsid w:val="003364D2"/>
    <w:rsid w:val="0038241D"/>
    <w:rsid w:val="003C17FB"/>
    <w:rsid w:val="003C5D9F"/>
    <w:rsid w:val="004D4061"/>
    <w:rsid w:val="004F3B26"/>
    <w:rsid w:val="00512C1B"/>
    <w:rsid w:val="00545623"/>
    <w:rsid w:val="005E2D09"/>
    <w:rsid w:val="005E7BBB"/>
    <w:rsid w:val="00613DDE"/>
    <w:rsid w:val="00620929"/>
    <w:rsid w:val="00657798"/>
    <w:rsid w:val="00686ACD"/>
    <w:rsid w:val="006B4F5C"/>
    <w:rsid w:val="006B5AAC"/>
    <w:rsid w:val="006E5F97"/>
    <w:rsid w:val="006F1CD7"/>
    <w:rsid w:val="00751DC9"/>
    <w:rsid w:val="00774D59"/>
    <w:rsid w:val="007849F0"/>
    <w:rsid w:val="00797589"/>
    <w:rsid w:val="007C6FF4"/>
    <w:rsid w:val="00811BCD"/>
    <w:rsid w:val="008509CE"/>
    <w:rsid w:val="008A4FFF"/>
    <w:rsid w:val="00972F34"/>
    <w:rsid w:val="0098329F"/>
    <w:rsid w:val="00A16DA7"/>
    <w:rsid w:val="00A71121"/>
    <w:rsid w:val="00AE779C"/>
    <w:rsid w:val="00B34C89"/>
    <w:rsid w:val="00B36381"/>
    <w:rsid w:val="00B43854"/>
    <w:rsid w:val="00B708F5"/>
    <w:rsid w:val="00B77D78"/>
    <w:rsid w:val="00BD657E"/>
    <w:rsid w:val="00BF6A6F"/>
    <w:rsid w:val="00C30FDB"/>
    <w:rsid w:val="00C37DA0"/>
    <w:rsid w:val="00C433A1"/>
    <w:rsid w:val="00C95EB5"/>
    <w:rsid w:val="00CC415C"/>
    <w:rsid w:val="00CE46CF"/>
    <w:rsid w:val="00CF376A"/>
    <w:rsid w:val="00D21DAC"/>
    <w:rsid w:val="00D32374"/>
    <w:rsid w:val="00D323BB"/>
    <w:rsid w:val="00D8532B"/>
    <w:rsid w:val="00DB7DF8"/>
    <w:rsid w:val="00DE17CC"/>
    <w:rsid w:val="00DF4328"/>
    <w:rsid w:val="00E146FE"/>
    <w:rsid w:val="00E30047"/>
    <w:rsid w:val="00E65D15"/>
    <w:rsid w:val="00EC5A3C"/>
    <w:rsid w:val="00F067AD"/>
    <w:rsid w:val="00F32355"/>
    <w:rsid w:val="00F4035B"/>
    <w:rsid w:val="00F42C47"/>
    <w:rsid w:val="00F9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FF"/>
  </w:style>
  <w:style w:type="paragraph" w:styleId="Heading1">
    <w:name w:val="heading 1"/>
    <w:basedOn w:val="Normal"/>
    <w:next w:val="Normal"/>
    <w:link w:val="Heading1Char"/>
    <w:uiPriority w:val="9"/>
    <w:qFormat/>
    <w:rsid w:val="00972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2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4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04A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Shonas</dc:creator>
  <cp:lastModifiedBy>Shonas</cp:lastModifiedBy>
  <cp:revision>37</cp:revision>
  <dcterms:created xsi:type="dcterms:W3CDTF">2014-06-01T05:39:00Z</dcterms:created>
  <dcterms:modified xsi:type="dcterms:W3CDTF">2014-06-03T04:51:00Z</dcterms:modified>
</cp:coreProperties>
</file>